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2.2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6 августа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4d28b7f49d791a78dc387c6f6a16681dd3cf3df8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receive/send, delivery/ACK, AI draft + staff manual send,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amoCRM-independent логика EVO Lead Agent переносится в единый backend как модули интеграции и фоновой обработки; P4-owned identity/stage/ handoff logic остаётся deferred.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legacy webhook/session и rollback path остаются deployed/frozen. P9, deactivation, retirement и deletion исключены из текущего execution scope.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Автоматизация чтения документов для Student Profile, подтверждения извлечённых фактов, profile autofill и profile-form export реализуется в отдельной системе вне EVO Platform. Это решение не создаёт runtime dependency или автоматический обмен данными.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color w:val="111111"/>
          <w:sz w:val="21"/>
        </w:rPr>
        <w:t xml:space="preserve">Эти критерии описывают исходный полный production target. В текущем execution scope amoCRM-dependent пункты и amoCRM segment финальной цепочки имеют статус </w:t>
      </w:r>
      <w:r>
        <w:rPr>
          <w:rFonts w:ascii="Courier New" w:hAnsi="Courier New" w:eastAsia="Courier New" w:cs="Courier New"/>
          <w:color w:val="111111"/>
          <w:sz w:val="20"/>
        </w:rPr>
        <w:t>DEFERRED</w:t>
      </w:r>
      <w:r>
        <w:rPr>
          <w:rFonts w:ascii="Arial" w:hAnsi="Arial" w:eastAsia="Arial" w:cs="Arial"/>
          <w:color w:val="111111"/>
          <w:sz w:val="21"/>
        </w:rPr>
        <w:t xml:space="preserve"> вместе с P4. P8 принимает только реально исполнимую amoCRM-independent часть; P10 не выдаёт её за завершение полного target.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проверка 39 tabs Ultimate EVO Google Doc 30 июля 2026 года, accessible 21-page China checklist и только metadata linked admissions Sheet/Drive; student rows/folder names/files не читались и не копировались;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blocked university Notion catalog: доступ требует sign-in в workspace AbdyldaYT, поэтому records не выдуманы и import не считается доступным.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AI draft, manual send, ACK/history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любая готовность или authority для deactivation/retirement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Platform-owned conversation context. Канонический lead/contact context и sync state показываются только после P4 proof; иначе они явно unavailable без fallback.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Пока P4 deferred, все amo-derived Sales owner/stage/pre-post-handoff cells ниже являются target-only и недоступны. P5-P8 используют только Platform-owned authority; локальный или hardcoded fallback запрещён.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Примечания о later-phase applicability меняют только порядок поставки. Каждое требование остаётся частью исходного полного target, но текущий P10 аудирует только авторизованный P5-P8 scope. AmoCRM-dependent требования маркируются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 xml:space="preserve"> до возобновления P4 и не блокируют честное завершение более узкого audit; production-complete заявление для полного target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Platform-owned данных только в отдельном P6 operational UI sub-block; amo-derived metrics/queues остаются unavailable до P4.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Delivery applicability: P4 deferred. FR-019–030 и любой conversation-scoped amo context остаются fail-closed и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 xml:space="preserve"> до отдельного owner decision о возобновлении P4. Это не перенос Inbox CRM surfaces и не может быть заменено SQLite/mock/hardcoded mapping.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conversation list/thread, unread, assignee, latest message, operator amo context и sync state без отдельного lead/deal/pipeline CRM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minimal integration health для messaging path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13.10 OP/OZO business workflows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 должен использовать небольшой canonical lifecycle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new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contacting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qualified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meeting_scheduled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meeting_completed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potential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contract_signed</w:t>
            </w:r>
            <w:r>
              <w:rPr>
                <w:rFonts w:ascii="Arial" w:hAnsi="Arial" w:eastAsia="Arial" w:cs="Arial"/>
                <w:color w:val="111111"/>
                <w:sz w:val="17"/>
              </w:rPr>
              <w:t>; account-specific amoCRM mapping остаётся внешним authority.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Mapping contract +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no_answer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meeting_not_attended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должны быть follow-up outcomes, event/collaboration values — source/deal metadata, а closure — отдельный result с обязательной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Transition/validation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Подтверждённый договор должен создавать audited OP→OZO handoff из approved commercial fields, unresolved questions, promises, next step, deadline и responsible role; chat text не подтверждает договор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audit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OZO должен использовать один common admissions lifecycle: intake, profile/route, documents, applications, decisions, visa/predeparture, arrival/adaptation, completed/closed.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Domain transition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Application, document, visa, finance, housing, insurance и travel должны иметь независимые статусы и не сводиться в один country pipeline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Multi-workstream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China, Italy, Czech/Poland, UAE/Turkey и Malaysia должны быть versioned country overlays с source URL/version/review status/reviewer role/reviewed-at.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Provenance/version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 case сохраняет applied overlay version; обновление применяется к новым checklist по умолчанию, а rebase требует отдельного authorized audited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Historical version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Profile должен иметь minimized country-neutral core и versioned country requirements; unnecessary sensitive fields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Data-minimization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identifiers/files собираются только по approved requirement через private document path, а не через обычный chat, Git, fixtures или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Security/PII guard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Country requirements должны создавать case-specific checklist slots с owner, due date, status, correction reason и evidence; наличие файла не означает validation.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Checklist/review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Templates и generated contracts используют только typed approved fields; output остаётся versioned draft до authorized staff approval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Generation/approval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Post-contract checklist/report должен фиксировать delivered/open items, evidence, owner и next action без неподтверждённых claims.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Workflow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Q&amp;A должен быть versioned decision backlog с answer, owner role, status, evidence/source, affected requirement и effective version; unanswered entries остаются unresolved.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Decision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System prompt, business context и country knowledge должны version/approve/retire независимо и иметь citations в AI draft.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Knowledge/prompt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создаёт только RU/EN draft; Kyrgyz или uncertain language требует manual language selection, human review/edit и manual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Language failure-path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University/college import проходит через reviewable staging, validation и approval; source record не пишет напрямую в approved catalog/student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Import isolation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 import остаётся blocked пока Notion workspace недоступен; empty colleges не заполняются fake records.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Blocked-source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Sheets/Drive/PDF/Notion остаются discovery/import sources, не runtime database/public dependency; customer PII не попадает в repository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+ PII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Accounting/Bema не создаёт новый ledger; Finance v1 остаётся obligations/payments/refunds/evidence/audit.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and route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OP/OZO/Profile/checklist/catalog/contract flows используют существующий unified frontend и real Supabase repositories/actions/RLS/audit без parallel UI, localStorage или demo fallback.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real-backend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bounded local proof reliability repair: process-group deadlines, exact disposable cleanup, transient-only Auth readiness, stable PGMQ leases and forward document lock order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#105 and immutable migration 055; real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npm run test:supabase:local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exits zero; exact-label resources/lock absent; Inbox state preserved; local auth/security, lint, typecheck, build, scenarios, E2E/a11y and scoped secret checks pass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issued-token auth/local reset plan; implementation PR #110 closed without merge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#109 and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30824043775</w:t>
            </w:r>
            <w:r>
              <w:rPr>
                <w:rFonts w:ascii="Arial" w:hAnsi="Arial" w:eastAsia="Arial" w:cs="Arial"/>
                <w:color w:val="111111"/>
                <w:sz w:val="18"/>
              </w:rPr>
              <w:t>; controller found missing response-writable stale-session clearing and missing second physical-worktree proof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stale-session/local-proof ownership and implementation repair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plan PR #111 plus implementation PR #112; same-origin response-writable Route Handler, claims plus live-authority recheck, project auth-cookie/chunk clearing and real connected-route/local Supabase proof;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30883272841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green; no migration/provider/production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P2R0/P2R1 are merged through PR #105. PR #109 merged the P2R2 plan; PR #110 was closed without merge after controller rejection. Plan PR #111 and implementation PR #112 then merged P2R3 with exact issued-token </w:t>
      </w:r>
      <w:r>
        <w:rPr>
          <w:rFonts w:ascii="Courier New" w:hAnsi="Courier New" w:eastAsia="Courier New" w:cs="Courier New"/>
          <w:color w:val="111111"/>
          <w:sz w:val="21"/>
        </w:rPr>
        <w:t>getClaims(accessToken)</w:t>
      </w:r>
      <w:r>
        <w:rPr>
          <w:rFonts w:ascii="Arial" w:hAnsi="Arial" w:eastAsia="Arial" w:cs="Arial"/>
          <w:color w:val="111111"/>
          <w:sz w:val="22"/>
        </w:rPr>
        <w:t>, live authority, response-writable Platform-session clearing, symlink-safe child execution, real exit propagation and the complete local Auth/PostgREST/RLS/browser/Storage/PGMQ gate. P2R3 added no migration and did not prove managed Supabase, providers, malware scanning, backup/restore or production. Migration 055 is immutable history; BW5 subsequently rechecked and merged migration 056 in PR #113.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BW0-BW7. Business-workflow lane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BW0, P3A-P3C, BW1-BW7 и P2R0-P2R3 are merged. PR #112 merged the prerequisite P2R3 repair, PR #113 merged BW5, PR #114 merged BW6 and PR #116 merged BW7. These local synthetic workflow proofs do not authorize provider/production work or take P7 restore ownership.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BW1 — normalized workflow/domain/source contracts без PII.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BW2 — OP/OZO repositories/actions за существующими screens.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BW3 — Student Profile и versioned country checklists.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BW4 — approved prompt/knowledge, Q&amp;A decision backlog и handoff.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BW5 — merged university/college catalog и reviewable import boundary behind accepted </w:t>
      </w:r>
      <w:r>
        <w:rPr>
          <w:rFonts w:ascii="Courier New" w:hAnsi="Courier New" w:eastAsia="Courier New" w:cs="Courier New"/>
          <w:color w:val="111111"/>
          <w:sz w:val="21"/>
        </w:rPr>
        <w:t>/applications</w:t>
      </w:r>
      <w:r>
        <w:rPr>
          <w:rFonts w:ascii="Arial" w:hAnsi="Arial" w:eastAsia="Arial" w:cs="Arial"/>
          <w:color w:val="111111"/>
          <w:sz w:val="22"/>
        </w:rPr>
        <w:t>, with immutable migration 056. Staging/validation never directly publish approved rows or mutate applications; explicit Admin approval/rejection, provenance and role/tenant/object-scope tests remain required. Real import remains blocked without authorized source access, and missing college data must not be replaced with invented records.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BW6 — generated contract draft и post-contract checklist/report с approval и audit.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BW7 — latest-main integration и полный real local/staging Supabase E2E через accepted frontend.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P3 владеет common session/repository seams, P4 — amoCRM adapter, P5 — real WAHA/AI/ACK proof, P7 — restore/reliability. BW blocks используют эти seams и не дублируют их. Shared migration number выбирается только после проверки latest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и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P4A merged in PR #117: immutable sanitized account-specific discovery versions, service-only ingest, live-authority Admin reads and a bounded GET-only server adapter. This proves the local discovery contract, not a real amoCRM account.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PR #118 merged the P4B docs-only selection/approval contract. Implementation is preserved on remote branch </w:t>
      </w:r>
      <w:r>
        <w:rPr>
          <w:rFonts w:ascii="Courier New" w:hAnsi="Courier New" w:eastAsia="Courier New" w:cs="Courier New"/>
          <w:color w:val="111111"/>
          <w:sz w:val="21"/>
        </w:rPr>
        <w:t>izzhackt/evo-platform-p4b-mapping-approval</w:t>
      </w:r>
      <w:r>
        <w:rPr>
          <w:rFonts w:ascii="Arial" w:hAnsi="Arial" w:eastAsia="Arial" w:cs="Arial"/>
          <w:color w:val="111111"/>
          <w:sz w:val="22"/>
        </w:rPr>
        <w:t xml:space="preserve"> at </w:t>
      </w:r>
      <w:r>
        <w:rPr>
          <w:rFonts w:ascii="Courier New" w:hAnsi="Courier New" w:eastAsia="Courier New" w:cs="Courier New"/>
          <w:color w:val="111111"/>
          <w:sz w:val="21"/>
        </w:rPr>
        <w:t>e53ba94954f147b295f596421a255591fa343ce8</w:t>
      </w:r>
      <w:r>
        <w:rPr>
          <w:rFonts w:ascii="Arial" w:hAnsi="Arial" w:eastAsia="Arial" w:cs="Arial"/>
          <w:color w:val="111111"/>
          <w:sz w:val="22"/>
        </w:rPr>
        <w:t>; implementation PR отсутствует. Focused repository checks прошли, но full local Supabase gate failed closed в real Auth/PostgREST hook до Playwright. Это failed/non-evidence и не доказывает mapping approval или real amoCRM account.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P4/P4B deferred до отдельного owner decision. При возобновлении он обязан проверить fresh-main ownership, пройти real gate и exact-head review. Пока P4 deferred, amo contact/lead identity, responsible Sales, canonical sales stage, contract-stage handoff, mapping approval и amo-dependent действия fail closed. Mock, SQLite shim, hardcoded mapping, fake provider и silent fallback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Единая conversation/history и amoCRM-independent role/object scope; отдельные internal/WAHA/Kommo IDs; HMAC/timestamp/request ID; persist-before-process; ACK/unknown audit; draft-only RU/EN и manual send. Broadcast/flow/auto-reply surfaces disabled/removed. Exit требует только реально доступный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Platform persistence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, reconciliation по evidence window, zero unexplained loss или duplicates в этом окне, health evidence и proven rollback readiness. Это не доказывает canonical identity/stage/responsible Sales/handoff. Старый webhook/session не выключается без отдельной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workflows, которые не выводят amoCRM contract stage, responsible Sales или canonical handoff. Amo-dependent activation остаётся deferred вместе с P4.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retroactively invalidate the merged P3 local slice; it remains P7/release evidence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относится только к real executable P5-P7 path: </w:t>
      </w:r>
      <w:r>
        <w:rPr>
          <w:rFonts w:ascii="Courier New" w:hAnsi="Courier New" w:eastAsia="Courier New" w:cs="Courier New"/>
          <w:color w:val="111111"/>
          <w:sz w:val="21"/>
        </w:rPr>
        <w:t>WhatsApp → Platform persistence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 xml:space="preserve">. AmoCRM resolve/link portion исходного E2E —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>, never passed.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Removed from current execution scope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Soak и Lead Agent retirement/removal не выполняются. EVO Lead Agent, legacy webhook/session и rollback path остаются deployed/frozen и не могут быть deactivated, retired или deleted в текущем scope. P10 следует сразу после P8; label P9 сохраняется только для исторической traceability.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Authorized-scope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разрешённый P5-P8 scope с evidence, выполнить применимые CI/provider/restore/security/accessibility gates и закрыть implementation PR. Отдельно указать P4 deferred, Lead Agent retained и provider/production blockers. Verified, blocked и deferred сообщаются раздельно. Полный исходный Platform target не считается завершённым этим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Поглощаемые capability и retained boundary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Retained boundary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P9 и Lead Agent retirement/removal исключены из текущего execution scope. </w:t>
      </w:r>
      <w:r>
        <w:rPr>
          <w:rFonts w:ascii="Courier New" w:hAnsi="Courier New" w:eastAsia="Courier New" w:cs="Courier New"/>
          <w:color w:val="111111"/>
          <w:sz w:val="21"/>
        </w:rPr>
        <w:t>evo-lead-agent/</w:t>
      </w:r>
      <w:r>
        <w:rPr>
          <w:rFonts w:ascii="Arial" w:hAnsi="Arial" w:eastAsia="Arial" w:cs="Arial"/>
          <w:color w:val="111111"/>
          <w:sz w:val="22"/>
        </w:rPr>
        <w:t xml:space="preserve">, Compose/env/volume references, </w:t>
      </w:r>
      <w:r>
        <w:rPr>
          <w:rFonts w:ascii="Courier New" w:hAnsi="Courier New" w:eastAsia="Courier New" w:cs="Courier New"/>
          <w:color w:val="111111"/>
          <w:sz w:val="21"/>
        </w:rPr>
        <w:t>crm_primary</w:t>
      </w:r>
      <w:r>
        <w:rPr>
          <w:rFonts w:ascii="Arial" w:hAnsi="Arial" w:eastAsia="Arial" w:cs="Arial"/>
          <w:color w:val="111111"/>
          <w:sz w:val="22"/>
        </w:rPr>
        <w:t xml:space="preserve"> legacy path/ session, internal sync route, legacy webhook/session и rollback artifacts не удаляются и не деактивируются. Lead Agent остаётся deployed/frozen: worker, auto-reply и outbound не включаются, а параллельный active webhook ownership не создаётся.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Любое будущее решение о retirement требует нового owner decision, отдельного plan amendment, production authority и пересобранного evidence contract. Это ТЗ не планирует и не принимает retirement PR.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Later-phase applicability notes не отменяют критерии исходного target. Однако текущий P10 audit принимает только авторизованный P5-P8 scope и обязан пометить amoCRM-dependent критерии как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>, а не как passed.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 и amo-dependent часть ACC-014; эти критерии deferred до отдельного owner decision о возобновлении P4;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amoCRM-independent части ACC-014–018;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ACC-025 enforced во всех текущих фазах, потому что Lead Agent retained/frozen;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P10 аудирует только авторизованный scope, явно перечисляет deferred P4 и не подтверждает финальное закрытие всех критериев исходного target.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реально выполненного amoCRM-independent thin messaging path; amoCRM portion остаётся deferred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 + deferred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Agent, legacy webhook/session и rollback path остаются deployed/frozen; deactivation, retirement, deletion и retirement PR отсутствуют в текущем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Repository/deployment diff + scope audit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 и Lead Agent retirement/removal исключены из текущего scope; Lead Agent, legacy webhook/session и rollback path остаются deployed/frozen; любое будущее retirement решение требует нового owner decision и plan amendment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deactivation, retirement или удаление Lead Agent/legacy path в текущем 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чтение документов для Student Profile, извлечение/подтверждение фактов, profile autofill и profile-form DOCX/PDF export; это отдельная система вне </w:t>
      </w:r>
      <w:r>
        <w:rPr>
          <w:rFonts w:ascii="Courier New" w:hAnsi="Courier New" w:eastAsia="Courier New" w:cs="Courier New"/>
          <w:color w:val="111111"/>
          <w:sz w:val="21"/>
        </w:rPr>
        <w:t>evo_AI_CRM</w:t>
      </w:r>
      <w:r>
        <w:rPr>
          <w:rFonts w:ascii="Arial" w:hAnsi="Arial" w:eastAsia="Arial" w:cs="Arial"/>
          <w:color w:val="111111"/>
          <w:sz w:val="22"/>
        </w:rPr>
        <w:t>, без подразумеваемого автоматического обмена данными.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0015, superseding greenfield/UI boundary ADR 0016, external-automation boundary ADR 0017 и current execution-order/retention boundary ADR 0018.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6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docs/adr/0003–0017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Ultimate EVO Google Doc и accessible linked workflow/checklist metadata, проверенные read-only 2026-07-30; Drive/Sheets customer rows/files исключены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SRC-ARCH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SRC-INBOX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SRC-UI;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2.2: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2.2  ·  06.08.2026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5">
    <w:abstractNumId w:val="44"/>
  </w:num>
  <w:abstractNum w:abstractNumId="4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