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489" w:rsidRDefault="004014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014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ustria" w:eastAsia="Lustria" w:hAnsi="Lustria" w:cs="Lustria"/>
          <w:b/>
          <w:sz w:val="38"/>
          <w:szCs w:val="38"/>
        </w:rPr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1112616</wp:posOffset>
                </wp:positionH>
                <wp:positionV relativeFrom="page">
                  <wp:posOffset>460694</wp:posOffset>
                </wp:positionV>
                <wp:extent cx="2041524" cy="589260"/>
                <wp:effectExtent l="0" t="0" r="0" b="0"/>
                <wp:wrapNone/>
                <wp:docPr id="2078426995" name="Rectangle 2078426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1489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1112616</wp:posOffset>
                </wp:positionH>
                <wp:positionV relativeFrom="page">
                  <wp:posOffset>460694</wp:posOffset>
                </wp:positionV>
                <wp:extent cx="2041524" cy="589260"/>
                <wp:effectExtent b="0" l="0" r="0" t="0"/>
                <wp:wrapNone/>
                <wp:docPr id="207842699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524" cy="58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page">
              <wp:posOffset>305435</wp:posOffset>
            </wp:positionH>
            <wp:positionV relativeFrom="page">
              <wp:posOffset>165418</wp:posOffset>
            </wp:positionV>
            <wp:extent cx="689928" cy="729352"/>
            <wp:effectExtent l="0" t="0" r="0" b="0"/>
            <wp:wrapNone/>
            <wp:docPr id="20784269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28" cy="7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posOffset>631826</wp:posOffset>
                </wp:positionH>
                <wp:positionV relativeFrom="page">
                  <wp:posOffset>227683</wp:posOffset>
                </wp:positionV>
                <wp:extent cx="2574925" cy="327660"/>
                <wp:effectExtent l="0" t="0" r="0" b="0"/>
                <wp:wrapNone/>
                <wp:docPr id="2078426994" name="Rectangle 2078426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1489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631826</wp:posOffset>
                </wp:positionH>
                <wp:positionV relativeFrom="page">
                  <wp:posOffset>227683</wp:posOffset>
                </wp:positionV>
                <wp:extent cx="2574925" cy="327660"/>
                <wp:effectExtent b="0" l="0" r="0" t="0"/>
                <wp:wrapNone/>
                <wp:docPr id="20784269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925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155894</wp:posOffset>
                </wp:positionV>
                <wp:extent cx="4004310" cy="327660"/>
                <wp:effectExtent l="0" t="0" r="0" b="0"/>
                <wp:wrapNone/>
                <wp:docPr id="2078426996" name="Rectangle 207842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489" w:rsidRDefault="00000000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${ijazah}/UNBL/SKPI/IX/2023</w:t>
                            </w:r>
                          </w:p>
                          <w:p w:rsidR="00401489" w:rsidRDefault="0040148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155894</wp:posOffset>
                </wp:positionV>
                <wp:extent cx="4004310" cy="327660"/>
                <wp:effectExtent b="0" l="0" r="0" t="0"/>
                <wp:wrapNone/>
                <wp:docPr id="207842699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4310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</w:t>
      </w: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:rsidR="00401489" w:rsidRDefault="00000000">
      <w:pPr>
        <w:widowControl w:val="0"/>
        <w:spacing w:after="0" w:line="240" w:lineRule="auto"/>
        <w:jc w:val="center"/>
        <w:rPr>
          <w:rFonts w:ascii="Arial Narrow" w:eastAsia="Arial Narrow" w:hAnsi="Arial Narrow" w:cs="Arial Narrow"/>
          <w:i/>
          <w:sz w:val="36"/>
          <w:szCs w:val="36"/>
        </w:rPr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</w:t>
      </w:r>
    </w:p>
    <w:p w:rsidR="00401489" w:rsidRDefault="00000000">
      <w:pPr>
        <w:spacing w:line="240" w:lineRule="auto"/>
        <w:ind w:left="2268" w:right="2257"/>
        <w:jc w:val="center"/>
        <w:rPr>
          <w:rFonts w:ascii="Times New Roman" w:eastAsia="Times New Roman" w:hAnsi="Times New Roman"/>
        </w:rPr>
        <w:sectPr w:rsidR="0040148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/>
          <w:pgMar w:top="170" w:right="170" w:bottom="170" w:left="170" w:header="0" w:footer="144" w:gutter="0"/>
          <w:pgNumType w:start="1"/>
          <w:cols w:space="720"/>
          <w:titlePg/>
        </w:sectPr>
      </w:pPr>
      <w:r>
        <w:rPr>
          <w:rFonts w:ascii="Times New Roman" w:eastAsia="Times New Roman" w:hAnsi="Times New Roman"/>
        </w:rPr>
        <w:t xml:space="preserve">Surat </w:t>
      </w:r>
      <w:proofErr w:type="spellStart"/>
      <w:r>
        <w:rPr>
          <w:rFonts w:ascii="Times New Roman" w:eastAsia="Times New Roman" w:hAnsi="Times New Roman"/>
        </w:rPr>
        <w:t>Keterangan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Pendamping</w:t>
      </w:r>
      <w:proofErr w:type="spellEnd"/>
      <w:r>
        <w:rPr>
          <w:rFonts w:ascii="Times New Roman" w:eastAsia="Times New Roman" w:hAnsi="Times New Roman"/>
        </w:rPr>
        <w:t xml:space="preserve"> Ijazah (SKPI) ini </w:t>
      </w:r>
      <w:proofErr w:type="spellStart"/>
      <w:r>
        <w:rPr>
          <w:rFonts w:ascii="Times New Roman" w:eastAsia="Times New Roman" w:hAnsi="Times New Roman"/>
        </w:rPr>
        <w:t>mengacu</w:t>
      </w:r>
      <w:proofErr w:type="spellEnd"/>
      <w:r>
        <w:rPr>
          <w:rFonts w:ascii="Times New Roman" w:eastAsia="Times New Roman" w:hAnsi="Times New Roman"/>
        </w:rPr>
        <w:t xml:space="preserve"> pada </w:t>
      </w:r>
      <w:proofErr w:type="spellStart"/>
      <w:r>
        <w:rPr>
          <w:rFonts w:ascii="Times New Roman" w:eastAsia="Times New Roman" w:hAnsi="Times New Roman"/>
        </w:rPr>
        <w:t>Kerangka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Kualifikasi</w:t>
      </w:r>
      <w:proofErr w:type="spellEnd"/>
      <w:r>
        <w:rPr>
          <w:rFonts w:ascii="Times New Roman" w:eastAsia="Times New Roman" w:hAnsi="Times New Roman"/>
        </w:rPr>
        <w:t xml:space="preserve"> Nasional Indonesia (KKNI) </w:t>
      </w:r>
      <w:proofErr w:type="spellStart"/>
      <w:r>
        <w:rPr>
          <w:rFonts w:ascii="Times New Roman" w:eastAsia="Times New Roman" w:hAnsi="Times New Roman"/>
        </w:rPr>
        <w:t>tentang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pengakuan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studi</w:t>
      </w:r>
      <w:proofErr w:type="spellEnd"/>
      <w:r>
        <w:rPr>
          <w:rFonts w:ascii="Times New Roman" w:eastAsia="Times New Roman" w:hAnsi="Times New Roman"/>
        </w:rPr>
        <w:t xml:space="preserve">, ijazah dan </w:t>
      </w:r>
      <w:proofErr w:type="spellStart"/>
      <w:r>
        <w:rPr>
          <w:rFonts w:ascii="Times New Roman" w:eastAsia="Times New Roman" w:hAnsi="Times New Roman"/>
        </w:rPr>
        <w:t>gelar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pendidikan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Tujuan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SKPI ini </w:t>
      </w:r>
      <w:proofErr w:type="spellStart"/>
      <w:r>
        <w:rPr>
          <w:rFonts w:ascii="Times New Roman" w:eastAsia="Times New Roman" w:hAnsi="Times New Roman"/>
        </w:rPr>
        <w:t>adalah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kemampuan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kerja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penguasaan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pengetahuan</w:t>
      </w:r>
      <w:proofErr w:type="spellEnd"/>
      <w:r>
        <w:rPr>
          <w:rFonts w:ascii="Times New Roman" w:eastAsia="Times New Roman" w:hAnsi="Times New Roman"/>
        </w:rPr>
        <w:t xml:space="preserve">, dan </w:t>
      </w:r>
      <w:proofErr w:type="spellStart"/>
      <w:r>
        <w:rPr>
          <w:rFonts w:ascii="Times New Roman" w:eastAsia="Times New Roman" w:hAnsi="Times New Roman"/>
        </w:rPr>
        <w:t>sikap</w:t>
      </w:r>
      <w:proofErr w:type="spellEnd"/>
      <w:r>
        <w:rPr>
          <w:rFonts w:ascii="Times New Roman" w:eastAsia="Times New Roman" w:hAnsi="Times New Roman"/>
        </w:rPr>
        <w:t xml:space="preserve">/moral </w:t>
      </w:r>
      <w:proofErr w:type="spellStart"/>
      <w:r>
        <w:rPr>
          <w:rFonts w:ascii="Times New Roman" w:eastAsia="Times New Roman" w:hAnsi="Times New Roman"/>
        </w:rPr>
        <w:t>pemegangnya</w:t>
      </w:r>
      <w:proofErr w:type="spellEnd"/>
      <w:r>
        <w:rPr>
          <w:rFonts w:ascii="Times New Roman" w:eastAsia="Times New Roman" w:hAnsi="Times New Roman"/>
        </w:rPr>
        <w:t>.</w:t>
      </w:r>
    </w:p>
    <w:p w:rsidR="00401489" w:rsidRDefault="00401489">
      <w:pPr>
        <w:spacing w:after="0" w:line="14" w:lineRule="auto"/>
        <w:ind w:left="2267" w:right="1688"/>
        <w:jc w:val="center"/>
        <w:rPr>
          <w:sz w:val="2"/>
          <w:szCs w:val="2"/>
        </w:rPr>
      </w:pPr>
    </w:p>
    <w:tbl>
      <w:tblPr>
        <w:tblStyle w:val="af3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401489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:rsidR="00401489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401489">
        <w:trPr>
          <w:trHeight w:val="113"/>
        </w:trPr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:rsidR="00401489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:rsidR="00401489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Ahli Madya Analis Kesehatan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A.K.)</w:t>
            </w:r>
          </w:p>
        </w:tc>
      </w:tr>
    </w:tbl>
    <w:p w:rsidR="00401489" w:rsidRDefault="00401489">
      <w:pPr>
        <w:spacing w:after="80"/>
        <w:ind w:left="2267" w:right="1688"/>
        <w:jc w:val="center"/>
      </w:pPr>
    </w:p>
    <w:tbl>
      <w:tblPr>
        <w:tblStyle w:val="af4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401489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401489">
        <w:trPr>
          <w:trHeight w:val="457"/>
        </w:trPr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Keputusan Menteri Pendidikan Nasional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Republik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 No 57/D/O/2009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(Diploma)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Diploma III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Sekali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: 0619/LAM-PTKes/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/Dip/VII/2022)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spellStart"/>
            <w:r>
              <w:rPr>
                <w:sz w:val="16"/>
                <w:szCs w:val="16"/>
              </w:rPr>
              <w:t>Tahun</w:t>
            </w:r>
            <w:proofErr w:type="spellEnd"/>
          </w:p>
        </w:tc>
      </w:tr>
    </w:tbl>
    <w:p w:rsidR="00401489" w:rsidRDefault="00401489">
      <w:pPr>
        <w:spacing w:after="140" w:line="312" w:lineRule="auto"/>
        <w:ind w:right="1690"/>
      </w:pPr>
    </w:p>
    <w:p w:rsidR="00225F20" w:rsidRDefault="00225F20">
      <w:pPr>
        <w:spacing w:after="140" w:line="312" w:lineRule="auto"/>
        <w:ind w:right="1690"/>
      </w:pPr>
    </w:p>
    <w:tbl>
      <w:tblPr>
        <w:tblStyle w:val="af5"/>
        <w:tblW w:w="9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9118"/>
      </w:tblGrid>
      <w:tr w:rsidR="00401489">
        <w:trPr>
          <w:jc w:val="center"/>
        </w:trPr>
        <w:tc>
          <w:tcPr>
            <w:tcW w:w="5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9118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401489">
        <w:trPr>
          <w:trHeight w:val="360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Workability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nyaman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mendapatkan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representatif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pencegahan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konfirmasi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kesesuaian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mengumpulkan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mengolah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Knowledge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sirkulasi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hemostasis,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kapiler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vena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arteri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komplikasi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akibat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dokumentasi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quality assurance,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patient safety.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pengendalian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internal,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aspek-aspek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penting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mengidentifikasi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promosi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individu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nilai-nilai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perumusan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pada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Special Attitude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kenyamanan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menyusun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melaporkan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valid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pihak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berwenang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mendokumentasikan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kerahasiaan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setiap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menjamin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validitas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mempertanggungjawabkan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:rsidR="00401489" w:rsidRDefault="00401489">
      <w:pPr>
        <w:widowControl w:val="0"/>
        <w:spacing w:after="0"/>
        <w:rPr>
          <w:rFonts w:ascii="Times New Roman" w:eastAsia="Times New Roman" w:hAnsi="Times New Roman"/>
          <w:sz w:val="2"/>
          <w:szCs w:val="2"/>
        </w:rPr>
      </w:pPr>
    </w:p>
    <w:tbl>
      <w:tblPr>
        <w:tblStyle w:val="af6"/>
        <w:tblW w:w="964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808"/>
        <w:gridCol w:w="6271"/>
      </w:tblGrid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</w:tcBorders>
            <w:shd w:val="clear" w:color="auto" w:fill="E7E6E6"/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lastRenderedPageBreak/>
              <w:t>3.2</w:t>
            </w:r>
          </w:p>
        </w:tc>
        <w:tc>
          <w:tcPr>
            <w:tcW w:w="9079" w:type="dxa"/>
            <w:gridSpan w:val="2"/>
            <w:tcBorders>
              <w:top w:val="single" w:sz="4" w:space="0" w:color="000000"/>
            </w:tcBorders>
            <w:shd w:val="clear" w:color="auto" w:fill="E7E6E6"/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401489">
        <w:trPr>
          <w:trHeight w:val="453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spacing w:before="10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8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271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401489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401489">
            <w:pPr>
              <w:ind w:left="713"/>
              <w:rPr>
                <w:rFonts w:ascii="Times New Roman" w:eastAsia="Times New Roman" w:hAnsi="Times New Roman"/>
              </w:rPr>
            </w:pP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>, 10 Oktober 2023</w:t>
            </w: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Diploma III Analis Kesehatan</w:t>
            </w: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Kesehatan Dan Sains </w:t>
            </w:r>
            <w:proofErr w:type="spellStart"/>
            <w:r>
              <w:rPr>
                <w:rFonts w:ascii="Times New Roman" w:eastAsia="Times New Roman" w:hAnsi="Times New Roman"/>
              </w:rPr>
              <w:t>Teknologi</w:t>
            </w:r>
            <w:proofErr w:type="spellEnd"/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000000">
            <w:pPr>
              <w:ind w:left="713" w:right="-180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>Muhammad Arsyad, S.ST., M. Kes.</w:t>
            </w:r>
          </w:p>
          <w:p w:rsidR="00401489" w:rsidRDefault="00000000">
            <w:pPr>
              <w:ind w:left="713" w:right="-180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010912030</w:t>
            </w:r>
          </w:p>
        </w:tc>
      </w:tr>
    </w:tbl>
    <w:p w:rsidR="00401489" w:rsidRDefault="00401489"/>
    <w:p w:rsidR="00401489" w:rsidRDefault="00401489"/>
    <w:p w:rsidR="00225F20" w:rsidRDefault="00225F20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>
      <w:pPr>
        <w:sectPr w:rsidR="00401489">
          <w:type w:val="continuous"/>
          <w:pgSz w:w="20160" w:h="12240" w:orient="landscape"/>
          <w:pgMar w:top="170" w:right="170" w:bottom="170" w:left="170" w:header="172" w:footer="720" w:gutter="0"/>
          <w:cols w:num="2" w:space="720" w:equalWidth="0">
            <w:col w:w="9853" w:space="113"/>
            <w:col w:w="9853" w:space="0"/>
          </w:cols>
        </w:sectPr>
      </w:pPr>
    </w:p>
    <w:p w:rsidR="00401489" w:rsidRDefault="00401489">
      <w:pPr>
        <w:sectPr w:rsidR="00401489">
          <w:type w:val="continuous"/>
          <w:pgSz w:w="20160" w:h="12240" w:orient="landscape"/>
          <w:pgMar w:top="170" w:right="170" w:bottom="170" w:left="170" w:header="709" w:footer="709" w:gutter="0"/>
          <w:cols w:space="720"/>
        </w:sectPr>
      </w:pPr>
    </w:p>
    <w:p w:rsidR="00401489" w:rsidRDefault="00000000">
      <w:pPr>
        <w:spacing w:after="600" w:line="480" w:lineRule="auto"/>
      </w:pPr>
      <w:r>
        <w:t xml:space="preserve"> </w:t>
      </w:r>
    </w:p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sectPr w:rsidR="00401489">
      <w:type w:val="continuous"/>
      <w:pgSz w:w="20160" w:h="12240" w:orient="landscape"/>
      <w:pgMar w:top="170" w:right="170" w:bottom="170" w:left="17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D98" w:rsidRDefault="00237D98">
      <w:pPr>
        <w:spacing w:after="0" w:line="240" w:lineRule="auto"/>
      </w:pPr>
      <w:r>
        <w:separator/>
      </w:r>
    </w:p>
  </w:endnote>
  <w:endnote w:type="continuationSeparator" w:id="0">
    <w:p w:rsidR="00237D98" w:rsidRDefault="0023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D98" w:rsidRDefault="00237D98">
      <w:pPr>
        <w:spacing w:after="0" w:line="240" w:lineRule="auto"/>
      </w:pPr>
      <w:r>
        <w:separator/>
      </w:r>
    </w:p>
  </w:footnote>
  <w:footnote w:type="continuationSeparator" w:id="0">
    <w:p w:rsidR="00237D98" w:rsidRDefault="0023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89"/>
    <w:rsid w:val="00225F20"/>
    <w:rsid w:val="00237D98"/>
    <w:rsid w:val="0040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8E60"/>
  <w15:docId w15:val="{6A124CD3-56B3-4334-BB04-3E1EBF3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8pHekiFM1hewV5LyhebFIa0Ww==">CgMxLjA4AHIhMVRmbzRLZllVendHQXRwNFkxdndDdXFLN3lnSHNRT2JI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2</cp:revision>
  <dcterms:created xsi:type="dcterms:W3CDTF">2022-09-29T01:27:00Z</dcterms:created>
  <dcterms:modified xsi:type="dcterms:W3CDTF">2023-09-30T05:19:00Z</dcterms:modified>
</cp:coreProperties>
</file>