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F3B84" w14:textId="77777777" w:rsidR="00356E11" w:rsidRPr="002E656F" w:rsidRDefault="00356E11" w:rsidP="002E656F">
      <w:pPr>
        <w:pStyle w:val="Heading1"/>
        <w:ind w:left="180"/>
        <w:jc w:val="center"/>
        <w:rPr>
          <w:rFonts w:cstheme="majorHAnsi"/>
        </w:rPr>
      </w:pPr>
      <w:r w:rsidRPr="002E656F">
        <w:rPr>
          <w:rFonts w:cstheme="majorHAnsi"/>
          <w:noProof/>
        </w:rPr>
        <w:drawing>
          <wp:inline distT="0" distB="0" distL="0" distR="0" wp14:anchorId="342CF27A" wp14:editId="48D40600">
            <wp:extent cx="1104273" cy="832206"/>
            <wp:effectExtent l="0" t="0" r="635" b="6350"/>
            <wp:docPr id="1871172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72731" name="Picture 1871172731"/>
                    <pic:cNvPicPr/>
                  </pic:nvPicPr>
                  <pic:blipFill>
                    <a:blip r:embed="rId8"/>
                    <a:stretch>
                      <a:fillRect/>
                    </a:stretch>
                  </pic:blipFill>
                  <pic:spPr>
                    <a:xfrm>
                      <a:off x="0" y="0"/>
                      <a:ext cx="1109837" cy="836399"/>
                    </a:xfrm>
                    <a:prstGeom prst="rect">
                      <a:avLst/>
                    </a:prstGeom>
                  </pic:spPr>
                </pic:pic>
              </a:graphicData>
            </a:graphic>
          </wp:inline>
        </w:drawing>
      </w:r>
    </w:p>
    <w:p w14:paraId="2F0BAF54" w14:textId="79F5F627" w:rsidR="00341442" w:rsidRPr="002E656F" w:rsidRDefault="00000000" w:rsidP="002E656F">
      <w:pPr>
        <w:pStyle w:val="Heading1"/>
        <w:ind w:left="180"/>
        <w:jc w:val="center"/>
        <w:rPr>
          <w:rFonts w:cstheme="majorHAnsi"/>
        </w:rPr>
      </w:pPr>
      <w:r w:rsidRPr="002E656F">
        <w:rPr>
          <w:rFonts w:cstheme="majorHAnsi"/>
        </w:rPr>
        <w:t>SANDHURST ADVISORY</w:t>
      </w:r>
      <w:r w:rsidR="00356E11" w:rsidRPr="002E656F">
        <w:rPr>
          <w:rFonts w:cstheme="majorHAnsi"/>
        </w:rPr>
        <w:t xml:space="preserve"> SDN BHD</w:t>
      </w:r>
    </w:p>
    <w:p w14:paraId="6E51FEDB" w14:textId="77777777" w:rsidR="00341442" w:rsidRPr="002E656F" w:rsidRDefault="00000000" w:rsidP="002E656F">
      <w:pPr>
        <w:ind w:left="180"/>
        <w:rPr>
          <w:rFonts w:asciiTheme="majorHAnsi" w:hAnsiTheme="majorHAnsi" w:cstheme="majorHAnsi"/>
        </w:rPr>
      </w:pPr>
      <w:r w:rsidRPr="002E656F">
        <w:rPr>
          <w:rFonts w:asciiTheme="majorHAnsi" w:hAnsiTheme="majorHAnsi" w:cstheme="majorHAnsi"/>
        </w:rPr>
        <w:br/>
      </w:r>
      <w:r w:rsidRPr="002E656F">
        <w:rPr>
          <w:rFonts w:asciiTheme="majorHAnsi" w:hAnsiTheme="majorHAnsi" w:cstheme="majorHAnsi"/>
        </w:rPr>
        <w:br/>
      </w:r>
    </w:p>
    <w:p w14:paraId="70178CE1" w14:textId="77777777" w:rsidR="00341442" w:rsidRPr="002E656F" w:rsidRDefault="00000000" w:rsidP="002E656F">
      <w:pPr>
        <w:pStyle w:val="Heading1"/>
        <w:ind w:left="180"/>
        <w:jc w:val="center"/>
        <w:rPr>
          <w:rFonts w:cstheme="majorHAnsi"/>
        </w:rPr>
      </w:pPr>
      <w:r w:rsidRPr="002E656F">
        <w:rPr>
          <w:rFonts w:cstheme="majorHAnsi"/>
        </w:rPr>
        <w:t>EECA Compliance Readiness</w:t>
      </w:r>
      <w:r w:rsidRPr="002E656F">
        <w:rPr>
          <w:rFonts w:cstheme="majorHAnsi"/>
        </w:rPr>
        <w:br/>
        <w:t>Preliminary Assessment Report</w:t>
      </w:r>
      <w:r w:rsidRPr="002E656F">
        <w:rPr>
          <w:rFonts w:cstheme="majorHAnsi"/>
        </w:rPr>
        <w:br/>
      </w:r>
    </w:p>
    <w:p w14:paraId="52849836" w14:textId="105092E3" w:rsidR="00341442" w:rsidRPr="002E656F" w:rsidRDefault="00000000" w:rsidP="002E656F">
      <w:pPr>
        <w:ind w:left="180"/>
        <w:jc w:val="center"/>
        <w:rPr>
          <w:rFonts w:asciiTheme="majorHAnsi" w:hAnsiTheme="majorHAnsi" w:cstheme="majorHAnsi"/>
        </w:rPr>
      </w:pPr>
      <w:r w:rsidRPr="002E656F">
        <w:rPr>
          <w:rFonts w:asciiTheme="majorHAnsi" w:hAnsiTheme="majorHAnsi" w:cstheme="majorHAnsi"/>
          <w:color w:val="475569"/>
          <w:sz w:val="24"/>
        </w:rPr>
        <w:t xml:space="preserve">A </w:t>
      </w:r>
      <w:r w:rsidR="00356E11" w:rsidRPr="002E656F">
        <w:rPr>
          <w:rFonts w:asciiTheme="majorHAnsi" w:hAnsiTheme="majorHAnsi" w:cstheme="majorHAnsi"/>
          <w:color w:val="475569"/>
          <w:sz w:val="24"/>
        </w:rPr>
        <w:t>self-assessment</w:t>
      </w:r>
      <w:r w:rsidRPr="002E656F">
        <w:rPr>
          <w:rFonts w:asciiTheme="majorHAnsi" w:hAnsiTheme="majorHAnsi" w:cstheme="majorHAnsi"/>
          <w:color w:val="475569"/>
          <w:sz w:val="24"/>
        </w:rPr>
        <w:t xml:space="preserve"> evaluation of compliance </w:t>
      </w:r>
      <w:r w:rsidR="00356E11" w:rsidRPr="002E656F">
        <w:rPr>
          <w:rFonts w:asciiTheme="majorHAnsi" w:hAnsiTheme="majorHAnsi" w:cstheme="majorHAnsi"/>
          <w:color w:val="475569"/>
          <w:sz w:val="24"/>
        </w:rPr>
        <w:t xml:space="preserve">readiness </w:t>
      </w:r>
      <w:r w:rsidRPr="002E656F">
        <w:rPr>
          <w:rFonts w:asciiTheme="majorHAnsi" w:hAnsiTheme="majorHAnsi" w:cstheme="majorHAnsi"/>
          <w:color w:val="475569"/>
          <w:sz w:val="24"/>
        </w:rPr>
        <w:t>positioning under the Energy Efficiency and Conservation Act 2024.</w:t>
      </w:r>
      <w:r w:rsidRPr="002E656F">
        <w:rPr>
          <w:rFonts w:asciiTheme="majorHAnsi" w:hAnsiTheme="majorHAnsi" w:cstheme="majorHAnsi"/>
          <w:color w:val="475569"/>
          <w:sz w:val="24"/>
        </w:rPr>
        <w:br/>
      </w:r>
      <w:r w:rsidRPr="002E656F">
        <w:rPr>
          <w:rFonts w:asciiTheme="majorHAnsi" w:hAnsiTheme="majorHAnsi" w:cstheme="majorHAnsi"/>
          <w:color w:val="475569"/>
          <w:sz w:val="24"/>
        </w:rPr>
        <w:br/>
      </w:r>
    </w:p>
    <w:tbl>
      <w:tblPr>
        <w:tblW w:w="0" w:type="auto"/>
        <w:tblLook w:val="04A0" w:firstRow="1" w:lastRow="0" w:firstColumn="1" w:lastColumn="0" w:noHBand="0" w:noVBand="1"/>
      </w:tblPr>
      <w:tblGrid>
        <w:gridCol w:w="4320"/>
        <w:gridCol w:w="4320"/>
      </w:tblGrid>
      <w:tr w:rsidR="00341442" w:rsidRPr="002E656F" w14:paraId="7DF942DD" w14:textId="77777777">
        <w:tc>
          <w:tcPr>
            <w:tcW w:w="4320" w:type="dxa"/>
          </w:tcPr>
          <w:p w14:paraId="43D02EDA" w14:textId="77777777" w:rsidR="00341442" w:rsidRPr="002E656F" w:rsidRDefault="00000000" w:rsidP="002E656F">
            <w:pPr>
              <w:ind w:left="180"/>
              <w:rPr>
                <w:rFonts w:asciiTheme="majorHAnsi" w:hAnsiTheme="majorHAnsi" w:cstheme="majorHAnsi"/>
              </w:rPr>
            </w:pPr>
            <w:r w:rsidRPr="002E656F">
              <w:rPr>
                <w:rFonts w:asciiTheme="majorHAnsi" w:hAnsiTheme="majorHAnsi" w:cstheme="majorHAnsi"/>
                <w:b/>
              </w:rPr>
              <w:t>Prepared For</w:t>
            </w:r>
          </w:p>
        </w:tc>
        <w:tc>
          <w:tcPr>
            <w:tcW w:w="4320" w:type="dxa"/>
          </w:tcPr>
          <w:p w14:paraId="24A235DE" w14:textId="77777777" w:rsidR="00341442" w:rsidRPr="002E656F" w:rsidRDefault="00000000" w:rsidP="002E656F">
            <w:pPr>
              <w:ind w:left="180"/>
              <w:rPr>
                <w:rFonts w:asciiTheme="majorHAnsi" w:hAnsiTheme="majorHAnsi" w:cstheme="majorHAnsi"/>
              </w:rPr>
            </w:pPr>
            <w:r w:rsidRPr="002E656F">
              <w:rPr>
                <w:rFonts w:asciiTheme="majorHAnsi" w:hAnsiTheme="majorHAnsi" w:cstheme="majorHAnsi"/>
              </w:rPr>
              <w:t>[Client Company Name]</w:t>
            </w:r>
          </w:p>
        </w:tc>
      </w:tr>
      <w:tr w:rsidR="00341442" w:rsidRPr="002E656F" w14:paraId="42CD1396" w14:textId="77777777">
        <w:tc>
          <w:tcPr>
            <w:tcW w:w="4320" w:type="dxa"/>
          </w:tcPr>
          <w:p w14:paraId="5E87017C" w14:textId="77777777" w:rsidR="00341442" w:rsidRPr="002E656F" w:rsidRDefault="00000000" w:rsidP="002E656F">
            <w:pPr>
              <w:ind w:left="180"/>
              <w:rPr>
                <w:rFonts w:asciiTheme="majorHAnsi" w:hAnsiTheme="majorHAnsi" w:cstheme="majorHAnsi"/>
              </w:rPr>
            </w:pPr>
            <w:r w:rsidRPr="002E656F">
              <w:rPr>
                <w:rFonts w:asciiTheme="majorHAnsi" w:hAnsiTheme="majorHAnsi" w:cstheme="majorHAnsi"/>
                <w:b/>
              </w:rPr>
              <w:t>Respondent</w:t>
            </w:r>
          </w:p>
        </w:tc>
        <w:tc>
          <w:tcPr>
            <w:tcW w:w="4320" w:type="dxa"/>
          </w:tcPr>
          <w:p w14:paraId="7C50CCC8" w14:textId="77777777" w:rsidR="00341442" w:rsidRPr="002E656F" w:rsidRDefault="00000000" w:rsidP="002E656F">
            <w:pPr>
              <w:ind w:left="180"/>
              <w:rPr>
                <w:rFonts w:asciiTheme="majorHAnsi" w:hAnsiTheme="majorHAnsi" w:cstheme="majorHAnsi"/>
              </w:rPr>
            </w:pPr>
            <w:r w:rsidRPr="002E656F">
              <w:rPr>
                <w:rFonts w:asciiTheme="majorHAnsi" w:hAnsiTheme="majorHAnsi" w:cstheme="majorHAnsi"/>
              </w:rPr>
              <w:t>[Respondent Name], [Designation]</w:t>
            </w:r>
          </w:p>
        </w:tc>
      </w:tr>
      <w:tr w:rsidR="00341442" w:rsidRPr="002E656F" w14:paraId="25BD3074" w14:textId="77777777">
        <w:tc>
          <w:tcPr>
            <w:tcW w:w="4320" w:type="dxa"/>
          </w:tcPr>
          <w:p w14:paraId="50752FCB" w14:textId="77777777" w:rsidR="00341442" w:rsidRPr="002E656F" w:rsidRDefault="00000000" w:rsidP="002E656F">
            <w:pPr>
              <w:ind w:left="180"/>
              <w:rPr>
                <w:rFonts w:asciiTheme="majorHAnsi" w:hAnsiTheme="majorHAnsi" w:cstheme="majorHAnsi"/>
              </w:rPr>
            </w:pPr>
            <w:r w:rsidRPr="002E656F">
              <w:rPr>
                <w:rFonts w:asciiTheme="majorHAnsi" w:hAnsiTheme="majorHAnsi" w:cstheme="majorHAnsi"/>
                <w:b/>
              </w:rPr>
              <w:t>Facility / Plant</w:t>
            </w:r>
          </w:p>
        </w:tc>
        <w:tc>
          <w:tcPr>
            <w:tcW w:w="4320" w:type="dxa"/>
          </w:tcPr>
          <w:p w14:paraId="3AB75178" w14:textId="77777777" w:rsidR="00341442" w:rsidRPr="002E656F" w:rsidRDefault="00000000" w:rsidP="002E656F">
            <w:pPr>
              <w:ind w:left="180"/>
              <w:rPr>
                <w:rFonts w:asciiTheme="majorHAnsi" w:hAnsiTheme="majorHAnsi" w:cstheme="majorHAnsi"/>
              </w:rPr>
            </w:pPr>
            <w:r w:rsidRPr="002E656F">
              <w:rPr>
                <w:rFonts w:asciiTheme="majorHAnsi" w:hAnsiTheme="majorHAnsi" w:cstheme="majorHAnsi"/>
              </w:rPr>
              <w:t>[Facility Name]</w:t>
            </w:r>
          </w:p>
        </w:tc>
      </w:tr>
      <w:tr w:rsidR="00341442" w:rsidRPr="002E656F" w14:paraId="4CB80F1B" w14:textId="77777777">
        <w:tc>
          <w:tcPr>
            <w:tcW w:w="4320" w:type="dxa"/>
          </w:tcPr>
          <w:p w14:paraId="65F88D08" w14:textId="77777777" w:rsidR="00341442" w:rsidRPr="002E656F" w:rsidRDefault="00000000" w:rsidP="002E656F">
            <w:pPr>
              <w:ind w:left="180"/>
              <w:rPr>
                <w:rFonts w:asciiTheme="majorHAnsi" w:hAnsiTheme="majorHAnsi" w:cstheme="majorHAnsi"/>
              </w:rPr>
            </w:pPr>
            <w:r w:rsidRPr="002E656F">
              <w:rPr>
                <w:rFonts w:asciiTheme="majorHAnsi" w:hAnsiTheme="majorHAnsi" w:cstheme="majorHAnsi"/>
                <w:b/>
              </w:rPr>
              <w:t>Prepared By</w:t>
            </w:r>
          </w:p>
        </w:tc>
        <w:tc>
          <w:tcPr>
            <w:tcW w:w="4320" w:type="dxa"/>
          </w:tcPr>
          <w:p w14:paraId="0B476345" w14:textId="77777777" w:rsidR="00341442" w:rsidRPr="002E656F" w:rsidRDefault="00000000" w:rsidP="002E656F">
            <w:pPr>
              <w:ind w:left="180"/>
              <w:rPr>
                <w:rFonts w:asciiTheme="majorHAnsi" w:hAnsiTheme="majorHAnsi" w:cstheme="majorHAnsi"/>
              </w:rPr>
            </w:pPr>
            <w:r w:rsidRPr="002E656F">
              <w:rPr>
                <w:rFonts w:asciiTheme="majorHAnsi" w:hAnsiTheme="majorHAnsi" w:cstheme="majorHAnsi"/>
              </w:rPr>
              <w:t>Sandhurst Advisory</w:t>
            </w:r>
          </w:p>
        </w:tc>
      </w:tr>
      <w:tr w:rsidR="00341442" w:rsidRPr="002E656F" w14:paraId="357F9004" w14:textId="77777777">
        <w:tc>
          <w:tcPr>
            <w:tcW w:w="4320" w:type="dxa"/>
          </w:tcPr>
          <w:p w14:paraId="4C284BC2" w14:textId="77777777" w:rsidR="00341442" w:rsidRPr="002E656F" w:rsidRDefault="00000000" w:rsidP="002E656F">
            <w:pPr>
              <w:ind w:left="180"/>
              <w:rPr>
                <w:rFonts w:asciiTheme="majorHAnsi" w:hAnsiTheme="majorHAnsi" w:cstheme="majorHAnsi"/>
              </w:rPr>
            </w:pPr>
            <w:r w:rsidRPr="002E656F">
              <w:rPr>
                <w:rFonts w:asciiTheme="majorHAnsi" w:hAnsiTheme="majorHAnsi" w:cstheme="majorHAnsi"/>
                <w:b/>
              </w:rPr>
              <w:t>Date of Report</w:t>
            </w:r>
          </w:p>
        </w:tc>
        <w:tc>
          <w:tcPr>
            <w:tcW w:w="4320" w:type="dxa"/>
          </w:tcPr>
          <w:p w14:paraId="40EF4039" w14:textId="77777777" w:rsidR="00341442" w:rsidRPr="002E656F" w:rsidRDefault="00000000" w:rsidP="002E656F">
            <w:pPr>
              <w:ind w:left="180"/>
              <w:rPr>
                <w:rFonts w:asciiTheme="majorHAnsi" w:hAnsiTheme="majorHAnsi" w:cstheme="majorHAnsi"/>
              </w:rPr>
            </w:pPr>
            <w:r w:rsidRPr="002E656F">
              <w:rPr>
                <w:rFonts w:asciiTheme="majorHAnsi" w:hAnsiTheme="majorHAnsi" w:cstheme="majorHAnsi"/>
              </w:rPr>
              <w:t>[Date]</w:t>
            </w:r>
          </w:p>
        </w:tc>
      </w:tr>
      <w:tr w:rsidR="00341442" w:rsidRPr="002E656F" w14:paraId="41EEFADA" w14:textId="77777777">
        <w:tc>
          <w:tcPr>
            <w:tcW w:w="4320" w:type="dxa"/>
          </w:tcPr>
          <w:p w14:paraId="79C4C3F7" w14:textId="77777777" w:rsidR="00341442" w:rsidRPr="002E656F" w:rsidRDefault="00000000" w:rsidP="002E656F">
            <w:pPr>
              <w:ind w:left="180"/>
              <w:rPr>
                <w:rFonts w:asciiTheme="majorHAnsi" w:hAnsiTheme="majorHAnsi" w:cstheme="majorHAnsi"/>
              </w:rPr>
            </w:pPr>
            <w:r w:rsidRPr="002E656F">
              <w:rPr>
                <w:rFonts w:asciiTheme="majorHAnsi" w:hAnsiTheme="majorHAnsi" w:cstheme="majorHAnsi"/>
                <w:b/>
              </w:rPr>
              <w:t>Reference No.</w:t>
            </w:r>
          </w:p>
        </w:tc>
        <w:tc>
          <w:tcPr>
            <w:tcW w:w="4320" w:type="dxa"/>
          </w:tcPr>
          <w:p w14:paraId="0C9EC4C2" w14:textId="77777777" w:rsidR="00341442" w:rsidRPr="002E656F" w:rsidRDefault="00000000" w:rsidP="002E656F">
            <w:pPr>
              <w:ind w:left="180"/>
              <w:rPr>
                <w:rFonts w:asciiTheme="majorHAnsi" w:hAnsiTheme="majorHAnsi" w:cstheme="majorHAnsi"/>
              </w:rPr>
            </w:pPr>
            <w:r w:rsidRPr="002E656F">
              <w:rPr>
                <w:rFonts w:asciiTheme="majorHAnsi" w:hAnsiTheme="majorHAnsi" w:cstheme="majorHAnsi"/>
              </w:rPr>
              <w:t>EECA-SA-[AutoID]</w:t>
            </w:r>
          </w:p>
        </w:tc>
      </w:tr>
    </w:tbl>
    <w:p w14:paraId="081A55C4" w14:textId="46A2FA9E" w:rsidR="00341442" w:rsidRPr="002E656F" w:rsidRDefault="00000000" w:rsidP="002E656F">
      <w:pPr>
        <w:ind w:left="180"/>
        <w:rPr>
          <w:rFonts w:asciiTheme="majorHAnsi" w:hAnsiTheme="majorHAnsi" w:cstheme="majorHAnsi"/>
        </w:rPr>
      </w:pPr>
      <w:r w:rsidRPr="002E656F">
        <w:rPr>
          <w:rFonts w:asciiTheme="majorHAnsi" w:hAnsiTheme="majorHAnsi" w:cstheme="majorHAnsi"/>
        </w:rPr>
        <w:br/>
      </w:r>
      <w:r w:rsidRPr="002E656F">
        <w:rPr>
          <w:rFonts w:asciiTheme="majorHAnsi" w:hAnsiTheme="majorHAnsi" w:cstheme="majorHAnsi"/>
        </w:rPr>
        <w:br/>
      </w:r>
    </w:p>
    <w:p w14:paraId="7558E823" w14:textId="05A74F4B" w:rsidR="00341442" w:rsidRPr="002E656F" w:rsidRDefault="00356E11" w:rsidP="002E656F">
      <w:pPr>
        <w:ind w:left="180"/>
        <w:jc w:val="right"/>
        <w:rPr>
          <w:rFonts w:asciiTheme="majorHAnsi" w:hAnsiTheme="majorHAnsi" w:cstheme="majorHAnsi"/>
          <w:color w:val="64748B"/>
          <w:sz w:val="20"/>
        </w:rPr>
      </w:pPr>
      <w:r w:rsidRPr="002E656F">
        <w:rPr>
          <w:rFonts w:asciiTheme="majorHAnsi" w:hAnsiTheme="majorHAnsi" w:cstheme="majorHAnsi"/>
          <w:noProof/>
        </w:rPr>
        <w:drawing>
          <wp:anchor distT="0" distB="0" distL="114300" distR="114300" simplePos="0" relativeHeight="251660288" behindDoc="0" locked="0" layoutInCell="1" allowOverlap="1" wp14:anchorId="63BFF9BF" wp14:editId="63CA13FF">
            <wp:simplePos x="0" y="0"/>
            <wp:positionH relativeFrom="column">
              <wp:posOffset>4797910</wp:posOffset>
            </wp:positionH>
            <wp:positionV relativeFrom="paragraph">
              <wp:posOffset>366395</wp:posOffset>
            </wp:positionV>
            <wp:extent cx="923544" cy="329184"/>
            <wp:effectExtent l="0" t="0" r="3810" b="1270"/>
            <wp:wrapTopAndBottom/>
            <wp:docPr id="1425174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17417" name="Picture 142517417"/>
                    <pic:cNvPicPr/>
                  </pic:nvPicPr>
                  <pic:blipFill rotWithShape="1">
                    <a:blip r:embed="rId9"/>
                    <a:srcRect r="29391"/>
                    <a:stretch>
                      <a:fillRect/>
                    </a:stretch>
                  </pic:blipFill>
                  <pic:spPr bwMode="auto">
                    <a:xfrm>
                      <a:off x="0" y="0"/>
                      <a:ext cx="923544" cy="32918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E656F">
        <w:rPr>
          <w:rFonts w:asciiTheme="majorHAnsi" w:hAnsiTheme="majorHAnsi" w:cstheme="majorHAnsi"/>
          <w:color w:val="64748B"/>
          <w:sz w:val="20"/>
        </w:rPr>
        <w:t>Powered by:</w:t>
      </w:r>
    </w:p>
    <w:p w14:paraId="23CBAED9" w14:textId="77777777" w:rsidR="00341442" w:rsidRPr="0064684A" w:rsidRDefault="00000000" w:rsidP="002E656F">
      <w:pPr>
        <w:pStyle w:val="Heading2"/>
        <w:ind w:left="180"/>
        <w:rPr>
          <w:rFonts w:cstheme="majorHAnsi"/>
          <w:color w:val="548DD4" w:themeColor="text2" w:themeTint="99"/>
        </w:rPr>
      </w:pPr>
      <w:r w:rsidRPr="0064684A">
        <w:rPr>
          <w:rFonts w:cstheme="majorHAnsi"/>
          <w:color w:val="548DD4" w:themeColor="text2" w:themeTint="99"/>
        </w:rPr>
        <w:lastRenderedPageBreak/>
        <w:t>1. Executive Summary</w:t>
      </w:r>
    </w:p>
    <w:p w14:paraId="57FF92CD" w14:textId="77777777" w:rsidR="00341442" w:rsidRPr="0064684A" w:rsidRDefault="00000000" w:rsidP="002E656F">
      <w:pPr>
        <w:ind w:left="180"/>
        <w:rPr>
          <w:rFonts w:asciiTheme="majorHAnsi" w:hAnsiTheme="majorHAnsi" w:cstheme="majorHAnsi"/>
          <w:sz w:val="21"/>
          <w:szCs w:val="21"/>
        </w:rPr>
      </w:pPr>
      <w:r w:rsidRPr="0064684A">
        <w:rPr>
          <w:rFonts w:asciiTheme="majorHAnsi" w:hAnsiTheme="majorHAnsi" w:cstheme="majorHAnsi"/>
          <w:sz w:val="21"/>
          <w:szCs w:val="21"/>
        </w:rPr>
        <w:t>This Preliminary Assessment Report provides a high-level overview of your facility's current readiness position concerning the upcoming requirements of the Energy Efficiency and Conservation Act (EECA). The analysis is derived from the self-reported parameters provided during the EECA Compliance &amp; Readiness Checklist assessment.</w:t>
      </w:r>
    </w:p>
    <w:tbl>
      <w:tblPr>
        <w:tblStyle w:val="TableGrid"/>
        <w:tblW w:w="0" w:type="auto"/>
        <w:tblInd w:w="180" w:type="dxa"/>
        <w:tblBorders>
          <w:top w:val="single" w:sz="12" w:space="0" w:color="4F81BD" w:themeColor="accent1"/>
          <w:left w:val="single" w:sz="12" w:space="0" w:color="4F81BD" w:themeColor="accent1"/>
          <w:bottom w:val="single" w:sz="12" w:space="0" w:color="4F81BD" w:themeColor="accent1"/>
          <w:right w:val="single" w:sz="12" w:space="0" w:color="4F81BD" w:themeColor="accent1"/>
          <w:insideH w:val="single" w:sz="12" w:space="0" w:color="4F81BD" w:themeColor="accent1"/>
          <w:insideV w:val="single" w:sz="12" w:space="0" w:color="4F81BD" w:themeColor="accent1"/>
        </w:tblBorders>
        <w:tblLook w:val="04A0" w:firstRow="1" w:lastRow="0" w:firstColumn="1" w:lastColumn="0" w:noHBand="0" w:noVBand="1"/>
      </w:tblPr>
      <w:tblGrid>
        <w:gridCol w:w="8880"/>
      </w:tblGrid>
      <w:tr w:rsidR="0064684A" w14:paraId="68C38754" w14:textId="77777777" w:rsidTr="0064684A">
        <w:tc>
          <w:tcPr>
            <w:tcW w:w="9080" w:type="dxa"/>
          </w:tcPr>
          <w:p w14:paraId="44831F82" w14:textId="77777777" w:rsidR="0064684A" w:rsidRPr="002E656F" w:rsidRDefault="0064684A" w:rsidP="0064684A">
            <w:pPr>
              <w:pStyle w:val="Heading3"/>
              <w:ind w:left="180"/>
              <w:rPr>
                <w:rFonts w:cstheme="majorHAnsi"/>
              </w:rPr>
            </w:pPr>
            <w:r w:rsidRPr="002E656F">
              <w:rPr>
                <w:rFonts w:cstheme="majorHAnsi"/>
              </w:rPr>
              <w:t>Overall EECA Readiness Status</w:t>
            </w:r>
          </w:p>
          <w:tbl>
            <w:tblPr>
              <w:tblStyle w:val="TableGrid"/>
              <w:tblW w:w="0" w:type="auto"/>
              <w:jc w:val="center"/>
              <w:tblLook w:val="04A0" w:firstRow="1" w:lastRow="0" w:firstColumn="1" w:lastColumn="0" w:noHBand="0" w:noVBand="1"/>
            </w:tblPr>
            <w:tblGrid>
              <w:gridCol w:w="2160"/>
              <w:gridCol w:w="2160"/>
              <w:gridCol w:w="2160"/>
              <w:gridCol w:w="2160"/>
            </w:tblGrid>
            <w:tr w:rsidR="0064684A" w:rsidRPr="002E656F" w14:paraId="6A0BFFC4" w14:textId="77777777" w:rsidTr="00A61F3E">
              <w:trPr>
                <w:jc w:val="center"/>
              </w:trPr>
              <w:tc>
                <w:tcPr>
                  <w:tcW w:w="2160" w:type="dxa"/>
                  <w:shd w:val="clear" w:color="auto" w:fill="EF4444"/>
                </w:tcPr>
                <w:p w14:paraId="755CA6F9" w14:textId="77777777" w:rsidR="0064684A" w:rsidRPr="002E656F" w:rsidRDefault="0064684A" w:rsidP="0064684A">
                  <w:pPr>
                    <w:ind w:left="180"/>
                    <w:jc w:val="center"/>
                    <w:rPr>
                      <w:rFonts w:asciiTheme="majorHAnsi" w:hAnsiTheme="majorHAnsi" w:cstheme="majorHAnsi"/>
                    </w:rPr>
                  </w:pPr>
                  <w:r w:rsidRPr="002E656F">
                    <w:rPr>
                      <w:rFonts w:asciiTheme="majorHAnsi" w:hAnsiTheme="majorHAnsi" w:cstheme="majorHAnsi"/>
                      <w:b/>
                      <w:color w:val="FFFFFF"/>
                    </w:rPr>
                    <w:t>Severe Gap (0-39)</w:t>
                  </w:r>
                </w:p>
              </w:tc>
              <w:tc>
                <w:tcPr>
                  <w:tcW w:w="2160" w:type="dxa"/>
                  <w:shd w:val="clear" w:color="auto" w:fill="F97316"/>
                </w:tcPr>
                <w:p w14:paraId="7E7E9C1C" w14:textId="77777777" w:rsidR="0064684A" w:rsidRPr="002E656F" w:rsidRDefault="0064684A" w:rsidP="0064684A">
                  <w:pPr>
                    <w:ind w:left="180"/>
                    <w:jc w:val="center"/>
                    <w:rPr>
                      <w:rFonts w:asciiTheme="majorHAnsi" w:hAnsiTheme="majorHAnsi" w:cstheme="majorHAnsi"/>
                    </w:rPr>
                  </w:pPr>
                  <w:r w:rsidRPr="002E656F">
                    <w:rPr>
                      <w:rFonts w:asciiTheme="majorHAnsi" w:hAnsiTheme="majorHAnsi" w:cstheme="majorHAnsi"/>
                      <w:b/>
                      <w:color w:val="FFFFFF"/>
                    </w:rPr>
                    <w:t>Low (40-59)</w:t>
                  </w:r>
                </w:p>
              </w:tc>
              <w:tc>
                <w:tcPr>
                  <w:tcW w:w="2160" w:type="dxa"/>
                  <w:shd w:val="clear" w:color="auto" w:fill="EAB308"/>
                </w:tcPr>
                <w:p w14:paraId="5A37CF8A" w14:textId="77777777" w:rsidR="0064684A" w:rsidRPr="002E656F" w:rsidRDefault="0064684A" w:rsidP="0064684A">
                  <w:pPr>
                    <w:ind w:left="180"/>
                    <w:jc w:val="center"/>
                    <w:rPr>
                      <w:rFonts w:asciiTheme="majorHAnsi" w:hAnsiTheme="majorHAnsi" w:cstheme="majorHAnsi"/>
                    </w:rPr>
                  </w:pPr>
                  <w:r w:rsidRPr="002E656F">
                    <w:rPr>
                      <w:rFonts w:asciiTheme="majorHAnsi" w:hAnsiTheme="majorHAnsi" w:cstheme="majorHAnsi"/>
                      <w:b/>
                    </w:rPr>
                    <w:t>Moderate (60-79)</w:t>
                  </w:r>
                </w:p>
              </w:tc>
              <w:tc>
                <w:tcPr>
                  <w:tcW w:w="2160" w:type="dxa"/>
                  <w:shd w:val="clear" w:color="auto" w:fill="10B981"/>
                </w:tcPr>
                <w:p w14:paraId="2A21B43B" w14:textId="77777777" w:rsidR="0064684A" w:rsidRPr="002E656F" w:rsidRDefault="0064684A" w:rsidP="0064684A">
                  <w:pPr>
                    <w:ind w:left="180"/>
                    <w:jc w:val="center"/>
                    <w:rPr>
                      <w:rFonts w:asciiTheme="majorHAnsi" w:hAnsiTheme="majorHAnsi" w:cstheme="majorHAnsi"/>
                    </w:rPr>
                  </w:pPr>
                  <w:r w:rsidRPr="002E656F">
                    <w:rPr>
                      <w:rFonts w:asciiTheme="majorHAnsi" w:hAnsiTheme="majorHAnsi" w:cstheme="majorHAnsi"/>
                      <w:b/>
                      <w:color w:val="FFFFFF"/>
                    </w:rPr>
                    <w:t>Ready (80-100)</w:t>
                  </w:r>
                </w:p>
              </w:tc>
            </w:tr>
          </w:tbl>
          <w:p w14:paraId="695FF537" w14:textId="77777777" w:rsidR="0064684A" w:rsidRPr="002E656F" w:rsidRDefault="0064684A" w:rsidP="0064684A">
            <w:pPr>
              <w:ind w:left="180"/>
              <w:jc w:val="center"/>
              <w:rPr>
                <w:rFonts w:asciiTheme="majorHAnsi" w:hAnsiTheme="majorHAnsi" w:cstheme="majorHAnsi"/>
              </w:rPr>
            </w:pPr>
            <w:r w:rsidRPr="002E656F">
              <w:rPr>
                <w:rFonts w:asciiTheme="majorHAnsi" w:hAnsiTheme="majorHAnsi" w:cstheme="majorHAnsi"/>
                <w:b/>
                <w:sz w:val="36"/>
              </w:rPr>
              <w:br/>
              <w:t>Score: 65 / 100</w:t>
            </w:r>
          </w:p>
          <w:p w14:paraId="7FC2A1BB" w14:textId="772C6BC5" w:rsidR="0064684A" w:rsidRPr="0064684A" w:rsidRDefault="0064684A" w:rsidP="0064684A">
            <w:pPr>
              <w:ind w:left="180"/>
              <w:jc w:val="center"/>
              <w:rPr>
                <w:rFonts w:asciiTheme="majorHAnsi" w:hAnsiTheme="majorHAnsi" w:cstheme="majorHAnsi"/>
              </w:rPr>
            </w:pPr>
            <w:r w:rsidRPr="002E656F">
              <w:rPr>
                <w:rFonts w:asciiTheme="majorHAnsi" w:hAnsiTheme="majorHAnsi" w:cstheme="majorHAnsi"/>
                <w:b/>
                <w:color w:val="EAB308"/>
              </w:rPr>
              <w:t>MODERATE READINESS</w:t>
            </w:r>
            <w:r w:rsidRPr="002E656F">
              <w:rPr>
                <w:rFonts w:asciiTheme="majorHAnsi" w:hAnsiTheme="majorHAnsi" w:cstheme="majorHAnsi"/>
                <w:b/>
                <w:color w:val="EAB308"/>
              </w:rPr>
              <w:br/>
            </w:r>
          </w:p>
        </w:tc>
      </w:tr>
    </w:tbl>
    <w:p w14:paraId="09284471" w14:textId="77777777" w:rsidR="0064684A" w:rsidRDefault="0064684A" w:rsidP="0064684A">
      <w:pPr>
        <w:pStyle w:val="Heading3"/>
        <w:rPr>
          <w:rFonts w:cstheme="majorHAnsi"/>
        </w:rPr>
      </w:pPr>
    </w:p>
    <w:p w14:paraId="2026E4FD" w14:textId="16ADD447" w:rsidR="00341442" w:rsidRPr="0064684A" w:rsidRDefault="00000000" w:rsidP="002E656F">
      <w:pPr>
        <w:ind w:left="180"/>
        <w:rPr>
          <w:rFonts w:asciiTheme="majorHAnsi" w:hAnsiTheme="majorHAnsi" w:cstheme="majorHAnsi"/>
          <w:color w:val="4F81BD" w:themeColor="accent1"/>
          <w:sz w:val="21"/>
          <w:szCs w:val="21"/>
        </w:rPr>
      </w:pPr>
      <w:r w:rsidRPr="0064684A">
        <w:rPr>
          <w:rFonts w:asciiTheme="majorHAnsi" w:hAnsiTheme="majorHAnsi" w:cstheme="majorHAnsi"/>
          <w:sz w:val="21"/>
          <w:szCs w:val="21"/>
        </w:rPr>
        <w:t xml:space="preserve">Overall Summary: </w:t>
      </w:r>
      <w:r w:rsidR="0064684A">
        <w:rPr>
          <w:rFonts w:asciiTheme="majorHAnsi" w:hAnsiTheme="majorHAnsi" w:cstheme="majorHAnsi"/>
          <w:sz w:val="21"/>
          <w:szCs w:val="21"/>
        </w:rPr>
        <w:t>[</w:t>
      </w:r>
      <w:r w:rsidRPr="0064684A">
        <w:rPr>
          <w:rFonts w:asciiTheme="majorHAnsi" w:hAnsiTheme="majorHAnsi" w:cstheme="majorHAnsi"/>
          <w:color w:val="4F81BD" w:themeColor="accent1"/>
          <w:sz w:val="21"/>
          <w:szCs w:val="21"/>
        </w:rPr>
        <w:t xml:space="preserve">Your facility demonstrates a baseline understanding of the EECA requirements with certain elements already initiated. However, critical structural gaps remain in formal data readiness, systemic Energy Management System (EnMS) deployment, and definitive audit </w:t>
      </w:r>
      <w:r w:rsidR="0064684A" w:rsidRPr="0064684A">
        <w:rPr>
          <w:rFonts w:asciiTheme="majorHAnsi" w:hAnsiTheme="majorHAnsi" w:cstheme="majorHAnsi"/>
          <w:color w:val="4F81BD" w:themeColor="accent1"/>
          <w:sz w:val="21"/>
          <w:szCs w:val="21"/>
        </w:rPr>
        <w:t>signoffs</w:t>
      </w:r>
      <w:r w:rsidRPr="0064684A">
        <w:rPr>
          <w:rFonts w:asciiTheme="majorHAnsi" w:hAnsiTheme="majorHAnsi" w:cstheme="majorHAnsi"/>
          <w:color w:val="4F81BD" w:themeColor="accent1"/>
          <w:sz w:val="21"/>
          <w:szCs w:val="21"/>
        </w:rPr>
        <w:t>.</w:t>
      </w:r>
      <w:r w:rsidR="0064684A">
        <w:rPr>
          <w:rFonts w:asciiTheme="majorHAnsi" w:hAnsiTheme="majorHAnsi" w:cstheme="majorHAnsi"/>
          <w:color w:val="4F81BD" w:themeColor="accent1"/>
          <w:sz w:val="21"/>
          <w:szCs w:val="21"/>
        </w:rPr>
        <w:t>]</w:t>
      </w:r>
    </w:p>
    <w:p w14:paraId="79EE8929" w14:textId="77777777" w:rsidR="0064684A" w:rsidRDefault="0064684A" w:rsidP="002E656F">
      <w:pPr>
        <w:pStyle w:val="Heading2"/>
        <w:ind w:left="180"/>
        <w:rPr>
          <w:rFonts w:cstheme="majorHAnsi"/>
          <w:color w:val="548DD4" w:themeColor="text2" w:themeTint="99"/>
        </w:rPr>
      </w:pPr>
    </w:p>
    <w:p w14:paraId="0F2B7D9A" w14:textId="31648FD4" w:rsidR="00341442" w:rsidRPr="0064684A" w:rsidRDefault="00000000" w:rsidP="002E656F">
      <w:pPr>
        <w:pStyle w:val="Heading2"/>
        <w:ind w:left="180"/>
        <w:rPr>
          <w:rFonts w:cstheme="majorHAnsi"/>
          <w:color w:val="548DD4" w:themeColor="text2" w:themeTint="99"/>
        </w:rPr>
      </w:pPr>
      <w:r w:rsidRPr="0064684A">
        <w:rPr>
          <w:rFonts w:cstheme="majorHAnsi"/>
          <w:color w:val="548DD4" w:themeColor="text2" w:themeTint="99"/>
        </w:rPr>
        <w:t>2. Response Summary &amp; Gap Analysis</w:t>
      </w:r>
    </w:p>
    <w:tbl>
      <w:tblPr>
        <w:tblStyle w:val="LightShading-Accent1"/>
        <w:tblW w:w="0" w:type="auto"/>
        <w:tblLook w:val="04A0" w:firstRow="1" w:lastRow="0" w:firstColumn="1" w:lastColumn="0" w:noHBand="0" w:noVBand="1"/>
      </w:tblPr>
      <w:tblGrid>
        <w:gridCol w:w="4320"/>
        <w:gridCol w:w="4320"/>
      </w:tblGrid>
      <w:tr w:rsidR="00341442" w:rsidRPr="002E656F" w14:paraId="44CBDB96" w14:textId="77777777" w:rsidTr="0064684A">
        <w:trPr>
          <w:cnfStyle w:val="100000000000" w:firstRow="1" w:lastRow="0" w:firstColumn="0" w:lastColumn="0" w:oddVBand="0" w:evenVBand="0" w:oddHBand="0"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4320" w:type="dxa"/>
            <w:tcBorders>
              <w:top w:val="nil"/>
            </w:tcBorders>
            <w:vAlign w:val="center"/>
          </w:tcPr>
          <w:p w14:paraId="127E3F8F" w14:textId="77777777" w:rsidR="00341442" w:rsidRPr="002E656F" w:rsidRDefault="00000000" w:rsidP="002E656F">
            <w:pPr>
              <w:ind w:left="180"/>
              <w:rPr>
                <w:rFonts w:asciiTheme="majorHAnsi" w:hAnsiTheme="majorHAnsi" w:cstheme="majorHAnsi"/>
              </w:rPr>
            </w:pPr>
            <w:r w:rsidRPr="002E656F">
              <w:rPr>
                <w:rFonts w:asciiTheme="majorHAnsi" w:hAnsiTheme="majorHAnsi" w:cstheme="majorHAnsi"/>
              </w:rPr>
              <w:t>Assessment Category</w:t>
            </w:r>
          </w:p>
        </w:tc>
        <w:tc>
          <w:tcPr>
            <w:tcW w:w="4320" w:type="dxa"/>
            <w:tcBorders>
              <w:top w:val="nil"/>
            </w:tcBorders>
            <w:vAlign w:val="center"/>
          </w:tcPr>
          <w:p w14:paraId="105916C9" w14:textId="77777777" w:rsidR="00341442" w:rsidRPr="002E656F" w:rsidRDefault="00000000" w:rsidP="002E656F">
            <w:pPr>
              <w:ind w:left="18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2E656F">
              <w:rPr>
                <w:rFonts w:asciiTheme="majorHAnsi" w:hAnsiTheme="majorHAnsi" w:cstheme="majorHAnsi"/>
              </w:rPr>
              <w:t>Current Status / Input</w:t>
            </w:r>
          </w:p>
        </w:tc>
      </w:tr>
      <w:tr w:rsidR="00356E11" w:rsidRPr="002E656F" w14:paraId="1DD6E418" w14:textId="77777777" w:rsidTr="00356E11">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5BB3D6AB" w14:textId="4B741046" w:rsidR="00356E11" w:rsidRPr="0064684A" w:rsidRDefault="00356E11" w:rsidP="002E656F">
            <w:pPr>
              <w:ind w:left="180"/>
              <w:rPr>
                <w:rFonts w:asciiTheme="majorHAnsi" w:hAnsiTheme="majorHAnsi" w:cstheme="majorHAnsi"/>
                <w:color w:val="000000" w:themeColor="text1"/>
              </w:rPr>
            </w:pPr>
            <w:r w:rsidRPr="0064684A">
              <w:rPr>
                <w:rFonts w:asciiTheme="majorHAnsi" w:hAnsiTheme="majorHAnsi" w:cstheme="majorHAnsi"/>
                <w:color w:val="000000" w:themeColor="text1"/>
              </w:rPr>
              <w:t>Facility Type</w:t>
            </w:r>
          </w:p>
        </w:tc>
        <w:tc>
          <w:tcPr>
            <w:tcW w:w="4320" w:type="dxa"/>
            <w:vAlign w:val="center"/>
          </w:tcPr>
          <w:p w14:paraId="1D3F3B69" w14:textId="46809E58" w:rsidR="00356E11" w:rsidRPr="0064684A" w:rsidRDefault="00356E11" w:rsidP="002E656F">
            <w:pPr>
              <w:ind w:left="18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r w:rsidRPr="0064684A">
              <w:rPr>
                <w:rFonts w:asciiTheme="majorHAnsi" w:hAnsiTheme="majorHAnsi" w:cstheme="majorHAnsi"/>
                <w:color w:val="000000" w:themeColor="text1"/>
              </w:rPr>
              <w:t>[Industrial / Commercial]</w:t>
            </w:r>
          </w:p>
        </w:tc>
      </w:tr>
      <w:tr w:rsidR="00356E11" w:rsidRPr="002E656F" w14:paraId="2B1BAB82" w14:textId="77777777" w:rsidTr="00356E11">
        <w:trPr>
          <w:trHeight w:val="72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57F921FE" w14:textId="016E3753" w:rsidR="00356E11" w:rsidRPr="0064684A" w:rsidRDefault="00356E11" w:rsidP="002E656F">
            <w:pPr>
              <w:ind w:left="180"/>
              <w:rPr>
                <w:rFonts w:asciiTheme="majorHAnsi" w:hAnsiTheme="majorHAnsi" w:cstheme="majorHAnsi"/>
                <w:color w:val="000000" w:themeColor="text1"/>
              </w:rPr>
            </w:pPr>
            <w:r w:rsidRPr="0064684A">
              <w:rPr>
                <w:rFonts w:asciiTheme="majorHAnsi" w:hAnsiTheme="majorHAnsi" w:cstheme="majorHAnsi"/>
                <w:color w:val="000000" w:themeColor="text1"/>
              </w:rPr>
              <w:t>Likely EECA Applicability</w:t>
            </w:r>
          </w:p>
        </w:tc>
        <w:tc>
          <w:tcPr>
            <w:tcW w:w="4320" w:type="dxa"/>
            <w:vAlign w:val="center"/>
          </w:tcPr>
          <w:p w14:paraId="0B99ECBC" w14:textId="797CDCDE" w:rsidR="00356E11" w:rsidRPr="0064684A" w:rsidRDefault="00356E11" w:rsidP="002E656F">
            <w:pPr>
              <w:ind w:left="18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r w:rsidRPr="0064684A">
              <w:rPr>
                <w:rFonts w:asciiTheme="majorHAnsi" w:hAnsiTheme="majorHAnsi" w:cstheme="majorHAnsi"/>
                <w:color w:val="000000" w:themeColor="text1"/>
              </w:rPr>
              <w:t>[Applicable / Not Sure / Exempt]</w:t>
            </w:r>
          </w:p>
        </w:tc>
      </w:tr>
      <w:tr w:rsidR="00356E11" w:rsidRPr="002E656F" w14:paraId="2035C10D" w14:textId="77777777" w:rsidTr="00356E11">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5F8F7171" w14:textId="5E7BF974" w:rsidR="00356E11" w:rsidRPr="0064684A" w:rsidRDefault="00356E11" w:rsidP="002E656F">
            <w:pPr>
              <w:ind w:left="180"/>
              <w:rPr>
                <w:rFonts w:asciiTheme="majorHAnsi" w:hAnsiTheme="majorHAnsi" w:cstheme="majorHAnsi"/>
                <w:color w:val="000000" w:themeColor="text1"/>
              </w:rPr>
            </w:pPr>
            <w:r w:rsidRPr="0064684A">
              <w:rPr>
                <w:rFonts w:asciiTheme="majorHAnsi" w:hAnsiTheme="majorHAnsi" w:cstheme="majorHAnsi"/>
                <w:color w:val="000000" w:themeColor="text1"/>
              </w:rPr>
              <w:t>12-Month Energy Data Readiness</w:t>
            </w:r>
          </w:p>
        </w:tc>
        <w:tc>
          <w:tcPr>
            <w:tcW w:w="4320" w:type="dxa"/>
            <w:vAlign w:val="center"/>
          </w:tcPr>
          <w:p w14:paraId="1CFFE660" w14:textId="33FE4300" w:rsidR="00356E11" w:rsidRPr="0064684A" w:rsidRDefault="00356E11" w:rsidP="002E656F">
            <w:pPr>
              <w:ind w:left="18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r w:rsidRPr="0064684A">
              <w:rPr>
                <w:rFonts w:asciiTheme="majorHAnsi" w:hAnsiTheme="majorHAnsi" w:cstheme="majorHAnsi"/>
                <w:color w:val="000000" w:themeColor="text1"/>
              </w:rPr>
              <w:t>[Complete / Partial / Missing]</w:t>
            </w:r>
          </w:p>
        </w:tc>
      </w:tr>
      <w:tr w:rsidR="00356E11" w:rsidRPr="002E656F" w14:paraId="7CF9BF04" w14:textId="77777777" w:rsidTr="00356E11">
        <w:trPr>
          <w:trHeight w:val="72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493BD0D6" w14:textId="0AC102FA" w:rsidR="00356E11" w:rsidRPr="0064684A" w:rsidRDefault="00356E11" w:rsidP="002E656F">
            <w:pPr>
              <w:ind w:left="180"/>
              <w:rPr>
                <w:rFonts w:asciiTheme="majorHAnsi" w:hAnsiTheme="majorHAnsi" w:cstheme="majorHAnsi"/>
                <w:color w:val="000000" w:themeColor="text1"/>
              </w:rPr>
            </w:pPr>
            <w:r w:rsidRPr="0064684A">
              <w:rPr>
                <w:rFonts w:asciiTheme="majorHAnsi" w:hAnsiTheme="majorHAnsi" w:cstheme="majorHAnsi"/>
                <w:color w:val="000000" w:themeColor="text1"/>
              </w:rPr>
              <w:t>REM Appointment Status</w:t>
            </w:r>
          </w:p>
        </w:tc>
        <w:tc>
          <w:tcPr>
            <w:tcW w:w="4320" w:type="dxa"/>
            <w:vAlign w:val="center"/>
          </w:tcPr>
          <w:p w14:paraId="16C775AA" w14:textId="7E9ADD1D" w:rsidR="00356E11" w:rsidRPr="0064684A" w:rsidRDefault="00356E11" w:rsidP="002E656F">
            <w:pPr>
              <w:ind w:left="18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r w:rsidRPr="0064684A">
              <w:rPr>
                <w:rFonts w:asciiTheme="majorHAnsi" w:hAnsiTheme="majorHAnsi" w:cstheme="majorHAnsi"/>
                <w:color w:val="000000" w:themeColor="text1"/>
              </w:rPr>
              <w:t>[Appointed / In Progress / None]</w:t>
            </w:r>
          </w:p>
        </w:tc>
      </w:tr>
      <w:tr w:rsidR="00356E11" w:rsidRPr="002E656F" w14:paraId="2566B032" w14:textId="77777777" w:rsidTr="00356E11">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1421E881" w14:textId="27C08838" w:rsidR="00356E11" w:rsidRPr="0064684A" w:rsidRDefault="00356E11" w:rsidP="002E656F">
            <w:pPr>
              <w:ind w:left="180"/>
              <w:rPr>
                <w:rFonts w:asciiTheme="majorHAnsi" w:hAnsiTheme="majorHAnsi" w:cstheme="majorHAnsi"/>
                <w:color w:val="000000" w:themeColor="text1"/>
              </w:rPr>
            </w:pPr>
            <w:r w:rsidRPr="0064684A">
              <w:rPr>
                <w:rFonts w:asciiTheme="majorHAnsi" w:hAnsiTheme="majorHAnsi" w:cstheme="majorHAnsi"/>
                <w:color w:val="000000" w:themeColor="text1"/>
              </w:rPr>
              <w:t>EnMS Status</w:t>
            </w:r>
          </w:p>
        </w:tc>
        <w:tc>
          <w:tcPr>
            <w:tcW w:w="4320" w:type="dxa"/>
            <w:vAlign w:val="center"/>
          </w:tcPr>
          <w:p w14:paraId="122AB735" w14:textId="186EA36D" w:rsidR="00356E11" w:rsidRPr="0064684A" w:rsidRDefault="00356E11" w:rsidP="002E656F">
            <w:pPr>
              <w:ind w:left="18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r w:rsidRPr="0064684A">
              <w:rPr>
                <w:rFonts w:asciiTheme="majorHAnsi" w:hAnsiTheme="majorHAnsi" w:cstheme="majorHAnsi"/>
                <w:color w:val="000000" w:themeColor="text1"/>
              </w:rPr>
              <w:t>[Implemented / Partial / None]</w:t>
            </w:r>
          </w:p>
          <w:p w14:paraId="73E14D7D" w14:textId="6B16904E" w:rsidR="00356E11" w:rsidRPr="0064684A" w:rsidRDefault="00356E11" w:rsidP="002E656F">
            <w:pPr>
              <w:ind w:left="18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p>
        </w:tc>
      </w:tr>
      <w:tr w:rsidR="00356E11" w:rsidRPr="002E656F" w14:paraId="4519EEB4" w14:textId="77777777" w:rsidTr="00356E11">
        <w:trPr>
          <w:trHeight w:val="72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6F822456" w14:textId="6BE55059" w:rsidR="00356E11" w:rsidRPr="0064684A" w:rsidRDefault="00356E11" w:rsidP="002E656F">
            <w:pPr>
              <w:ind w:left="180"/>
              <w:rPr>
                <w:rFonts w:asciiTheme="majorHAnsi" w:hAnsiTheme="majorHAnsi" w:cstheme="majorHAnsi"/>
                <w:color w:val="000000" w:themeColor="text1"/>
              </w:rPr>
            </w:pPr>
            <w:r w:rsidRPr="0064684A">
              <w:rPr>
                <w:rFonts w:asciiTheme="majorHAnsi" w:hAnsiTheme="majorHAnsi" w:cstheme="majorHAnsi"/>
                <w:color w:val="000000" w:themeColor="text1"/>
              </w:rPr>
              <w:t>EnMS Elements in Place</w:t>
            </w:r>
          </w:p>
        </w:tc>
        <w:tc>
          <w:tcPr>
            <w:tcW w:w="4320" w:type="dxa"/>
            <w:vAlign w:val="center"/>
          </w:tcPr>
          <w:p w14:paraId="6EB8DD97" w14:textId="09D28281" w:rsidR="00356E11" w:rsidRPr="0064684A" w:rsidRDefault="00356E11" w:rsidP="002E656F">
            <w:pPr>
              <w:ind w:left="18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r w:rsidRPr="0064684A">
              <w:rPr>
                <w:rFonts w:asciiTheme="majorHAnsi" w:hAnsiTheme="majorHAnsi" w:cstheme="majorHAnsi"/>
                <w:color w:val="000000" w:themeColor="text1"/>
              </w:rPr>
              <w:t>List of Selected Elements</w:t>
            </w:r>
          </w:p>
        </w:tc>
      </w:tr>
      <w:tr w:rsidR="00356E11" w:rsidRPr="002E656F" w14:paraId="31737342" w14:textId="77777777" w:rsidTr="00356E11">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37F1F517" w14:textId="4F007240" w:rsidR="00356E11" w:rsidRPr="0064684A" w:rsidRDefault="00356E11" w:rsidP="002E656F">
            <w:pPr>
              <w:ind w:left="180"/>
              <w:rPr>
                <w:rFonts w:asciiTheme="majorHAnsi" w:hAnsiTheme="majorHAnsi" w:cstheme="majorHAnsi"/>
                <w:color w:val="000000" w:themeColor="text1"/>
              </w:rPr>
            </w:pPr>
            <w:r w:rsidRPr="0064684A">
              <w:rPr>
                <w:rFonts w:asciiTheme="majorHAnsi" w:hAnsiTheme="majorHAnsi" w:cstheme="majorHAnsi"/>
                <w:color w:val="000000" w:themeColor="text1"/>
              </w:rPr>
              <w:t>EnMS Activities in Place</w:t>
            </w:r>
          </w:p>
        </w:tc>
        <w:tc>
          <w:tcPr>
            <w:tcW w:w="4320" w:type="dxa"/>
            <w:vAlign w:val="center"/>
          </w:tcPr>
          <w:p w14:paraId="5854349E" w14:textId="2FB1DC57" w:rsidR="00356E11" w:rsidRPr="0064684A" w:rsidRDefault="00356E11" w:rsidP="002E656F">
            <w:pPr>
              <w:ind w:left="18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r w:rsidRPr="0064684A">
              <w:rPr>
                <w:rFonts w:asciiTheme="majorHAnsi" w:hAnsiTheme="majorHAnsi" w:cstheme="majorHAnsi"/>
                <w:color w:val="000000" w:themeColor="text1"/>
              </w:rPr>
              <w:t>List of Selected Elements</w:t>
            </w:r>
          </w:p>
        </w:tc>
      </w:tr>
      <w:tr w:rsidR="00356E11" w:rsidRPr="002E656F" w14:paraId="223B125F" w14:textId="77777777" w:rsidTr="00356E11">
        <w:trPr>
          <w:trHeight w:val="72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316BDAE9" w14:textId="475001DB" w:rsidR="00356E11" w:rsidRPr="0064684A" w:rsidRDefault="00356E11" w:rsidP="002E656F">
            <w:pPr>
              <w:ind w:left="180"/>
              <w:rPr>
                <w:rFonts w:asciiTheme="majorHAnsi" w:hAnsiTheme="majorHAnsi" w:cstheme="majorHAnsi"/>
                <w:color w:val="000000" w:themeColor="text1"/>
              </w:rPr>
            </w:pPr>
            <w:r w:rsidRPr="0064684A">
              <w:rPr>
                <w:rFonts w:asciiTheme="majorHAnsi" w:hAnsiTheme="majorHAnsi" w:cstheme="majorHAnsi"/>
                <w:color w:val="000000" w:themeColor="text1"/>
              </w:rPr>
              <w:lastRenderedPageBreak/>
              <w:t>EE&amp;C Report Readiness</w:t>
            </w:r>
          </w:p>
        </w:tc>
        <w:tc>
          <w:tcPr>
            <w:tcW w:w="4320" w:type="dxa"/>
            <w:vAlign w:val="center"/>
          </w:tcPr>
          <w:p w14:paraId="11B9DC09" w14:textId="78712EBE" w:rsidR="00356E11" w:rsidRPr="0064684A" w:rsidRDefault="00356E11" w:rsidP="002E656F">
            <w:pPr>
              <w:ind w:left="18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r w:rsidRPr="0064684A">
              <w:rPr>
                <w:rFonts w:asciiTheme="majorHAnsi" w:hAnsiTheme="majorHAnsi" w:cstheme="majorHAnsi"/>
                <w:color w:val="000000" w:themeColor="text1"/>
              </w:rPr>
              <w:t>[Ready / Gaps Exist / Not Ready]</w:t>
            </w:r>
          </w:p>
        </w:tc>
      </w:tr>
      <w:tr w:rsidR="00356E11" w:rsidRPr="002E656F" w14:paraId="62BB8B0E" w14:textId="77777777" w:rsidTr="00356E11">
        <w:trPr>
          <w:cnfStyle w:val="000000100000" w:firstRow="0" w:lastRow="0" w:firstColumn="0" w:lastColumn="0" w:oddVBand="0" w:evenVBand="0" w:oddHBand="1" w:evenHBand="0" w:firstRowFirstColumn="0" w:firstRowLastColumn="0" w:lastRowFirstColumn="0" w:lastRowLastColumn="0"/>
          <w:trHeight w:val="720"/>
        </w:trPr>
        <w:tc>
          <w:tcPr>
            <w:cnfStyle w:val="001000000000" w:firstRow="0" w:lastRow="0" w:firstColumn="1" w:lastColumn="0" w:oddVBand="0" w:evenVBand="0" w:oddHBand="0" w:evenHBand="0" w:firstRowFirstColumn="0" w:firstRowLastColumn="0" w:lastRowFirstColumn="0" w:lastRowLastColumn="0"/>
            <w:tcW w:w="4320" w:type="dxa"/>
            <w:vAlign w:val="center"/>
          </w:tcPr>
          <w:p w14:paraId="20AB9C3B" w14:textId="760A7B21" w:rsidR="00356E11" w:rsidRPr="0064684A" w:rsidRDefault="00356E11" w:rsidP="002E656F">
            <w:pPr>
              <w:ind w:left="180"/>
              <w:rPr>
                <w:rFonts w:asciiTheme="majorHAnsi" w:hAnsiTheme="majorHAnsi" w:cstheme="majorHAnsi"/>
                <w:color w:val="000000" w:themeColor="text1"/>
              </w:rPr>
            </w:pPr>
            <w:r w:rsidRPr="0064684A">
              <w:rPr>
                <w:rFonts w:asciiTheme="majorHAnsi" w:hAnsiTheme="majorHAnsi" w:cstheme="majorHAnsi"/>
                <w:color w:val="000000" w:themeColor="text1"/>
              </w:rPr>
              <w:t>Energy Audit Readiness</w:t>
            </w:r>
          </w:p>
        </w:tc>
        <w:tc>
          <w:tcPr>
            <w:tcW w:w="4320" w:type="dxa"/>
            <w:vAlign w:val="center"/>
          </w:tcPr>
          <w:p w14:paraId="72953FC0" w14:textId="0FB5D2EA" w:rsidR="00356E11" w:rsidRPr="0064684A" w:rsidRDefault="00356E11" w:rsidP="002E656F">
            <w:pPr>
              <w:ind w:left="18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r w:rsidRPr="0064684A">
              <w:rPr>
                <w:rFonts w:asciiTheme="majorHAnsi" w:hAnsiTheme="majorHAnsi" w:cstheme="majorHAnsi"/>
                <w:color w:val="000000" w:themeColor="text1"/>
              </w:rPr>
              <w:t>[Completed / Pending REA / None]</w:t>
            </w:r>
          </w:p>
        </w:tc>
      </w:tr>
      <w:tr w:rsidR="00356E11" w:rsidRPr="002E656F" w14:paraId="0EC71265" w14:textId="77777777" w:rsidTr="0064684A">
        <w:trPr>
          <w:trHeight w:val="720"/>
        </w:trPr>
        <w:tc>
          <w:tcPr>
            <w:cnfStyle w:val="001000000000" w:firstRow="0" w:lastRow="0" w:firstColumn="1" w:lastColumn="0" w:oddVBand="0" w:evenVBand="0" w:oddHBand="0" w:evenHBand="0" w:firstRowFirstColumn="0" w:firstRowLastColumn="0" w:lastRowFirstColumn="0" w:lastRowLastColumn="0"/>
            <w:tcW w:w="4320" w:type="dxa"/>
            <w:tcBorders>
              <w:bottom w:val="single" w:sz="8" w:space="0" w:color="4F81BD" w:themeColor="accent1"/>
            </w:tcBorders>
            <w:vAlign w:val="center"/>
          </w:tcPr>
          <w:p w14:paraId="208102B1" w14:textId="7D028C51" w:rsidR="00356E11" w:rsidRPr="0064684A" w:rsidRDefault="00E634BD" w:rsidP="002E656F">
            <w:pPr>
              <w:ind w:left="180"/>
              <w:rPr>
                <w:rFonts w:asciiTheme="majorHAnsi" w:hAnsiTheme="majorHAnsi" w:cstheme="majorHAnsi"/>
                <w:color w:val="000000" w:themeColor="text1"/>
              </w:rPr>
            </w:pPr>
            <w:r w:rsidRPr="0064684A">
              <w:rPr>
                <w:rFonts w:asciiTheme="majorHAnsi" w:hAnsiTheme="majorHAnsi" w:cstheme="majorHAnsi"/>
                <w:color w:val="000000" w:themeColor="text1"/>
              </w:rPr>
              <w:t>EIL Readiness (If applicable) </w:t>
            </w:r>
          </w:p>
        </w:tc>
        <w:tc>
          <w:tcPr>
            <w:tcW w:w="4320" w:type="dxa"/>
            <w:tcBorders>
              <w:bottom w:val="single" w:sz="8" w:space="0" w:color="4F81BD" w:themeColor="accent1"/>
            </w:tcBorders>
            <w:vAlign w:val="center"/>
          </w:tcPr>
          <w:p w14:paraId="10510204" w14:textId="187A18C4" w:rsidR="00356E11" w:rsidRPr="0064684A" w:rsidRDefault="00E634BD" w:rsidP="002E656F">
            <w:pPr>
              <w:ind w:left="18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r w:rsidRPr="0064684A">
              <w:rPr>
                <w:rFonts w:asciiTheme="majorHAnsi" w:hAnsiTheme="majorHAnsi" w:cstheme="majorHAnsi"/>
                <w:color w:val="000000" w:themeColor="text1"/>
              </w:rPr>
              <w:t>[Ready / Partial / Not Ready]</w:t>
            </w:r>
          </w:p>
        </w:tc>
      </w:tr>
    </w:tbl>
    <w:p w14:paraId="0EE74B2E" w14:textId="77777777" w:rsidR="00341442" w:rsidRPr="002E656F" w:rsidRDefault="00000000" w:rsidP="002E656F">
      <w:pPr>
        <w:rPr>
          <w:rFonts w:asciiTheme="majorHAnsi" w:hAnsiTheme="majorHAnsi" w:cstheme="majorHAnsi"/>
          <w:color w:val="EE0000"/>
        </w:rPr>
      </w:pPr>
      <w:r w:rsidRPr="002E656F">
        <w:rPr>
          <w:rFonts w:asciiTheme="majorHAnsi" w:hAnsiTheme="majorHAnsi" w:cstheme="majorHAnsi"/>
          <w:b/>
        </w:rPr>
        <w:br/>
      </w:r>
      <w:r w:rsidRPr="002E656F">
        <w:rPr>
          <w:rFonts w:asciiTheme="majorHAnsi" w:hAnsiTheme="majorHAnsi" w:cstheme="majorHAnsi"/>
          <w:b/>
          <w:color w:val="EE0000"/>
        </w:rPr>
        <w:t>Major Gaps Identified (Severe Risk):</w:t>
      </w:r>
    </w:p>
    <w:p w14:paraId="5A3BEABE" w14:textId="3148370B" w:rsidR="00341442" w:rsidRPr="0064684A" w:rsidRDefault="00000000" w:rsidP="002E656F">
      <w:pPr>
        <w:pStyle w:val="ListBullet"/>
        <w:numPr>
          <w:ilvl w:val="0"/>
          <w:numId w:val="16"/>
        </w:numPr>
        <w:rPr>
          <w:rFonts w:asciiTheme="majorHAnsi" w:hAnsiTheme="majorHAnsi" w:cstheme="majorHAnsi"/>
          <w:sz w:val="21"/>
          <w:szCs w:val="21"/>
        </w:rPr>
      </w:pPr>
      <w:r w:rsidRPr="0064684A">
        <w:rPr>
          <w:rFonts w:asciiTheme="majorHAnsi" w:hAnsiTheme="majorHAnsi" w:cstheme="majorHAnsi"/>
          <w:sz w:val="21"/>
          <w:szCs w:val="21"/>
        </w:rPr>
        <w:t>A Registered Energy Manager (REM) has not yet been formally appointed.</w:t>
      </w:r>
    </w:p>
    <w:p w14:paraId="47A95C5B" w14:textId="210F3BA0" w:rsidR="00341442" w:rsidRPr="0064684A" w:rsidRDefault="00000000" w:rsidP="002E656F">
      <w:pPr>
        <w:pStyle w:val="ListBullet"/>
        <w:numPr>
          <w:ilvl w:val="0"/>
          <w:numId w:val="16"/>
        </w:numPr>
        <w:rPr>
          <w:rFonts w:asciiTheme="majorHAnsi" w:hAnsiTheme="majorHAnsi" w:cstheme="majorHAnsi"/>
          <w:sz w:val="21"/>
          <w:szCs w:val="21"/>
        </w:rPr>
      </w:pPr>
      <w:r w:rsidRPr="0064684A">
        <w:rPr>
          <w:rFonts w:asciiTheme="majorHAnsi" w:hAnsiTheme="majorHAnsi" w:cstheme="majorHAnsi"/>
          <w:sz w:val="21"/>
          <w:szCs w:val="21"/>
        </w:rPr>
        <w:t>Energy audit readiness is incomplete and requires a Registered Energy Auditor (REA) full scope review.</w:t>
      </w:r>
    </w:p>
    <w:p w14:paraId="4748E706" w14:textId="77777777" w:rsidR="00341442" w:rsidRPr="002E656F" w:rsidRDefault="00000000" w:rsidP="002E656F">
      <w:pPr>
        <w:rPr>
          <w:rFonts w:asciiTheme="majorHAnsi" w:hAnsiTheme="majorHAnsi" w:cstheme="majorHAnsi"/>
          <w:b/>
          <w:color w:val="E36C0A" w:themeColor="accent6" w:themeShade="BF"/>
        </w:rPr>
      </w:pPr>
      <w:r w:rsidRPr="002E656F">
        <w:rPr>
          <w:rFonts w:asciiTheme="majorHAnsi" w:hAnsiTheme="majorHAnsi" w:cstheme="majorHAnsi"/>
          <w:b/>
        </w:rPr>
        <w:br/>
      </w:r>
      <w:r w:rsidRPr="002E656F">
        <w:rPr>
          <w:rFonts w:asciiTheme="majorHAnsi" w:hAnsiTheme="majorHAnsi" w:cstheme="majorHAnsi"/>
          <w:b/>
          <w:color w:val="E36C0A" w:themeColor="accent6" w:themeShade="BF"/>
        </w:rPr>
        <w:t>Moderate Gaps Identified:</w:t>
      </w:r>
    </w:p>
    <w:p w14:paraId="52D3B475" w14:textId="2331045A" w:rsidR="00341442" w:rsidRPr="0064684A" w:rsidRDefault="00000000" w:rsidP="002E656F">
      <w:pPr>
        <w:pStyle w:val="ListBullet"/>
        <w:numPr>
          <w:ilvl w:val="0"/>
          <w:numId w:val="15"/>
        </w:numPr>
        <w:rPr>
          <w:rFonts w:asciiTheme="majorHAnsi" w:hAnsiTheme="majorHAnsi" w:cstheme="majorHAnsi"/>
          <w:sz w:val="21"/>
          <w:szCs w:val="21"/>
        </w:rPr>
      </w:pPr>
      <w:r w:rsidRPr="0064684A">
        <w:rPr>
          <w:rFonts w:asciiTheme="majorHAnsi" w:hAnsiTheme="majorHAnsi" w:cstheme="majorHAnsi"/>
          <w:sz w:val="21"/>
          <w:szCs w:val="21"/>
        </w:rPr>
        <w:t>The Energy Management System (EnMS) is not yet fully established across all required levels.</w:t>
      </w:r>
    </w:p>
    <w:p w14:paraId="1EBEE032" w14:textId="77777777" w:rsidR="00341442" w:rsidRPr="002E656F" w:rsidRDefault="00000000" w:rsidP="002E656F">
      <w:pPr>
        <w:ind w:left="180"/>
        <w:rPr>
          <w:rFonts w:asciiTheme="majorHAnsi" w:hAnsiTheme="majorHAnsi" w:cstheme="majorHAnsi"/>
        </w:rPr>
      </w:pPr>
      <w:r w:rsidRPr="002E656F">
        <w:rPr>
          <w:rFonts w:asciiTheme="majorHAnsi" w:hAnsiTheme="majorHAnsi" w:cstheme="majorHAnsi"/>
        </w:rPr>
        <w:br w:type="page"/>
      </w:r>
    </w:p>
    <w:p w14:paraId="1BABA307" w14:textId="77777777" w:rsidR="00341442" w:rsidRPr="0064684A" w:rsidRDefault="00000000" w:rsidP="002E656F">
      <w:pPr>
        <w:pStyle w:val="Heading2"/>
        <w:ind w:left="180"/>
        <w:rPr>
          <w:rFonts w:cstheme="majorHAnsi"/>
          <w:color w:val="548DD4" w:themeColor="text2" w:themeTint="99"/>
        </w:rPr>
      </w:pPr>
      <w:r w:rsidRPr="0064684A">
        <w:rPr>
          <w:rFonts w:cstheme="majorHAnsi"/>
          <w:color w:val="548DD4" w:themeColor="text2" w:themeTint="99"/>
        </w:rPr>
        <w:lastRenderedPageBreak/>
        <w:t>3. Indicative EECA Compliance Timeline</w:t>
      </w:r>
    </w:p>
    <w:p w14:paraId="2299F440" w14:textId="77777777" w:rsidR="00341442" w:rsidRPr="0064684A" w:rsidRDefault="00000000" w:rsidP="002E656F">
      <w:pPr>
        <w:ind w:left="180"/>
        <w:rPr>
          <w:rFonts w:asciiTheme="majorHAnsi" w:hAnsiTheme="majorHAnsi" w:cstheme="majorHAnsi"/>
          <w:sz w:val="21"/>
          <w:szCs w:val="21"/>
        </w:rPr>
      </w:pPr>
      <w:r w:rsidRPr="0064684A">
        <w:rPr>
          <w:rFonts w:asciiTheme="majorHAnsi" w:hAnsiTheme="majorHAnsi" w:cstheme="majorHAnsi"/>
          <w:sz w:val="21"/>
          <w:szCs w:val="21"/>
        </w:rPr>
        <w:t>Understanding the statutory deadlines is critical. The following timeline illustrates the standard compliance milestones required once a facility is officially notified by the Energy Commission.</w:t>
      </w:r>
    </w:p>
    <w:p w14:paraId="21A3E2D9" w14:textId="1F0DCB24" w:rsidR="00E634BD" w:rsidRPr="002E656F" w:rsidRDefault="00E634BD" w:rsidP="002E656F">
      <w:pPr>
        <w:ind w:left="180"/>
        <w:rPr>
          <w:rFonts w:asciiTheme="majorHAnsi" w:hAnsiTheme="majorHAnsi" w:cstheme="majorHAnsi"/>
        </w:rPr>
      </w:pPr>
      <w:r w:rsidRPr="002E656F">
        <w:rPr>
          <w:rFonts w:asciiTheme="majorHAnsi" w:hAnsiTheme="majorHAnsi" w:cstheme="majorHAnsi"/>
          <w:noProof/>
        </w:rPr>
        <w:drawing>
          <wp:inline distT="0" distB="0" distL="0" distR="0" wp14:anchorId="47758632" wp14:editId="595E07B2">
            <wp:extent cx="5486400" cy="4214495"/>
            <wp:effectExtent l="38100" t="38100" r="38100" b="40005"/>
            <wp:docPr id="12932701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270109" name="Picture 1293270109"/>
                    <pic:cNvPicPr/>
                  </pic:nvPicPr>
                  <pic:blipFill>
                    <a:blip r:embed="rId10"/>
                    <a:stretch>
                      <a:fillRect/>
                    </a:stretch>
                  </pic:blipFill>
                  <pic:spPr>
                    <a:xfrm>
                      <a:off x="0" y="0"/>
                      <a:ext cx="5486400" cy="4214495"/>
                    </a:xfrm>
                    <a:prstGeom prst="rect">
                      <a:avLst/>
                    </a:prstGeom>
                    <a:ln w="28575">
                      <a:solidFill>
                        <a:schemeClr val="tx2">
                          <a:lumMod val="60000"/>
                          <a:lumOff val="40000"/>
                        </a:schemeClr>
                      </a:solidFill>
                      <a:extLst>
                        <a:ext uri="{C807C97D-BFC1-408E-A445-0C87EB9F89A2}">
                          <ask:lineSketchStyleProps xmlns:ask="http://schemas.microsoft.com/office/drawing/2018/sketchyshapes">
                            <ask:type>
                              <ask:lineSketchNone/>
                            </ask:type>
                          </ask:lineSketchStyleProps>
                        </a:ext>
                      </a:extLst>
                    </a:ln>
                  </pic:spPr>
                </pic:pic>
              </a:graphicData>
            </a:graphic>
          </wp:inline>
        </w:drawing>
      </w:r>
      <w:r w:rsidRPr="002E656F">
        <w:rPr>
          <w:rFonts w:asciiTheme="majorHAnsi" w:hAnsiTheme="majorHAnsi" w:cstheme="majorHAnsi"/>
        </w:rPr>
        <w:br/>
      </w:r>
    </w:p>
    <w:p w14:paraId="233E108E" w14:textId="25CA3654" w:rsidR="00341442" w:rsidRPr="002E656F" w:rsidRDefault="00E634BD" w:rsidP="002E656F">
      <w:pPr>
        <w:ind w:left="180"/>
        <w:rPr>
          <w:rFonts w:asciiTheme="majorHAnsi" w:hAnsiTheme="majorHAnsi" w:cstheme="majorHAnsi"/>
        </w:rPr>
      </w:pPr>
      <w:r w:rsidRPr="002E656F">
        <w:rPr>
          <w:rFonts w:asciiTheme="majorHAnsi" w:hAnsiTheme="majorHAnsi" w:cstheme="majorHAnsi"/>
        </w:rPr>
        <w:br w:type="page"/>
      </w:r>
    </w:p>
    <w:p w14:paraId="27425F33" w14:textId="77777777" w:rsidR="00341442" w:rsidRPr="0064684A" w:rsidRDefault="00000000" w:rsidP="002E656F">
      <w:pPr>
        <w:pStyle w:val="Heading2"/>
        <w:ind w:left="180"/>
        <w:rPr>
          <w:rFonts w:cstheme="majorHAnsi"/>
          <w:color w:val="4F81BD" w:themeColor="accent1"/>
        </w:rPr>
      </w:pPr>
      <w:r w:rsidRPr="0064684A">
        <w:rPr>
          <w:rFonts w:cstheme="majorHAnsi"/>
          <w:color w:val="4F81BD" w:themeColor="accent1"/>
        </w:rPr>
        <w:lastRenderedPageBreak/>
        <w:t>4. Recommendation of Implementation Actions</w:t>
      </w:r>
    </w:p>
    <w:p w14:paraId="384ADC21" w14:textId="77777777" w:rsidR="00341442" w:rsidRPr="0064684A" w:rsidRDefault="00000000" w:rsidP="002E656F">
      <w:pPr>
        <w:ind w:left="180"/>
        <w:rPr>
          <w:rFonts w:asciiTheme="majorHAnsi" w:hAnsiTheme="majorHAnsi" w:cstheme="majorHAnsi"/>
          <w:sz w:val="21"/>
          <w:szCs w:val="21"/>
        </w:rPr>
      </w:pPr>
      <w:r w:rsidRPr="0064684A">
        <w:rPr>
          <w:rFonts w:asciiTheme="majorHAnsi" w:hAnsiTheme="majorHAnsi" w:cstheme="majorHAnsi"/>
          <w:sz w:val="21"/>
          <w:szCs w:val="21"/>
        </w:rPr>
        <w:t>To bridge the compliance gaps identified in your self-assessment, the following framework categorizes the mandatory EECA requirements. Your facility's engineering and management teams may utilize this structured workspace to outline specific, assignable action plans.</w:t>
      </w:r>
      <w:r w:rsidRPr="0064684A">
        <w:rPr>
          <w:rFonts w:asciiTheme="majorHAnsi" w:hAnsiTheme="majorHAnsi" w:cstheme="majorHAnsi"/>
          <w:sz w:val="21"/>
          <w:szCs w:val="21"/>
        </w:rPr>
        <w:br/>
      </w:r>
    </w:p>
    <w:tbl>
      <w:tblPr>
        <w:tblStyle w:val="LightGrid-Accent1"/>
        <w:tblW w:w="0" w:type="auto"/>
        <w:tblLook w:val="04A0" w:firstRow="1" w:lastRow="0" w:firstColumn="1" w:lastColumn="0" w:noHBand="0" w:noVBand="1"/>
      </w:tblPr>
      <w:tblGrid>
        <w:gridCol w:w="2160"/>
        <w:gridCol w:w="2160"/>
        <w:gridCol w:w="2160"/>
        <w:gridCol w:w="2160"/>
      </w:tblGrid>
      <w:tr w:rsidR="00341442" w:rsidRPr="0064684A" w14:paraId="4D295C87" w14:textId="77777777" w:rsidTr="003414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EBA519" w14:textId="77777777" w:rsidR="00341442" w:rsidRPr="0064684A" w:rsidRDefault="00000000" w:rsidP="002E656F">
            <w:pPr>
              <w:ind w:left="180"/>
              <w:rPr>
                <w:rFonts w:asciiTheme="majorHAnsi" w:hAnsiTheme="majorHAnsi" w:cstheme="majorHAnsi"/>
                <w:color w:val="548DD4" w:themeColor="text2" w:themeTint="99"/>
              </w:rPr>
            </w:pPr>
            <w:r w:rsidRPr="0064684A">
              <w:rPr>
                <w:rFonts w:asciiTheme="majorHAnsi" w:hAnsiTheme="majorHAnsi" w:cstheme="majorHAnsi"/>
                <w:color w:val="548DD4" w:themeColor="text2" w:themeTint="99"/>
              </w:rPr>
              <w:t>EECA Category</w:t>
            </w:r>
          </w:p>
        </w:tc>
        <w:tc>
          <w:tcPr>
            <w:tcW w:w="2160" w:type="dxa"/>
          </w:tcPr>
          <w:p w14:paraId="2D297205" w14:textId="77777777" w:rsidR="00341442" w:rsidRPr="0064684A" w:rsidRDefault="00000000" w:rsidP="002E656F">
            <w:pPr>
              <w:ind w:left="18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548DD4" w:themeColor="text2" w:themeTint="99"/>
              </w:rPr>
            </w:pPr>
            <w:r w:rsidRPr="0064684A">
              <w:rPr>
                <w:rFonts w:asciiTheme="majorHAnsi" w:hAnsiTheme="majorHAnsi" w:cstheme="majorHAnsi"/>
                <w:color w:val="548DD4" w:themeColor="text2" w:themeTint="99"/>
              </w:rPr>
              <w:t>Identified Gap / Status</w:t>
            </w:r>
          </w:p>
        </w:tc>
        <w:tc>
          <w:tcPr>
            <w:tcW w:w="2160" w:type="dxa"/>
          </w:tcPr>
          <w:p w14:paraId="2A07FDAA" w14:textId="77777777" w:rsidR="00341442" w:rsidRPr="0064684A" w:rsidRDefault="00000000" w:rsidP="002E656F">
            <w:pPr>
              <w:ind w:left="18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548DD4" w:themeColor="text2" w:themeTint="99"/>
              </w:rPr>
            </w:pPr>
            <w:r w:rsidRPr="0064684A">
              <w:rPr>
                <w:rFonts w:asciiTheme="majorHAnsi" w:hAnsiTheme="majorHAnsi" w:cstheme="majorHAnsi"/>
                <w:color w:val="548DD4" w:themeColor="text2" w:themeTint="99"/>
              </w:rPr>
              <w:t>Recommended Action Plan</w:t>
            </w:r>
          </w:p>
        </w:tc>
        <w:tc>
          <w:tcPr>
            <w:tcW w:w="2160" w:type="dxa"/>
          </w:tcPr>
          <w:p w14:paraId="0F9B200D" w14:textId="77777777" w:rsidR="00341442" w:rsidRPr="0064684A" w:rsidRDefault="00000000" w:rsidP="002E656F">
            <w:pPr>
              <w:ind w:left="18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548DD4" w:themeColor="text2" w:themeTint="99"/>
              </w:rPr>
            </w:pPr>
            <w:r w:rsidRPr="0064684A">
              <w:rPr>
                <w:rFonts w:asciiTheme="majorHAnsi" w:hAnsiTheme="majorHAnsi" w:cstheme="majorHAnsi"/>
                <w:color w:val="548DD4" w:themeColor="text2" w:themeTint="99"/>
              </w:rPr>
              <w:t>Target Date / Owner</w:t>
            </w:r>
          </w:p>
        </w:tc>
      </w:tr>
      <w:tr w:rsidR="00341442" w:rsidRPr="002E656F" w14:paraId="0CD34858" w14:textId="77777777" w:rsidTr="003414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6CF7DA9" w14:textId="77777777" w:rsidR="00341442" w:rsidRPr="002E656F" w:rsidRDefault="00000000" w:rsidP="002E656F">
            <w:pPr>
              <w:ind w:left="180"/>
              <w:rPr>
                <w:rFonts w:asciiTheme="majorHAnsi" w:hAnsiTheme="majorHAnsi" w:cstheme="majorHAnsi"/>
              </w:rPr>
            </w:pPr>
            <w:r w:rsidRPr="002E656F">
              <w:rPr>
                <w:rFonts w:asciiTheme="majorHAnsi" w:hAnsiTheme="majorHAnsi" w:cstheme="majorHAnsi"/>
              </w:rPr>
              <w:t>A. REM Appointment</w:t>
            </w:r>
          </w:p>
        </w:tc>
        <w:tc>
          <w:tcPr>
            <w:tcW w:w="2160" w:type="dxa"/>
          </w:tcPr>
          <w:p w14:paraId="21149556" w14:textId="77777777" w:rsidR="00341442" w:rsidRPr="002E656F" w:rsidRDefault="00000000" w:rsidP="002E656F">
            <w:pPr>
              <w:ind w:left="18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2E656F">
              <w:rPr>
                <w:rFonts w:asciiTheme="majorHAnsi" w:hAnsiTheme="majorHAnsi" w:cstheme="majorHAnsi"/>
              </w:rPr>
              <w:t>[Auto-filled] e.g., No formal REM appointed.</w:t>
            </w:r>
          </w:p>
        </w:tc>
        <w:tc>
          <w:tcPr>
            <w:tcW w:w="2160" w:type="dxa"/>
          </w:tcPr>
          <w:p w14:paraId="2DB1CF06" w14:textId="77777777" w:rsidR="00341442" w:rsidRPr="002E656F" w:rsidRDefault="00000000" w:rsidP="002E656F">
            <w:pPr>
              <w:ind w:left="18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2E656F">
              <w:rPr>
                <w:rFonts w:asciiTheme="majorHAnsi" w:hAnsiTheme="majorHAnsi" w:cstheme="majorHAnsi"/>
              </w:rPr>
              <w:br/>
            </w:r>
            <w:r w:rsidRPr="002E656F">
              <w:rPr>
                <w:rFonts w:asciiTheme="majorHAnsi" w:hAnsiTheme="majorHAnsi" w:cstheme="majorHAnsi"/>
              </w:rPr>
              <w:br/>
            </w:r>
            <w:r w:rsidRPr="002E656F">
              <w:rPr>
                <w:rFonts w:asciiTheme="majorHAnsi" w:hAnsiTheme="majorHAnsi" w:cstheme="majorHAnsi"/>
              </w:rPr>
              <w:br/>
            </w:r>
          </w:p>
        </w:tc>
        <w:tc>
          <w:tcPr>
            <w:tcW w:w="2160" w:type="dxa"/>
          </w:tcPr>
          <w:p w14:paraId="195FD74C" w14:textId="77777777" w:rsidR="00341442" w:rsidRPr="002E656F" w:rsidRDefault="00341442" w:rsidP="002E656F">
            <w:pPr>
              <w:ind w:left="18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
        </w:tc>
      </w:tr>
      <w:tr w:rsidR="00341442" w:rsidRPr="002E656F" w14:paraId="75411A95" w14:textId="77777777" w:rsidTr="003414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08B0142" w14:textId="77777777" w:rsidR="00341442" w:rsidRPr="002E656F" w:rsidRDefault="00000000" w:rsidP="002E656F">
            <w:pPr>
              <w:ind w:left="180"/>
              <w:rPr>
                <w:rFonts w:asciiTheme="majorHAnsi" w:hAnsiTheme="majorHAnsi" w:cstheme="majorHAnsi"/>
              </w:rPr>
            </w:pPr>
            <w:r w:rsidRPr="002E656F">
              <w:rPr>
                <w:rFonts w:asciiTheme="majorHAnsi" w:hAnsiTheme="majorHAnsi" w:cstheme="majorHAnsi"/>
              </w:rPr>
              <w:t>B. EnMS Establishment</w:t>
            </w:r>
          </w:p>
        </w:tc>
        <w:tc>
          <w:tcPr>
            <w:tcW w:w="2160" w:type="dxa"/>
          </w:tcPr>
          <w:p w14:paraId="0FBBF7AD" w14:textId="77777777" w:rsidR="00341442" w:rsidRPr="002E656F" w:rsidRDefault="00000000" w:rsidP="002E656F">
            <w:pPr>
              <w:ind w:left="180"/>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2E656F">
              <w:rPr>
                <w:rFonts w:asciiTheme="majorHAnsi" w:hAnsiTheme="majorHAnsi" w:cstheme="majorHAnsi"/>
              </w:rPr>
              <w:t>[Auto-filled] e.g., Partial policies.</w:t>
            </w:r>
          </w:p>
        </w:tc>
        <w:tc>
          <w:tcPr>
            <w:tcW w:w="2160" w:type="dxa"/>
          </w:tcPr>
          <w:p w14:paraId="39197241" w14:textId="77777777" w:rsidR="00341442" w:rsidRPr="002E656F" w:rsidRDefault="00000000" w:rsidP="002E656F">
            <w:pPr>
              <w:ind w:left="180"/>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2E656F">
              <w:rPr>
                <w:rFonts w:asciiTheme="majorHAnsi" w:hAnsiTheme="majorHAnsi" w:cstheme="majorHAnsi"/>
              </w:rPr>
              <w:br/>
            </w:r>
            <w:r w:rsidRPr="002E656F">
              <w:rPr>
                <w:rFonts w:asciiTheme="majorHAnsi" w:hAnsiTheme="majorHAnsi" w:cstheme="majorHAnsi"/>
              </w:rPr>
              <w:br/>
            </w:r>
            <w:r w:rsidRPr="002E656F">
              <w:rPr>
                <w:rFonts w:asciiTheme="majorHAnsi" w:hAnsiTheme="majorHAnsi" w:cstheme="majorHAnsi"/>
              </w:rPr>
              <w:br/>
            </w:r>
          </w:p>
        </w:tc>
        <w:tc>
          <w:tcPr>
            <w:tcW w:w="2160" w:type="dxa"/>
          </w:tcPr>
          <w:p w14:paraId="2040E941" w14:textId="77777777" w:rsidR="00341442" w:rsidRPr="002E656F" w:rsidRDefault="00341442" w:rsidP="002E656F">
            <w:pPr>
              <w:ind w:left="180"/>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341442" w:rsidRPr="002E656F" w14:paraId="096FFAB0" w14:textId="77777777" w:rsidTr="003414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A5BA44" w14:textId="77777777" w:rsidR="00341442" w:rsidRPr="002E656F" w:rsidRDefault="00000000" w:rsidP="002E656F">
            <w:pPr>
              <w:ind w:left="180"/>
              <w:rPr>
                <w:rFonts w:asciiTheme="majorHAnsi" w:hAnsiTheme="majorHAnsi" w:cstheme="majorHAnsi"/>
              </w:rPr>
            </w:pPr>
            <w:r w:rsidRPr="002E656F">
              <w:rPr>
                <w:rFonts w:asciiTheme="majorHAnsi" w:hAnsiTheme="majorHAnsi" w:cstheme="majorHAnsi"/>
              </w:rPr>
              <w:t>C. EE&amp;C Reporting</w:t>
            </w:r>
          </w:p>
        </w:tc>
        <w:tc>
          <w:tcPr>
            <w:tcW w:w="2160" w:type="dxa"/>
          </w:tcPr>
          <w:p w14:paraId="39E7B15F" w14:textId="77777777" w:rsidR="00341442" w:rsidRPr="002E656F" w:rsidRDefault="00000000" w:rsidP="002E656F">
            <w:pPr>
              <w:ind w:left="18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2E656F">
              <w:rPr>
                <w:rFonts w:asciiTheme="majorHAnsi" w:hAnsiTheme="majorHAnsi" w:cstheme="majorHAnsi"/>
              </w:rPr>
              <w:t>[Auto-filled] e.g., Data not finalized.</w:t>
            </w:r>
          </w:p>
        </w:tc>
        <w:tc>
          <w:tcPr>
            <w:tcW w:w="2160" w:type="dxa"/>
          </w:tcPr>
          <w:p w14:paraId="088C6E38" w14:textId="77777777" w:rsidR="00341442" w:rsidRPr="002E656F" w:rsidRDefault="00000000" w:rsidP="002E656F">
            <w:pPr>
              <w:ind w:left="18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2E656F">
              <w:rPr>
                <w:rFonts w:asciiTheme="majorHAnsi" w:hAnsiTheme="majorHAnsi" w:cstheme="majorHAnsi"/>
              </w:rPr>
              <w:br/>
            </w:r>
            <w:r w:rsidRPr="002E656F">
              <w:rPr>
                <w:rFonts w:asciiTheme="majorHAnsi" w:hAnsiTheme="majorHAnsi" w:cstheme="majorHAnsi"/>
              </w:rPr>
              <w:br/>
            </w:r>
            <w:r w:rsidRPr="002E656F">
              <w:rPr>
                <w:rFonts w:asciiTheme="majorHAnsi" w:hAnsiTheme="majorHAnsi" w:cstheme="majorHAnsi"/>
              </w:rPr>
              <w:br/>
            </w:r>
          </w:p>
        </w:tc>
        <w:tc>
          <w:tcPr>
            <w:tcW w:w="2160" w:type="dxa"/>
          </w:tcPr>
          <w:p w14:paraId="0E6D129E" w14:textId="77777777" w:rsidR="00341442" w:rsidRPr="002E656F" w:rsidRDefault="00341442" w:rsidP="002E656F">
            <w:pPr>
              <w:ind w:left="180"/>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
        </w:tc>
      </w:tr>
      <w:tr w:rsidR="00341442" w:rsidRPr="002E656F" w14:paraId="7AFE0BA3" w14:textId="77777777" w:rsidTr="003414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7F0E9C3" w14:textId="77777777" w:rsidR="00341442" w:rsidRPr="002E656F" w:rsidRDefault="00000000" w:rsidP="002E656F">
            <w:pPr>
              <w:ind w:left="180"/>
              <w:rPr>
                <w:rFonts w:asciiTheme="majorHAnsi" w:hAnsiTheme="majorHAnsi" w:cstheme="majorHAnsi"/>
              </w:rPr>
            </w:pPr>
            <w:r w:rsidRPr="002E656F">
              <w:rPr>
                <w:rFonts w:asciiTheme="majorHAnsi" w:hAnsiTheme="majorHAnsi" w:cstheme="majorHAnsi"/>
              </w:rPr>
              <w:t>D. Energy Audit (REA)</w:t>
            </w:r>
          </w:p>
        </w:tc>
        <w:tc>
          <w:tcPr>
            <w:tcW w:w="2160" w:type="dxa"/>
          </w:tcPr>
          <w:p w14:paraId="60449DAD" w14:textId="77777777" w:rsidR="00341442" w:rsidRPr="002E656F" w:rsidRDefault="00000000" w:rsidP="002E656F">
            <w:pPr>
              <w:ind w:left="180"/>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2E656F">
              <w:rPr>
                <w:rFonts w:asciiTheme="majorHAnsi" w:hAnsiTheme="majorHAnsi" w:cstheme="majorHAnsi"/>
              </w:rPr>
              <w:t>[Auto-filled] e.g., Pending REA sign-off.</w:t>
            </w:r>
          </w:p>
        </w:tc>
        <w:tc>
          <w:tcPr>
            <w:tcW w:w="2160" w:type="dxa"/>
          </w:tcPr>
          <w:p w14:paraId="4361ECC2" w14:textId="77777777" w:rsidR="00341442" w:rsidRPr="002E656F" w:rsidRDefault="00000000" w:rsidP="002E656F">
            <w:pPr>
              <w:ind w:left="180"/>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2E656F">
              <w:rPr>
                <w:rFonts w:asciiTheme="majorHAnsi" w:hAnsiTheme="majorHAnsi" w:cstheme="majorHAnsi"/>
              </w:rPr>
              <w:br/>
            </w:r>
            <w:r w:rsidRPr="002E656F">
              <w:rPr>
                <w:rFonts w:asciiTheme="majorHAnsi" w:hAnsiTheme="majorHAnsi" w:cstheme="majorHAnsi"/>
              </w:rPr>
              <w:br/>
            </w:r>
            <w:r w:rsidRPr="002E656F">
              <w:rPr>
                <w:rFonts w:asciiTheme="majorHAnsi" w:hAnsiTheme="majorHAnsi" w:cstheme="majorHAnsi"/>
              </w:rPr>
              <w:br/>
            </w:r>
          </w:p>
        </w:tc>
        <w:tc>
          <w:tcPr>
            <w:tcW w:w="2160" w:type="dxa"/>
          </w:tcPr>
          <w:p w14:paraId="1EC4B26F" w14:textId="77777777" w:rsidR="00341442" w:rsidRPr="002E656F" w:rsidRDefault="00341442" w:rsidP="002E656F">
            <w:pPr>
              <w:ind w:left="180"/>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bl>
    <w:p w14:paraId="16B6B7B7" w14:textId="1C9E1F0F" w:rsidR="00E634BD" w:rsidRPr="005E16E7" w:rsidRDefault="00000000" w:rsidP="005E16E7">
      <w:pPr>
        <w:ind w:left="180"/>
        <w:rPr>
          <w:rFonts w:asciiTheme="majorHAnsi" w:hAnsiTheme="majorHAnsi" w:cstheme="majorHAnsi"/>
        </w:rPr>
      </w:pPr>
      <w:r w:rsidRPr="002E656F">
        <w:rPr>
          <w:rFonts w:asciiTheme="majorHAnsi" w:hAnsiTheme="majorHAnsi" w:cstheme="majorHAnsi"/>
        </w:rPr>
        <w:br w:type="page"/>
      </w:r>
    </w:p>
    <w:tbl>
      <w:tblPr>
        <w:tblStyle w:val="PlainTable4"/>
        <w:tblW w:w="0" w:type="auto"/>
        <w:tblLook w:val="04A0" w:firstRow="1" w:lastRow="0" w:firstColumn="1" w:lastColumn="0" w:noHBand="0" w:noVBand="1"/>
      </w:tblPr>
      <w:tblGrid>
        <w:gridCol w:w="8856"/>
      </w:tblGrid>
      <w:tr w:rsidR="00E634BD" w:rsidRPr="0064684A" w14:paraId="1AD6550B" w14:textId="77777777" w:rsidTr="00E634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56" w:type="dxa"/>
          </w:tcPr>
          <w:p w14:paraId="399D8EBF" w14:textId="77777777" w:rsidR="0064684A" w:rsidRPr="0064684A" w:rsidRDefault="0064684A" w:rsidP="0064684A">
            <w:pPr>
              <w:pStyle w:val="Heading2"/>
              <w:ind w:left="-23"/>
              <w:rPr>
                <w:rFonts w:cstheme="majorHAnsi"/>
                <w:b/>
                <w:bCs/>
                <w:color w:val="548DD4" w:themeColor="text2" w:themeTint="99"/>
              </w:rPr>
            </w:pPr>
            <w:r w:rsidRPr="0064684A">
              <w:rPr>
                <w:rFonts w:cstheme="majorHAnsi"/>
                <w:b/>
                <w:bCs/>
                <w:color w:val="548DD4" w:themeColor="text2" w:themeTint="99"/>
              </w:rPr>
              <w:lastRenderedPageBreak/>
              <w:t>5. Summary of Key EECA Requirements</w:t>
            </w:r>
          </w:p>
          <w:p w14:paraId="715088D0" w14:textId="6C7A008A" w:rsidR="0064684A" w:rsidRPr="0064684A" w:rsidRDefault="0064684A" w:rsidP="0064684A">
            <w:pPr>
              <w:pStyle w:val="Heading3"/>
              <w:rPr>
                <w:rFonts w:cstheme="majorHAnsi"/>
                <w:color w:val="548DD4" w:themeColor="text2" w:themeTint="99"/>
              </w:rPr>
            </w:pPr>
            <w:r w:rsidRPr="0064684A">
              <w:rPr>
                <w:rFonts w:cstheme="majorHAnsi"/>
                <w:b/>
                <w:bCs/>
                <w:color w:val="000000" w:themeColor="text1"/>
                <w:sz w:val="21"/>
                <w:szCs w:val="21"/>
              </w:rPr>
              <w:t>The following is a structured breakdown of the critical statutory requirements under the EECA</w:t>
            </w:r>
            <w:r w:rsidRPr="0064684A">
              <w:rPr>
                <w:rFonts w:cstheme="majorHAnsi"/>
                <w:color w:val="000000" w:themeColor="text1"/>
                <w:sz w:val="21"/>
                <w:szCs w:val="21"/>
              </w:rPr>
              <w:t xml:space="preserve"> </w:t>
            </w:r>
            <w:r w:rsidRPr="0064684A">
              <w:rPr>
                <w:rFonts w:cstheme="majorHAnsi"/>
                <w:b/>
                <w:bCs/>
                <w:color w:val="000000" w:themeColor="text1"/>
                <w:sz w:val="21"/>
                <w:szCs w:val="21"/>
              </w:rPr>
              <w:t>relevant to energy consumers and applicable buildings, categorized for ease of understanding</w:t>
            </w:r>
            <w:r w:rsidRPr="0064684A">
              <w:rPr>
                <w:rFonts w:cstheme="majorHAnsi"/>
                <w:b/>
                <w:bCs/>
                <w:color w:val="548DD4" w:themeColor="text2" w:themeTint="99"/>
              </w:rPr>
              <w:t>.</w:t>
            </w:r>
          </w:p>
          <w:p w14:paraId="7DB81A4F" w14:textId="70C267AF" w:rsidR="00E634BD" w:rsidRPr="0064684A" w:rsidRDefault="0064684A" w:rsidP="0064684A">
            <w:pPr>
              <w:pStyle w:val="Heading3"/>
              <w:rPr>
                <w:rFonts w:cstheme="majorHAnsi"/>
                <w:b/>
                <w:bCs/>
                <w:color w:val="548DD4" w:themeColor="text2" w:themeTint="99"/>
              </w:rPr>
            </w:pPr>
            <w:r>
              <w:rPr>
                <w:rFonts w:cstheme="majorHAnsi"/>
                <w:b/>
                <w:bCs/>
                <w:color w:val="548DD4" w:themeColor="text2" w:themeTint="99"/>
              </w:rPr>
              <w:br/>
            </w:r>
            <w:r w:rsidR="00E634BD" w:rsidRPr="0064684A">
              <w:rPr>
                <w:rFonts w:cstheme="majorHAnsi"/>
                <w:b/>
                <w:bCs/>
                <w:color w:val="548DD4" w:themeColor="text2" w:themeTint="99"/>
              </w:rPr>
              <w:t>A. Applicability &amp; General Scope</w:t>
            </w:r>
          </w:p>
        </w:tc>
      </w:tr>
      <w:tr w:rsidR="00E634BD" w:rsidRPr="002E656F" w14:paraId="6A7C9B04" w14:textId="77777777" w:rsidTr="00E634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56" w:type="dxa"/>
          </w:tcPr>
          <w:p w14:paraId="063AC9C4" w14:textId="0905E15B" w:rsidR="00E634BD" w:rsidRPr="002E656F" w:rsidRDefault="00E634BD" w:rsidP="002E656F">
            <w:pPr>
              <w:pStyle w:val="Heading3"/>
              <w:numPr>
                <w:ilvl w:val="0"/>
                <w:numId w:val="10"/>
              </w:numPr>
              <w:ind w:left="810"/>
              <w:rPr>
                <w:rFonts w:cstheme="majorHAnsi"/>
                <w:color w:val="000000" w:themeColor="text1"/>
              </w:rPr>
            </w:pPr>
            <w:r w:rsidRPr="002E656F">
              <w:rPr>
                <w:rFonts w:cstheme="majorHAnsi"/>
                <w:color w:val="000000" w:themeColor="text1"/>
              </w:rPr>
              <w:t>Applicability under the EECA must first be determined by the Energy Commission based on the Act and the relevant guidelines.</w:t>
            </w:r>
          </w:p>
          <w:p w14:paraId="7BBEE7D3" w14:textId="644A2134" w:rsidR="00E634BD" w:rsidRPr="002E656F" w:rsidRDefault="00E634BD" w:rsidP="002E656F">
            <w:pPr>
              <w:pStyle w:val="Heading3"/>
              <w:numPr>
                <w:ilvl w:val="0"/>
                <w:numId w:val="10"/>
              </w:numPr>
              <w:ind w:left="810"/>
              <w:rPr>
                <w:rFonts w:cstheme="majorHAnsi"/>
                <w:color w:val="000000" w:themeColor="text1"/>
              </w:rPr>
            </w:pPr>
            <w:r w:rsidRPr="002E656F">
              <w:rPr>
                <w:rFonts w:cstheme="majorHAnsi"/>
                <w:color w:val="000000" w:themeColor="text1"/>
              </w:rPr>
              <w:t>The Act applies to qualifying energy consumers, applicable buildings, and specified energy-using products.</w:t>
            </w:r>
          </w:p>
          <w:p w14:paraId="0C50E7CB" w14:textId="292B95B0" w:rsidR="00E634BD" w:rsidRPr="002E656F" w:rsidRDefault="00E634BD" w:rsidP="002E656F">
            <w:pPr>
              <w:pStyle w:val="Heading3"/>
              <w:numPr>
                <w:ilvl w:val="0"/>
                <w:numId w:val="10"/>
              </w:numPr>
              <w:ind w:left="810"/>
              <w:rPr>
                <w:rFonts w:cstheme="majorHAnsi"/>
                <w:color w:val="000000" w:themeColor="text1"/>
              </w:rPr>
            </w:pPr>
            <w:r w:rsidRPr="002E656F">
              <w:rPr>
                <w:rFonts w:cstheme="majorHAnsi"/>
                <w:color w:val="000000" w:themeColor="text1"/>
              </w:rPr>
              <w:t>For energy consumers, applicability is generally based on total energy consumption over 12 consecutive months.</w:t>
            </w:r>
          </w:p>
          <w:p w14:paraId="1DEBAF95" w14:textId="0F9CC361" w:rsidR="00E634BD" w:rsidRPr="002E656F" w:rsidRDefault="00E634BD" w:rsidP="002E656F">
            <w:pPr>
              <w:pStyle w:val="Heading3"/>
              <w:numPr>
                <w:ilvl w:val="0"/>
                <w:numId w:val="10"/>
              </w:numPr>
              <w:ind w:left="810"/>
              <w:rPr>
                <w:rFonts w:cstheme="majorHAnsi"/>
                <w:color w:val="000000" w:themeColor="text1"/>
              </w:rPr>
            </w:pPr>
            <w:r w:rsidRPr="002E656F">
              <w:rPr>
                <w:rFonts w:cstheme="majorHAnsi"/>
                <w:color w:val="000000" w:themeColor="text1"/>
              </w:rPr>
              <w:t>The current energy consumer threshold in the guideline is 21,600 GJ over 12 consecutive months.</w:t>
            </w:r>
          </w:p>
          <w:p w14:paraId="3ABC4BBF" w14:textId="7E560EE2" w:rsidR="00E634BD" w:rsidRPr="002E656F" w:rsidRDefault="00E634BD" w:rsidP="002E656F">
            <w:pPr>
              <w:pStyle w:val="Heading3"/>
              <w:numPr>
                <w:ilvl w:val="0"/>
                <w:numId w:val="10"/>
              </w:numPr>
              <w:ind w:left="810"/>
              <w:rPr>
                <w:rFonts w:cstheme="majorHAnsi"/>
                <w:color w:val="000000" w:themeColor="text1"/>
              </w:rPr>
            </w:pPr>
            <w:r w:rsidRPr="002E656F">
              <w:rPr>
                <w:rFonts w:cstheme="majorHAnsi"/>
                <w:color w:val="000000" w:themeColor="text1"/>
              </w:rPr>
              <w:t>The Energy Commission may issue a written notice once it ascertains that a person is an energy consumer to whom the Act applies.</w:t>
            </w:r>
          </w:p>
          <w:p w14:paraId="366C6517" w14:textId="363AE284" w:rsidR="00E634BD" w:rsidRPr="002E656F" w:rsidRDefault="00E634BD" w:rsidP="002E656F">
            <w:pPr>
              <w:pStyle w:val="Heading3"/>
              <w:numPr>
                <w:ilvl w:val="0"/>
                <w:numId w:val="10"/>
              </w:numPr>
              <w:ind w:left="810"/>
              <w:rPr>
                <w:rFonts w:cstheme="majorHAnsi"/>
                <w:color w:val="000000" w:themeColor="text1"/>
              </w:rPr>
            </w:pPr>
            <w:r w:rsidRPr="002E656F">
              <w:rPr>
                <w:rFonts w:cstheme="majorHAnsi"/>
                <w:color w:val="000000" w:themeColor="text1"/>
              </w:rPr>
              <w:t>The Energy Commission may also issue a written notice once it ascertains that a building is a building to which the Act applies.</w:t>
            </w:r>
          </w:p>
          <w:p w14:paraId="1E457A96" w14:textId="77777777" w:rsidR="00E634BD" w:rsidRPr="002E656F" w:rsidRDefault="00E634BD" w:rsidP="002E656F">
            <w:pPr>
              <w:pStyle w:val="Heading3"/>
              <w:ind w:left="180"/>
              <w:rPr>
                <w:rFonts w:cstheme="majorHAnsi"/>
              </w:rPr>
            </w:pPr>
          </w:p>
        </w:tc>
      </w:tr>
      <w:tr w:rsidR="00E634BD" w:rsidRPr="002E656F" w14:paraId="7C6D5859" w14:textId="77777777" w:rsidTr="00E634BD">
        <w:tc>
          <w:tcPr>
            <w:cnfStyle w:val="001000000000" w:firstRow="0" w:lastRow="0" w:firstColumn="1" w:lastColumn="0" w:oddVBand="0" w:evenVBand="0" w:oddHBand="0" w:evenHBand="0" w:firstRowFirstColumn="0" w:firstRowLastColumn="0" w:lastRowFirstColumn="0" w:lastRowLastColumn="0"/>
            <w:tcW w:w="8856" w:type="dxa"/>
          </w:tcPr>
          <w:p w14:paraId="5748A26D" w14:textId="77777777" w:rsidR="0064684A" w:rsidRDefault="0064684A" w:rsidP="002E656F">
            <w:pPr>
              <w:pStyle w:val="Heading3"/>
              <w:ind w:left="180"/>
              <w:rPr>
                <w:rFonts w:cstheme="majorHAnsi"/>
                <w:b/>
                <w:bCs/>
              </w:rPr>
            </w:pPr>
          </w:p>
          <w:p w14:paraId="50A0505B" w14:textId="77777777" w:rsidR="00E634BD" w:rsidRDefault="00E634BD" w:rsidP="002E656F">
            <w:pPr>
              <w:pStyle w:val="Heading3"/>
              <w:ind w:left="180"/>
              <w:rPr>
                <w:rFonts w:cstheme="majorHAnsi"/>
                <w:b/>
                <w:bCs/>
              </w:rPr>
            </w:pPr>
            <w:r w:rsidRPr="002E656F">
              <w:rPr>
                <w:rFonts w:cstheme="majorHAnsi"/>
              </w:rPr>
              <w:t>B. Registered Energy Manager (REM)</w:t>
            </w:r>
          </w:p>
          <w:p w14:paraId="67E2A1FD" w14:textId="73E946A8" w:rsidR="0064684A" w:rsidRPr="0064684A" w:rsidRDefault="0064684A" w:rsidP="0064684A"/>
        </w:tc>
      </w:tr>
      <w:tr w:rsidR="00E634BD" w:rsidRPr="002E656F" w14:paraId="1585FFA6" w14:textId="77777777" w:rsidTr="00E634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56" w:type="dxa"/>
          </w:tcPr>
          <w:p w14:paraId="017E38EB" w14:textId="77777777" w:rsidR="00E634BD" w:rsidRPr="002E656F" w:rsidRDefault="00E634BD" w:rsidP="002E656F">
            <w:pPr>
              <w:pStyle w:val="Heading3"/>
              <w:numPr>
                <w:ilvl w:val="0"/>
                <w:numId w:val="10"/>
              </w:numPr>
              <w:ind w:left="810"/>
              <w:rPr>
                <w:rFonts w:cstheme="majorHAnsi"/>
                <w:color w:val="000000" w:themeColor="text1"/>
              </w:rPr>
            </w:pPr>
            <w:r w:rsidRPr="002E656F">
              <w:rPr>
                <w:rFonts w:cstheme="majorHAnsi"/>
                <w:color w:val="000000" w:themeColor="text1"/>
              </w:rPr>
              <w:t>An applicable energy consumer is required to appoint a properly registered REM holding a valid practicing certificate.</w:t>
            </w:r>
          </w:p>
          <w:p w14:paraId="625A319D" w14:textId="27F17457" w:rsidR="00E634BD" w:rsidRPr="002E656F" w:rsidRDefault="00E634BD" w:rsidP="002E656F">
            <w:pPr>
              <w:pStyle w:val="Heading3"/>
              <w:numPr>
                <w:ilvl w:val="0"/>
                <w:numId w:val="10"/>
              </w:numPr>
              <w:ind w:left="810"/>
              <w:rPr>
                <w:rFonts w:cstheme="majorHAnsi"/>
                <w:color w:val="000000" w:themeColor="text1"/>
              </w:rPr>
            </w:pPr>
            <w:r w:rsidRPr="002E656F">
              <w:rPr>
                <w:rFonts w:cstheme="majorHAnsi"/>
                <w:color w:val="000000" w:themeColor="text1"/>
              </w:rPr>
              <w:t>Type I REM: Certified to manage, advise, and report specifically on Electrical Energy efficiency and consumption.</w:t>
            </w:r>
          </w:p>
          <w:p w14:paraId="392E2E40" w14:textId="7236A2B6" w:rsidR="00E634BD" w:rsidRPr="002E656F" w:rsidRDefault="00E634BD" w:rsidP="002E656F">
            <w:pPr>
              <w:pStyle w:val="Heading3"/>
              <w:numPr>
                <w:ilvl w:val="0"/>
                <w:numId w:val="10"/>
              </w:numPr>
              <w:ind w:left="810"/>
              <w:rPr>
                <w:rFonts w:cstheme="majorHAnsi"/>
                <w:color w:val="000000" w:themeColor="text1"/>
              </w:rPr>
            </w:pPr>
            <w:r w:rsidRPr="002E656F">
              <w:rPr>
                <w:rFonts w:cstheme="majorHAnsi"/>
                <w:color w:val="000000" w:themeColor="text1"/>
              </w:rPr>
              <w:t>Type II REM: Certified to manage, advise, and report on BOTH Electrical and Thermal Energy. A Type II REM must be engaged if the total yearly energy consumption is more than 50,000 GJ.</w:t>
            </w:r>
          </w:p>
          <w:p w14:paraId="3D3EC075" w14:textId="77777777" w:rsidR="00E634BD" w:rsidRPr="002E656F" w:rsidRDefault="00E634BD" w:rsidP="002E656F">
            <w:pPr>
              <w:pStyle w:val="Heading3"/>
              <w:numPr>
                <w:ilvl w:val="0"/>
                <w:numId w:val="10"/>
              </w:numPr>
              <w:ind w:left="810"/>
              <w:rPr>
                <w:rFonts w:cstheme="majorHAnsi"/>
                <w:color w:val="000000" w:themeColor="text1"/>
              </w:rPr>
            </w:pPr>
            <w:r w:rsidRPr="002E656F">
              <w:rPr>
                <w:rFonts w:cstheme="majorHAnsi"/>
                <w:color w:val="000000" w:themeColor="text1"/>
              </w:rPr>
              <w:t>External REM Engagement: Facilities may opt to engage an external REM, but the engagement period is strictly limited to a maximum of 3 years.</w:t>
            </w:r>
          </w:p>
          <w:p w14:paraId="0A91C6D8" w14:textId="500BA4A9" w:rsidR="00E634BD" w:rsidRPr="002E656F" w:rsidRDefault="00E634BD" w:rsidP="002E656F">
            <w:pPr>
              <w:pStyle w:val="Heading3"/>
              <w:ind w:left="810"/>
              <w:rPr>
                <w:rFonts w:cstheme="majorHAnsi"/>
                <w:color w:val="000000" w:themeColor="text1"/>
              </w:rPr>
            </w:pPr>
          </w:p>
        </w:tc>
      </w:tr>
      <w:tr w:rsidR="00E634BD" w:rsidRPr="002E656F" w14:paraId="5CEEC2B7" w14:textId="77777777" w:rsidTr="00E634BD">
        <w:tc>
          <w:tcPr>
            <w:cnfStyle w:val="001000000000" w:firstRow="0" w:lastRow="0" w:firstColumn="1" w:lastColumn="0" w:oddVBand="0" w:evenVBand="0" w:oddHBand="0" w:evenHBand="0" w:firstRowFirstColumn="0" w:firstRowLastColumn="0" w:lastRowFirstColumn="0" w:lastRowLastColumn="0"/>
            <w:tcW w:w="8856" w:type="dxa"/>
          </w:tcPr>
          <w:p w14:paraId="58F8D420" w14:textId="0BBD1604" w:rsidR="00E634BD" w:rsidRPr="002E656F" w:rsidRDefault="00E634BD" w:rsidP="002E656F">
            <w:pPr>
              <w:pStyle w:val="Heading3"/>
              <w:ind w:left="180"/>
              <w:rPr>
                <w:rFonts w:cstheme="majorHAnsi"/>
              </w:rPr>
            </w:pPr>
            <w:r w:rsidRPr="002E656F">
              <w:rPr>
                <w:rFonts w:cstheme="majorHAnsi"/>
              </w:rPr>
              <w:t>C. Energy Management System (EnMS)</w:t>
            </w:r>
          </w:p>
        </w:tc>
      </w:tr>
      <w:tr w:rsidR="00E634BD" w:rsidRPr="002E656F" w14:paraId="5F452F83" w14:textId="77777777" w:rsidTr="00E634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56" w:type="dxa"/>
          </w:tcPr>
          <w:p w14:paraId="73CA38AC" w14:textId="03531CEA" w:rsidR="003F4B5F" w:rsidRPr="002E656F" w:rsidRDefault="003F4B5F" w:rsidP="002E656F">
            <w:pPr>
              <w:pStyle w:val="Heading3"/>
              <w:ind w:left="180"/>
              <w:rPr>
                <w:rFonts w:cstheme="majorHAnsi"/>
                <w:color w:val="000000" w:themeColor="text1"/>
              </w:rPr>
            </w:pPr>
            <w:r w:rsidRPr="002E656F">
              <w:rPr>
                <w:rFonts w:cstheme="majorHAnsi"/>
                <w:color w:val="000000" w:themeColor="text1"/>
              </w:rPr>
              <w:lastRenderedPageBreak/>
              <w:t>An applicable energy consumer must systematically develop and integrate an EnMS into their daily operations. The EECA aligns closely with the continuous improvement framework (such as ISO 50001), strictly requiring:</w:t>
            </w:r>
          </w:p>
          <w:p w14:paraId="7FEC1593" w14:textId="55BB325D" w:rsidR="003F4B5F" w:rsidRPr="002E656F" w:rsidRDefault="003F4B5F" w:rsidP="002E656F">
            <w:pPr>
              <w:pStyle w:val="Heading3"/>
              <w:numPr>
                <w:ilvl w:val="0"/>
                <w:numId w:val="10"/>
              </w:numPr>
              <w:ind w:left="810"/>
              <w:rPr>
                <w:rFonts w:cstheme="majorHAnsi"/>
                <w:color w:val="000000" w:themeColor="text1"/>
              </w:rPr>
            </w:pPr>
            <w:r w:rsidRPr="002E656F">
              <w:rPr>
                <w:rFonts w:cstheme="majorHAnsi"/>
                <w:color w:val="000000" w:themeColor="text1"/>
              </w:rPr>
              <w:t>Management Commitment &amp; Policy: Top management must formally endorse a customized Energy Policy, appoint a dedicated energy committee, and allocate adequate financial/human resources.</w:t>
            </w:r>
          </w:p>
          <w:p w14:paraId="5805DBB1" w14:textId="6B5C7B80" w:rsidR="003F4B5F" w:rsidRPr="002E656F" w:rsidRDefault="003F4B5F" w:rsidP="002E656F">
            <w:pPr>
              <w:pStyle w:val="Heading3"/>
              <w:numPr>
                <w:ilvl w:val="0"/>
                <w:numId w:val="10"/>
              </w:numPr>
              <w:ind w:left="810"/>
              <w:rPr>
                <w:rFonts w:cstheme="majorHAnsi"/>
                <w:color w:val="000000" w:themeColor="text1"/>
              </w:rPr>
            </w:pPr>
            <w:r w:rsidRPr="002E656F">
              <w:rPr>
                <w:rFonts w:cstheme="majorHAnsi"/>
                <w:color w:val="000000" w:themeColor="text1"/>
              </w:rPr>
              <w:t>Energy Planning &amp; Baselines: Identifying Significant Energy Uses (SEUs), establishing a valid 12-month energy consumption baseline, and setting quantifiable Energy Performance Indicators (</w:t>
            </w:r>
            <w:proofErr w:type="spellStart"/>
            <w:r w:rsidRPr="002E656F">
              <w:rPr>
                <w:rFonts w:cstheme="majorHAnsi"/>
                <w:color w:val="000000" w:themeColor="text1"/>
              </w:rPr>
              <w:t>EnPIs</w:t>
            </w:r>
            <w:proofErr w:type="spellEnd"/>
            <w:r w:rsidRPr="002E656F">
              <w:rPr>
                <w:rFonts w:cstheme="majorHAnsi"/>
                <w:color w:val="000000" w:themeColor="text1"/>
              </w:rPr>
              <w:t>) and reduction targets.</w:t>
            </w:r>
          </w:p>
          <w:p w14:paraId="01DCE660" w14:textId="329A76CC" w:rsidR="003F4B5F" w:rsidRPr="002E656F" w:rsidRDefault="003F4B5F" w:rsidP="002E656F">
            <w:pPr>
              <w:pStyle w:val="Heading3"/>
              <w:numPr>
                <w:ilvl w:val="0"/>
                <w:numId w:val="10"/>
              </w:numPr>
              <w:ind w:left="810"/>
              <w:rPr>
                <w:rFonts w:cstheme="majorHAnsi"/>
                <w:color w:val="000000" w:themeColor="text1"/>
              </w:rPr>
            </w:pPr>
            <w:r w:rsidRPr="002E656F">
              <w:rPr>
                <w:rFonts w:cstheme="majorHAnsi"/>
                <w:color w:val="000000" w:themeColor="text1"/>
              </w:rPr>
              <w:t>Implementation &amp; Operation: Integrating energy efficiency criteria into procurement processes, establishing Standard Operating Procedures (SOPs) for high-consumption equipment, and ensuring facility-wide awareness training.</w:t>
            </w:r>
          </w:p>
          <w:p w14:paraId="21E9660D" w14:textId="2E06A1DF" w:rsidR="003F4B5F" w:rsidRPr="002E656F" w:rsidRDefault="003F4B5F" w:rsidP="002E656F">
            <w:pPr>
              <w:pStyle w:val="Heading3"/>
              <w:numPr>
                <w:ilvl w:val="0"/>
                <w:numId w:val="10"/>
              </w:numPr>
              <w:ind w:left="810"/>
              <w:rPr>
                <w:rFonts w:cstheme="majorHAnsi"/>
                <w:color w:val="000000" w:themeColor="text1"/>
              </w:rPr>
            </w:pPr>
            <w:r w:rsidRPr="002E656F">
              <w:rPr>
                <w:rFonts w:cstheme="majorHAnsi"/>
                <w:color w:val="000000" w:themeColor="text1"/>
              </w:rPr>
              <w:t xml:space="preserve">Measurement &amp; Verification (M&amp;V): Deployment of continuous, real-time, or </w:t>
            </w:r>
            <w:proofErr w:type="spellStart"/>
            <w:r w:rsidRPr="002E656F">
              <w:rPr>
                <w:rFonts w:cstheme="majorHAnsi"/>
                <w:color w:val="000000" w:themeColor="text1"/>
              </w:rPr>
              <w:t>highl</w:t>
            </w:r>
            <w:proofErr w:type="spellEnd"/>
            <w:r w:rsidRPr="002E656F">
              <w:rPr>
                <w:rFonts w:cstheme="majorHAnsi"/>
                <w:color w:val="000000" w:themeColor="text1"/>
              </w:rPr>
              <w:t xml:space="preserve"> structured periodic monitoring of energy consumption to track progress against set targets.</w:t>
            </w:r>
          </w:p>
          <w:p w14:paraId="51770D47" w14:textId="1D72BB45" w:rsidR="00E634BD" w:rsidRPr="002E656F" w:rsidRDefault="003F4B5F" w:rsidP="002E656F">
            <w:pPr>
              <w:pStyle w:val="Heading3"/>
              <w:numPr>
                <w:ilvl w:val="0"/>
                <w:numId w:val="10"/>
              </w:numPr>
              <w:ind w:left="810"/>
              <w:rPr>
                <w:rFonts w:cstheme="majorHAnsi"/>
                <w:color w:val="000000" w:themeColor="text1"/>
              </w:rPr>
            </w:pPr>
            <w:r w:rsidRPr="002E656F">
              <w:rPr>
                <w:rFonts w:cstheme="majorHAnsi"/>
                <w:color w:val="000000" w:themeColor="text1"/>
              </w:rPr>
              <w:t>Review &amp; Internal Audits: Conducting periodic internal audits and formal management reviews to evaluate performance, address gaps, and drive continual energy improvement.</w:t>
            </w:r>
          </w:p>
        </w:tc>
      </w:tr>
    </w:tbl>
    <w:p w14:paraId="12AC661F" w14:textId="77777777" w:rsidR="00E634BD" w:rsidRPr="002E656F" w:rsidRDefault="00E634BD" w:rsidP="002E656F">
      <w:pPr>
        <w:pStyle w:val="Heading3"/>
        <w:ind w:left="180"/>
        <w:rPr>
          <w:rFonts w:cstheme="majorHAnsi"/>
        </w:rPr>
      </w:pPr>
    </w:p>
    <w:tbl>
      <w:tblPr>
        <w:tblStyle w:val="PlainTable4"/>
        <w:tblW w:w="0" w:type="auto"/>
        <w:tblLook w:val="04A0" w:firstRow="1" w:lastRow="0" w:firstColumn="1" w:lastColumn="0" w:noHBand="0" w:noVBand="1"/>
      </w:tblPr>
      <w:tblGrid>
        <w:gridCol w:w="8856"/>
      </w:tblGrid>
      <w:tr w:rsidR="003F4B5F" w:rsidRPr="002E656F" w14:paraId="0BAB79C2" w14:textId="77777777" w:rsidTr="00CA6D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56" w:type="dxa"/>
          </w:tcPr>
          <w:p w14:paraId="0E73CDD1" w14:textId="21B41B92" w:rsidR="003F4B5F" w:rsidRPr="002E656F" w:rsidRDefault="003F4B5F" w:rsidP="002E656F">
            <w:pPr>
              <w:pStyle w:val="Heading3"/>
              <w:ind w:left="180"/>
              <w:rPr>
                <w:rFonts w:cstheme="majorHAnsi"/>
              </w:rPr>
            </w:pPr>
            <w:r w:rsidRPr="002E656F">
              <w:rPr>
                <w:rFonts w:cstheme="majorHAnsi"/>
              </w:rPr>
              <w:t>D. Reporting &amp; Energy Audits</w:t>
            </w:r>
          </w:p>
        </w:tc>
      </w:tr>
      <w:tr w:rsidR="003F4B5F" w:rsidRPr="002E656F" w14:paraId="3FB7739F" w14:textId="77777777" w:rsidTr="00CA6D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56" w:type="dxa"/>
          </w:tcPr>
          <w:p w14:paraId="10D8CAEB" w14:textId="4633F553" w:rsidR="003F4B5F" w:rsidRPr="002E656F" w:rsidRDefault="003F4B5F" w:rsidP="002E656F">
            <w:pPr>
              <w:pStyle w:val="Heading3"/>
              <w:ind w:left="180"/>
              <w:rPr>
                <w:rFonts w:cstheme="majorHAnsi"/>
                <w:color w:val="000000" w:themeColor="text1"/>
              </w:rPr>
            </w:pPr>
            <w:r w:rsidRPr="002E656F">
              <w:rPr>
                <w:rFonts w:cstheme="majorHAnsi"/>
                <w:color w:val="000000" w:themeColor="text1"/>
              </w:rPr>
              <w:t>Energy consumers are strictly required to compile and submit the Energy Efficiency and</w:t>
            </w:r>
            <w:r w:rsidR="002E656F" w:rsidRPr="002E656F">
              <w:rPr>
                <w:rFonts w:cstheme="majorHAnsi"/>
                <w:color w:val="000000" w:themeColor="text1"/>
              </w:rPr>
              <w:t xml:space="preserve"> </w:t>
            </w:r>
            <w:r w:rsidRPr="002E656F">
              <w:rPr>
                <w:rFonts w:cstheme="majorHAnsi"/>
                <w:color w:val="000000" w:themeColor="text1"/>
              </w:rPr>
              <w:t>Conservation (EE&amp;C) Report within the mandated timeline:</w:t>
            </w:r>
          </w:p>
          <w:p w14:paraId="296CD830" w14:textId="0B35BD3B" w:rsidR="003F4B5F" w:rsidRPr="002E656F" w:rsidRDefault="003F4B5F" w:rsidP="002E656F">
            <w:pPr>
              <w:pStyle w:val="Heading3"/>
              <w:numPr>
                <w:ilvl w:val="0"/>
                <w:numId w:val="10"/>
              </w:numPr>
              <w:ind w:left="810"/>
              <w:rPr>
                <w:rFonts w:cstheme="majorHAnsi"/>
                <w:color w:val="000000" w:themeColor="text1"/>
              </w:rPr>
            </w:pPr>
            <w:r w:rsidRPr="002E656F">
              <w:rPr>
                <w:rFonts w:cstheme="majorHAnsi"/>
                <w:b/>
                <w:bCs/>
                <w:color w:val="000000" w:themeColor="text1"/>
              </w:rPr>
              <w:t>Frequency</w:t>
            </w:r>
            <w:r w:rsidRPr="002E656F">
              <w:rPr>
                <w:rFonts w:cstheme="majorHAnsi"/>
                <w:color w:val="000000" w:themeColor="text1"/>
              </w:rPr>
              <w:t>: The first EE&amp;C Report must be submitted to the Energy Commission within 12</w:t>
            </w:r>
            <w:r w:rsidR="002E656F" w:rsidRPr="002E656F">
              <w:rPr>
                <w:rFonts w:cstheme="majorHAnsi"/>
                <w:color w:val="000000" w:themeColor="text1"/>
              </w:rPr>
              <w:t xml:space="preserve"> </w:t>
            </w:r>
            <w:r w:rsidRPr="002E656F">
              <w:rPr>
                <w:rFonts w:cstheme="majorHAnsi"/>
                <w:color w:val="000000" w:themeColor="text1"/>
              </w:rPr>
              <w:t>months from the date of the written notification. Subsequent reports must be filed</w:t>
            </w:r>
            <w:r w:rsidR="002E656F" w:rsidRPr="002E656F">
              <w:rPr>
                <w:rFonts w:cstheme="majorHAnsi"/>
                <w:color w:val="000000" w:themeColor="text1"/>
              </w:rPr>
              <w:t xml:space="preserve"> </w:t>
            </w:r>
            <w:r w:rsidRPr="002E656F">
              <w:rPr>
                <w:rFonts w:cstheme="majorHAnsi"/>
                <w:color w:val="000000" w:themeColor="text1"/>
              </w:rPr>
              <w:t>annually.</w:t>
            </w:r>
          </w:p>
          <w:p w14:paraId="4FAE6B99" w14:textId="77777777" w:rsidR="003F4B5F" w:rsidRPr="002E656F" w:rsidRDefault="003F4B5F" w:rsidP="002E656F">
            <w:pPr>
              <w:pStyle w:val="Heading3"/>
              <w:numPr>
                <w:ilvl w:val="0"/>
                <w:numId w:val="10"/>
              </w:numPr>
              <w:ind w:left="810"/>
              <w:rPr>
                <w:rFonts w:cstheme="majorHAnsi"/>
                <w:b/>
                <w:bCs/>
                <w:color w:val="000000" w:themeColor="text1"/>
              </w:rPr>
            </w:pPr>
            <w:r w:rsidRPr="002E656F">
              <w:rPr>
                <w:rFonts w:cstheme="majorHAnsi"/>
                <w:b/>
                <w:bCs/>
                <w:color w:val="000000" w:themeColor="text1"/>
              </w:rPr>
              <w:t>Main Reporting Areas:</w:t>
            </w:r>
          </w:p>
          <w:p w14:paraId="7162B554" w14:textId="77777777" w:rsidR="003F4B5F" w:rsidRPr="002E656F" w:rsidRDefault="003F4B5F" w:rsidP="002E656F">
            <w:pPr>
              <w:pStyle w:val="Heading3"/>
              <w:numPr>
                <w:ilvl w:val="1"/>
                <w:numId w:val="10"/>
              </w:numPr>
              <w:rPr>
                <w:rFonts w:cstheme="majorHAnsi"/>
                <w:color w:val="000000" w:themeColor="text1"/>
              </w:rPr>
            </w:pPr>
            <w:r w:rsidRPr="002E656F">
              <w:rPr>
                <w:rFonts w:cstheme="majorHAnsi"/>
                <w:color w:val="000000" w:themeColor="text1"/>
              </w:rPr>
              <w:t>General facility description, organizational profiling, and production metrics.</w:t>
            </w:r>
          </w:p>
          <w:p w14:paraId="307743FD" w14:textId="6EEF755F" w:rsidR="003F4B5F" w:rsidRPr="002E656F" w:rsidRDefault="003F4B5F" w:rsidP="002E656F">
            <w:pPr>
              <w:pStyle w:val="Heading3"/>
              <w:numPr>
                <w:ilvl w:val="1"/>
                <w:numId w:val="10"/>
              </w:numPr>
              <w:rPr>
                <w:rFonts w:cstheme="majorHAnsi"/>
                <w:color w:val="000000" w:themeColor="text1"/>
              </w:rPr>
            </w:pPr>
            <w:r w:rsidRPr="002E656F">
              <w:rPr>
                <w:rFonts w:cstheme="majorHAnsi"/>
                <w:color w:val="000000" w:themeColor="text1"/>
              </w:rPr>
              <w:t>Total energy consumption profile broken down by energy source (electricity, thermal,</w:t>
            </w:r>
            <w:r w:rsidR="002E656F" w:rsidRPr="002E656F">
              <w:rPr>
                <w:rFonts w:cstheme="majorHAnsi"/>
                <w:color w:val="000000" w:themeColor="text1"/>
              </w:rPr>
              <w:t xml:space="preserve"> </w:t>
            </w:r>
            <w:r w:rsidRPr="002E656F">
              <w:rPr>
                <w:rFonts w:cstheme="majorHAnsi"/>
                <w:color w:val="000000" w:themeColor="text1"/>
              </w:rPr>
              <w:t>natural gas, etc.).</w:t>
            </w:r>
          </w:p>
          <w:p w14:paraId="1BA45510" w14:textId="7395BCAE" w:rsidR="003F4B5F" w:rsidRPr="002E656F" w:rsidRDefault="003F4B5F" w:rsidP="002E656F">
            <w:pPr>
              <w:pStyle w:val="Heading3"/>
              <w:numPr>
                <w:ilvl w:val="1"/>
                <w:numId w:val="10"/>
              </w:numPr>
              <w:rPr>
                <w:rFonts w:cstheme="majorHAnsi"/>
                <w:color w:val="000000" w:themeColor="text1"/>
              </w:rPr>
            </w:pPr>
            <w:r w:rsidRPr="002E656F">
              <w:rPr>
                <w:rFonts w:cstheme="majorHAnsi"/>
                <w:color w:val="000000" w:themeColor="text1"/>
              </w:rPr>
              <w:t>Detailed status of the EnMS implementation, energy policy updates, and progress of the</w:t>
            </w:r>
            <w:r w:rsidR="002E656F" w:rsidRPr="002E656F">
              <w:rPr>
                <w:rFonts w:cstheme="majorHAnsi"/>
                <w:color w:val="000000" w:themeColor="text1"/>
              </w:rPr>
              <w:t xml:space="preserve"> </w:t>
            </w:r>
            <w:r w:rsidRPr="002E656F">
              <w:rPr>
                <w:rFonts w:cstheme="majorHAnsi"/>
                <w:color w:val="000000" w:themeColor="text1"/>
              </w:rPr>
              <w:t>energy committee.</w:t>
            </w:r>
          </w:p>
          <w:p w14:paraId="16C286BB" w14:textId="2CF64F70" w:rsidR="003F4B5F" w:rsidRPr="002E656F" w:rsidRDefault="003F4B5F" w:rsidP="002E656F">
            <w:pPr>
              <w:pStyle w:val="Heading3"/>
              <w:numPr>
                <w:ilvl w:val="1"/>
                <w:numId w:val="10"/>
              </w:numPr>
              <w:rPr>
                <w:rFonts w:cstheme="majorHAnsi"/>
                <w:color w:val="000000" w:themeColor="text1"/>
              </w:rPr>
            </w:pPr>
            <w:r w:rsidRPr="002E656F">
              <w:rPr>
                <w:rFonts w:cstheme="majorHAnsi"/>
                <w:color w:val="000000" w:themeColor="text1"/>
              </w:rPr>
              <w:t>Status and outcomes of energy efficiency and conservation measures (EECMs)</w:t>
            </w:r>
            <w:r w:rsidR="002E656F" w:rsidRPr="002E656F">
              <w:rPr>
                <w:rFonts w:cstheme="majorHAnsi"/>
                <w:color w:val="000000" w:themeColor="text1"/>
              </w:rPr>
              <w:t xml:space="preserve"> </w:t>
            </w:r>
            <w:r w:rsidRPr="002E656F">
              <w:rPr>
                <w:rFonts w:cstheme="majorHAnsi"/>
                <w:color w:val="000000" w:themeColor="text1"/>
              </w:rPr>
              <w:t>executed during the period.</w:t>
            </w:r>
          </w:p>
        </w:tc>
      </w:tr>
    </w:tbl>
    <w:p w14:paraId="1B5E9CAD" w14:textId="77777777" w:rsidR="003F4B5F" w:rsidRPr="002E656F" w:rsidRDefault="003F4B5F" w:rsidP="002E656F">
      <w:pPr>
        <w:ind w:left="180"/>
        <w:rPr>
          <w:rFonts w:asciiTheme="majorHAnsi" w:hAnsiTheme="majorHAnsi" w:cstheme="majorHAnsi"/>
        </w:rPr>
      </w:pPr>
    </w:p>
    <w:tbl>
      <w:tblPr>
        <w:tblStyle w:val="PlainTable4"/>
        <w:tblW w:w="0" w:type="auto"/>
        <w:tblLook w:val="04A0" w:firstRow="1" w:lastRow="0" w:firstColumn="1" w:lastColumn="0" w:noHBand="0" w:noVBand="1"/>
      </w:tblPr>
      <w:tblGrid>
        <w:gridCol w:w="8856"/>
      </w:tblGrid>
      <w:tr w:rsidR="002E656F" w:rsidRPr="002E656F" w14:paraId="1E03EC19" w14:textId="77777777" w:rsidTr="00CA6D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56" w:type="dxa"/>
          </w:tcPr>
          <w:p w14:paraId="216AEC9C" w14:textId="46C57B72" w:rsidR="002E656F" w:rsidRPr="002E656F" w:rsidRDefault="002E656F" w:rsidP="002E656F">
            <w:pPr>
              <w:pStyle w:val="Heading3"/>
              <w:ind w:left="180"/>
              <w:rPr>
                <w:rFonts w:cstheme="majorHAnsi"/>
              </w:rPr>
            </w:pPr>
            <w:r w:rsidRPr="002E656F">
              <w:rPr>
                <w:rFonts w:cstheme="majorHAnsi"/>
              </w:rPr>
              <w:lastRenderedPageBreak/>
              <w:t>E. Energy Audit Requirements</w:t>
            </w:r>
          </w:p>
        </w:tc>
      </w:tr>
      <w:tr w:rsidR="002E656F" w:rsidRPr="002E656F" w14:paraId="03426649" w14:textId="77777777" w:rsidTr="00CA6D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56" w:type="dxa"/>
          </w:tcPr>
          <w:p w14:paraId="794EA1D7" w14:textId="77777777" w:rsidR="002E656F" w:rsidRPr="002E656F" w:rsidRDefault="002E656F" w:rsidP="002E656F">
            <w:pPr>
              <w:pStyle w:val="Heading3"/>
              <w:ind w:left="180"/>
              <w:rPr>
                <w:rFonts w:cstheme="majorHAnsi"/>
                <w:color w:val="000000" w:themeColor="text1"/>
              </w:rPr>
            </w:pPr>
            <w:r w:rsidRPr="002E656F">
              <w:rPr>
                <w:rFonts w:cstheme="majorHAnsi"/>
                <w:color w:val="000000" w:themeColor="text1"/>
              </w:rPr>
              <w:t>An energy consumer is required to carry out mandatory energy audits periodically:</w:t>
            </w:r>
          </w:p>
          <w:p w14:paraId="66E13B56" w14:textId="3575BD31" w:rsidR="002E656F" w:rsidRPr="002E656F" w:rsidRDefault="002E656F" w:rsidP="002E656F">
            <w:pPr>
              <w:pStyle w:val="Heading3"/>
              <w:numPr>
                <w:ilvl w:val="0"/>
                <w:numId w:val="12"/>
              </w:numPr>
              <w:ind w:left="810"/>
              <w:rPr>
                <w:rFonts w:cstheme="majorHAnsi"/>
                <w:color w:val="000000" w:themeColor="text1"/>
              </w:rPr>
            </w:pPr>
            <w:r w:rsidRPr="002E656F">
              <w:rPr>
                <w:rFonts w:cstheme="majorHAnsi"/>
                <w:b/>
                <w:bCs/>
                <w:color w:val="000000" w:themeColor="text1"/>
              </w:rPr>
              <w:t>Frequency &amp; Timing</w:t>
            </w:r>
            <w:r w:rsidRPr="002E656F">
              <w:rPr>
                <w:rFonts w:cstheme="majorHAnsi"/>
                <w:color w:val="000000" w:themeColor="text1"/>
              </w:rPr>
              <w:t>: The first energy audit must be conducted and submitted within 1 year of the date of applicability/notification. Subsequent audits are required at least once every 4 years.</w:t>
            </w:r>
          </w:p>
          <w:p w14:paraId="5B53A27D" w14:textId="6B6E095B" w:rsidR="002E656F" w:rsidRPr="002E656F" w:rsidRDefault="002E656F" w:rsidP="002E656F">
            <w:pPr>
              <w:pStyle w:val="Heading3"/>
              <w:numPr>
                <w:ilvl w:val="0"/>
                <w:numId w:val="12"/>
              </w:numPr>
              <w:ind w:left="810"/>
              <w:rPr>
                <w:rFonts w:cstheme="majorHAnsi"/>
                <w:color w:val="000000" w:themeColor="text1"/>
              </w:rPr>
            </w:pPr>
            <w:r w:rsidRPr="002E656F">
              <w:rPr>
                <w:rFonts w:cstheme="majorHAnsi"/>
                <w:b/>
                <w:bCs/>
                <w:color w:val="000000" w:themeColor="text1"/>
              </w:rPr>
              <w:t>Audit Execution</w:t>
            </w:r>
            <w:r w:rsidRPr="002E656F">
              <w:rPr>
                <w:rFonts w:cstheme="majorHAnsi"/>
                <w:color w:val="000000" w:themeColor="text1"/>
              </w:rPr>
              <w:t>: The audit must be conducted by a Registered Energy Auditor (REA) holding a valid practicing certificate.</w:t>
            </w:r>
          </w:p>
          <w:p w14:paraId="079F3F0C" w14:textId="48A09355" w:rsidR="002E656F" w:rsidRPr="002E656F" w:rsidRDefault="002E656F" w:rsidP="002E656F">
            <w:pPr>
              <w:pStyle w:val="Heading3"/>
              <w:numPr>
                <w:ilvl w:val="0"/>
                <w:numId w:val="12"/>
              </w:numPr>
              <w:ind w:left="810"/>
              <w:rPr>
                <w:rFonts w:cstheme="majorHAnsi"/>
                <w:color w:val="000000" w:themeColor="text1"/>
              </w:rPr>
            </w:pPr>
            <w:r w:rsidRPr="002E656F">
              <w:rPr>
                <w:rFonts w:cstheme="majorHAnsi"/>
                <w:b/>
                <w:bCs/>
                <w:color w:val="000000" w:themeColor="text1"/>
              </w:rPr>
              <w:t>Audit Reporting</w:t>
            </w:r>
            <w:r w:rsidRPr="002E656F">
              <w:rPr>
                <w:rFonts w:cstheme="majorHAnsi"/>
                <w:color w:val="000000" w:themeColor="text1"/>
              </w:rPr>
              <w:t>: The audit findings must be systematically organized into an Energy Audit Report, containing energy efficiency findings, operational recommendations, and financial/ ROI feasibility analyses, and must be signed off by the REA before submission to the Commission.</w:t>
            </w:r>
          </w:p>
        </w:tc>
      </w:tr>
    </w:tbl>
    <w:p w14:paraId="7F18D019" w14:textId="77777777" w:rsidR="002E656F" w:rsidRPr="002E656F" w:rsidRDefault="002E656F" w:rsidP="002E656F">
      <w:pPr>
        <w:ind w:left="180"/>
        <w:rPr>
          <w:rFonts w:asciiTheme="majorHAnsi" w:hAnsiTheme="majorHAnsi" w:cstheme="majorHAnsi"/>
        </w:rPr>
      </w:pPr>
    </w:p>
    <w:tbl>
      <w:tblPr>
        <w:tblStyle w:val="PlainTable4"/>
        <w:tblW w:w="0" w:type="auto"/>
        <w:tblLook w:val="04A0" w:firstRow="1" w:lastRow="0" w:firstColumn="1" w:lastColumn="0" w:noHBand="0" w:noVBand="1"/>
      </w:tblPr>
      <w:tblGrid>
        <w:gridCol w:w="8856"/>
      </w:tblGrid>
      <w:tr w:rsidR="002E656F" w:rsidRPr="002E656F" w14:paraId="26E5DF52" w14:textId="77777777" w:rsidTr="00CA6D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56" w:type="dxa"/>
          </w:tcPr>
          <w:p w14:paraId="16827C43" w14:textId="7DEC12BB" w:rsidR="002E656F" w:rsidRPr="002E656F" w:rsidRDefault="002E656F" w:rsidP="002E656F">
            <w:pPr>
              <w:pStyle w:val="Heading3"/>
              <w:ind w:left="180"/>
              <w:rPr>
                <w:rFonts w:cstheme="majorHAnsi"/>
              </w:rPr>
            </w:pPr>
            <w:r w:rsidRPr="002E656F">
              <w:rPr>
                <w:rFonts w:cstheme="majorHAnsi"/>
              </w:rPr>
              <w:t>F. Energy Intensity Labeling (EIL)</w:t>
            </w:r>
          </w:p>
        </w:tc>
      </w:tr>
      <w:tr w:rsidR="002E656F" w:rsidRPr="002E656F" w14:paraId="080049A5" w14:textId="77777777" w:rsidTr="00CA6D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56" w:type="dxa"/>
          </w:tcPr>
          <w:p w14:paraId="44683911" w14:textId="77777777" w:rsidR="002E656F" w:rsidRPr="002E656F" w:rsidRDefault="002E656F" w:rsidP="002E656F">
            <w:pPr>
              <w:pStyle w:val="Heading3"/>
              <w:ind w:left="180"/>
              <w:rPr>
                <w:rFonts w:cstheme="majorHAnsi"/>
                <w:color w:val="000000" w:themeColor="text1"/>
              </w:rPr>
            </w:pPr>
            <w:r w:rsidRPr="002E656F">
              <w:rPr>
                <w:rFonts w:cstheme="majorHAnsi"/>
                <w:color w:val="000000" w:themeColor="text1"/>
              </w:rPr>
              <w:t>Applicable office buildings must compute and display their Energy Intensity Label (EIL) rating:</w:t>
            </w:r>
          </w:p>
          <w:p w14:paraId="1C6CEB66" w14:textId="01E2F963" w:rsidR="002E656F" w:rsidRPr="002E656F" w:rsidRDefault="002E656F" w:rsidP="002E656F">
            <w:pPr>
              <w:pStyle w:val="Heading3"/>
              <w:numPr>
                <w:ilvl w:val="0"/>
                <w:numId w:val="13"/>
              </w:numPr>
              <w:ind w:left="810"/>
              <w:rPr>
                <w:rFonts w:cstheme="majorHAnsi"/>
                <w:color w:val="000000" w:themeColor="text1"/>
              </w:rPr>
            </w:pPr>
            <w:r w:rsidRPr="002E656F">
              <w:rPr>
                <w:rFonts w:cstheme="majorHAnsi"/>
                <w:b/>
                <w:bCs/>
                <w:color w:val="000000" w:themeColor="text1"/>
              </w:rPr>
              <w:t>Parameters for Rating Calculation</w:t>
            </w:r>
            <w:r w:rsidRPr="002E656F">
              <w:rPr>
                <w:rFonts w:cstheme="majorHAnsi"/>
                <w:color w:val="000000" w:themeColor="text1"/>
              </w:rPr>
              <w:t xml:space="preserve">: The Energy Intensity Performance (EIP) of the building is calculated as the Building Energy Intensity (BEI) in kWh/m2/year, </w:t>
            </w:r>
            <w:proofErr w:type="gramStart"/>
            <w:r w:rsidRPr="002E656F">
              <w:rPr>
                <w:rFonts w:cstheme="majorHAnsi"/>
                <w:color w:val="000000" w:themeColor="text1"/>
              </w:rPr>
              <w:t>taking into account</w:t>
            </w:r>
            <w:proofErr w:type="gramEnd"/>
            <w:r w:rsidRPr="002E656F">
              <w:rPr>
                <w:rFonts w:cstheme="majorHAnsi"/>
                <w:color w:val="000000" w:themeColor="text1"/>
              </w:rPr>
              <w:t>:</w:t>
            </w:r>
          </w:p>
          <w:p w14:paraId="2CB71692" w14:textId="2A08CF28" w:rsidR="002E656F" w:rsidRPr="002E656F" w:rsidRDefault="002E656F" w:rsidP="007A3330">
            <w:pPr>
              <w:pStyle w:val="Heading3"/>
              <w:numPr>
                <w:ilvl w:val="2"/>
                <w:numId w:val="13"/>
              </w:numPr>
              <w:ind w:left="1440"/>
              <w:rPr>
                <w:rFonts w:cstheme="majorHAnsi"/>
                <w:color w:val="000000" w:themeColor="text1"/>
              </w:rPr>
            </w:pPr>
            <w:r w:rsidRPr="002E656F">
              <w:rPr>
                <w:rFonts w:cstheme="majorHAnsi"/>
                <w:color w:val="000000" w:themeColor="text1"/>
              </w:rPr>
              <w:t>Total annual energy consumption of the building (all sources converted to equivalent kWh).</w:t>
            </w:r>
          </w:p>
          <w:p w14:paraId="4C1C274D" w14:textId="0EB40325" w:rsidR="002E656F" w:rsidRPr="002E656F" w:rsidRDefault="002E656F" w:rsidP="007A3330">
            <w:pPr>
              <w:pStyle w:val="Heading3"/>
              <w:numPr>
                <w:ilvl w:val="2"/>
                <w:numId w:val="13"/>
              </w:numPr>
              <w:ind w:left="1440"/>
              <w:rPr>
                <w:rFonts w:cstheme="majorHAnsi"/>
                <w:color w:val="000000" w:themeColor="text1"/>
              </w:rPr>
            </w:pPr>
            <w:r w:rsidRPr="002E656F">
              <w:rPr>
                <w:rFonts w:cstheme="majorHAnsi"/>
                <w:color w:val="000000" w:themeColor="text1"/>
              </w:rPr>
              <w:t>Gross Floor Area (GFA) of the building in square meters (excluding non-conditioned spaces as defined by the guidelines).</w:t>
            </w:r>
          </w:p>
          <w:p w14:paraId="6F1CA091" w14:textId="77777777" w:rsidR="002E656F" w:rsidRPr="002E656F" w:rsidRDefault="002E656F" w:rsidP="007A3330">
            <w:pPr>
              <w:pStyle w:val="Heading3"/>
              <w:numPr>
                <w:ilvl w:val="2"/>
                <w:numId w:val="13"/>
              </w:numPr>
              <w:ind w:left="1440"/>
              <w:rPr>
                <w:rFonts w:cstheme="majorHAnsi"/>
                <w:color w:val="000000" w:themeColor="text1"/>
              </w:rPr>
            </w:pPr>
            <w:r w:rsidRPr="002E656F">
              <w:rPr>
                <w:rFonts w:cstheme="majorHAnsi"/>
                <w:color w:val="000000" w:themeColor="text1"/>
              </w:rPr>
              <w:t>Operating hours and climate/occupancy adjustment variables where applicable.</w:t>
            </w:r>
          </w:p>
          <w:p w14:paraId="7F129C3A" w14:textId="71BCEDD1" w:rsidR="002E656F" w:rsidRPr="002E656F" w:rsidRDefault="002E656F" w:rsidP="002E656F">
            <w:pPr>
              <w:pStyle w:val="Heading3"/>
              <w:numPr>
                <w:ilvl w:val="0"/>
                <w:numId w:val="13"/>
              </w:numPr>
              <w:ind w:left="810"/>
              <w:rPr>
                <w:rFonts w:cstheme="majorHAnsi"/>
                <w:color w:val="000000" w:themeColor="text1"/>
              </w:rPr>
            </w:pPr>
            <w:r w:rsidRPr="002E656F">
              <w:rPr>
                <w:rFonts w:cstheme="majorHAnsi"/>
                <w:b/>
                <w:bCs/>
                <w:color w:val="000000" w:themeColor="text1"/>
              </w:rPr>
              <w:t>When to Apply</w:t>
            </w:r>
            <w:r w:rsidRPr="002E656F">
              <w:rPr>
                <w:rFonts w:cstheme="majorHAnsi"/>
                <w:color w:val="000000" w:themeColor="text1"/>
              </w:rPr>
              <w:t>: The building manager must apply for the EIL rating within 12 months of the date of applicability/</w:t>
            </w:r>
            <w:r w:rsidR="005E16E7" w:rsidRPr="002E656F">
              <w:rPr>
                <w:rFonts w:cstheme="majorHAnsi"/>
                <w:color w:val="000000" w:themeColor="text1"/>
              </w:rPr>
              <w:t>notification and</w:t>
            </w:r>
            <w:r w:rsidRPr="002E656F">
              <w:rPr>
                <w:rFonts w:cstheme="majorHAnsi"/>
                <w:color w:val="000000" w:themeColor="text1"/>
              </w:rPr>
              <w:t xml:space="preserve"> must systematically renew the label after each prescribed reporting cycle.</w:t>
            </w:r>
          </w:p>
        </w:tc>
      </w:tr>
    </w:tbl>
    <w:p w14:paraId="63E16498" w14:textId="5340FC38" w:rsidR="00341442" w:rsidRPr="002E656F" w:rsidRDefault="00000000" w:rsidP="002E656F">
      <w:pPr>
        <w:ind w:left="180"/>
        <w:rPr>
          <w:rFonts w:asciiTheme="majorHAnsi" w:hAnsiTheme="majorHAnsi" w:cstheme="majorHAnsi"/>
        </w:rPr>
      </w:pPr>
      <w:r w:rsidRPr="002E656F">
        <w:rPr>
          <w:rFonts w:asciiTheme="majorHAnsi" w:hAnsiTheme="majorHAnsi" w:cstheme="majorHAnsi"/>
        </w:rPr>
        <w:br w:type="page"/>
      </w:r>
    </w:p>
    <w:p w14:paraId="58DCF98D" w14:textId="77777777" w:rsidR="00341442" w:rsidRPr="0064684A" w:rsidRDefault="00000000" w:rsidP="002E656F">
      <w:pPr>
        <w:pStyle w:val="Heading2"/>
        <w:ind w:left="180"/>
        <w:rPr>
          <w:rFonts w:cstheme="majorHAnsi"/>
          <w:color w:val="4F81BD" w:themeColor="accent1"/>
        </w:rPr>
      </w:pPr>
      <w:r w:rsidRPr="0064684A">
        <w:rPr>
          <w:rFonts w:cstheme="majorHAnsi"/>
          <w:color w:val="4F81BD" w:themeColor="accent1"/>
        </w:rPr>
        <w:lastRenderedPageBreak/>
        <w:t>6. Partnering with Sandhurst Advisory</w:t>
      </w:r>
    </w:p>
    <w:p w14:paraId="305E8A5D" w14:textId="77777777" w:rsidR="00341442" w:rsidRPr="0064684A" w:rsidRDefault="00000000" w:rsidP="002E656F">
      <w:pPr>
        <w:ind w:left="180"/>
        <w:rPr>
          <w:rFonts w:asciiTheme="majorHAnsi" w:hAnsiTheme="majorHAnsi" w:cstheme="majorHAnsi"/>
          <w:sz w:val="21"/>
          <w:szCs w:val="21"/>
        </w:rPr>
      </w:pPr>
      <w:r w:rsidRPr="0064684A">
        <w:rPr>
          <w:rFonts w:asciiTheme="majorHAnsi" w:hAnsiTheme="majorHAnsi" w:cstheme="majorHAnsi"/>
          <w:sz w:val="21"/>
          <w:szCs w:val="21"/>
        </w:rPr>
        <w:t>Achieving compliance under the Energy Efficiency and Conservation Act (EECA) can be complex, but you do not have to navigate it alone. Sandhurst Advisory is ready to support your organization through every step of your EECA compliance journey.</w:t>
      </w:r>
    </w:p>
    <w:p w14:paraId="35EEDA18" w14:textId="77777777" w:rsidR="00341442" w:rsidRPr="0064684A" w:rsidRDefault="00000000" w:rsidP="002E656F">
      <w:pPr>
        <w:ind w:left="180"/>
        <w:rPr>
          <w:rFonts w:asciiTheme="majorHAnsi" w:hAnsiTheme="majorHAnsi" w:cstheme="majorHAnsi"/>
          <w:sz w:val="21"/>
          <w:szCs w:val="21"/>
        </w:rPr>
      </w:pPr>
      <w:r w:rsidRPr="0064684A">
        <w:rPr>
          <w:rFonts w:asciiTheme="majorHAnsi" w:hAnsiTheme="majorHAnsi" w:cstheme="majorHAnsi"/>
          <w:sz w:val="21"/>
          <w:szCs w:val="21"/>
        </w:rPr>
        <w:t>We offer a comprehensive suite of professional energy management services tailored to your operational scale, including:</w:t>
      </w:r>
    </w:p>
    <w:p w14:paraId="27318910" w14:textId="7700C517" w:rsidR="00341442" w:rsidRPr="0064684A" w:rsidRDefault="00000000" w:rsidP="007A3330">
      <w:pPr>
        <w:pStyle w:val="ListBullet"/>
        <w:numPr>
          <w:ilvl w:val="0"/>
          <w:numId w:val="14"/>
        </w:numPr>
        <w:ind w:left="990"/>
        <w:rPr>
          <w:rFonts w:asciiTheme="majorHAnsi" w:hAnsiTheme="majorHAnsi" w:cstheme="majorHAnsi"/>
          <w:sz w:val="21"/>
          <w:szCs w:val="21"/>
        </w:rPr>
      </w:pPr>
      <w:r w:rsidRPr="0064684A">
        <w:rPr>
          <w:rFonts w:asciiTheme="majorHAnsi" w:hAnsiTheme="majorHAnsi" w:cstheme="majorHAnsi"/>
          <w:b/>
          <w:bCs/>
          <w:sz w:val="21"/>
          <w:szCs w:val="21"/>
        </w:rPr>
        <w:t>Compliance Advisory:</w:t>
      </w:r>
      <w:r w:rsidRPr="0064684A">
        <w:rPr>
          <w:rFonts w:asciiTheme="majorHAnsi" w:hAnsiTheme="majorHAnsi" w:cstheme="majorHAnsi"/>
          <w:sz w:val="21"/>
          <w:szCs w:val="21"/>
        </w:rPr>
        <w:t xml:space="preserve"> Strategic consulting to clarify applicability and legal requirements.</w:t>
      </w:r>
    </w:p>
    <w:p w14:paraId="1B4D0999" w14:textId="77777777" w:rsidR="007A3330" w:rsidRPr="0064684A" w:rsidRDefault="007A3330" w:rsidP="007A3330">
      <w:pPr>
        <w:pStyle w:val="ListBullet"/>
        <w:numPr>
          <w:ilvl w:val="0"/>
          <w:numId w:val="0"/>
        </w:numPr>
        <w:ind w:left="990"/>
        <w:rPr>
          <w:rFonts w:asciiTheme="majorHAnsi" w:hAnsiTheme="majorHAnsi" w:cstheme="majorHAnsi"/>
          <w:sz w:val="21"/>
          <w:szCs w:val="21"/>
        </w:rPr>
      </w:pPr>
    </w:p>
    <w:p w14:paraId="3263E316" w14:textId="04B33BCB" w:rsidR="00341442" w:rsidRPr="0064684A" w:rsidRDefault="00000000" w:rsidP="007A3330">
      <w:pPr>
        <w:pStyle w:val="ListBullet"/>
        <w:numPr>
          <w:ilvl w:val="0"/>
          <w:numId w:val="14"/>
        </w:numPr>
        <w:ind w:left="990"/>
        <w:rPr>
          <w:rFonts w:asciiTheme="majorHAnsi" w:hAnsiTheme="majorHAnsi" w:cstheme="majorHAnsi"/>
          <w:sz w:val="21"/>
          <w:szCs w:val="21"/>
        </w:rPr>
      </w:pPr>
      <w:r w:rsidRPr="0064684A">
        <w:rPr>
          <w:rFonts w:asciiTheme="majorHAnsi" w:hAnsiTheme="majorHAnsi" w:cstheme="majorHAnsi"/>
          <w:b/>
          <w:bCs/>
          <w:sz w:val="21"/>
          <w:szCs w:val="21"/>
        </w:rPr>
        <w:t>Comprehensive Energy Audits</w:t>
      </w:r>
      <w:r w:rsidRPr="0064684A">
        <w:rPr>
          <w:rFonts w:asciiTheme="majorHAnsi" w:hAnsiTheme="majorHAnsi" w:cstheme="majorHAnsi"/>
          <w:sz w:val="21"/>
          <w:szCs w:val="21"/>
        </w:rPr>
        <w:t>: Full-scope assessments conducted by Registered Energy Auditors (REAs).</w:t>
      </w:r>
    </w:p>
    <w:p w14:paraId="4AD04190" w14:textId="77777777" w:rsidR="007A3330" w:rsidRPr="0064684A" w:rsidRDefault="007A3330" w:rsidP="007A3330">
      <w:pPr>
        <w:pStyle w:val="ListBullet"/>
        <w:numPr>
          <w:ilvl w:val="0"/>
          <w:numId w:val="0"/>
        </w:numPr>
        <w:rPr>
          <w:rFonts w:asciiTheme="majorHAnsi" w:hAnsiTheme="majorHAnsi" w:cstheme="majorHAnsi"/>
          <w:sz w:val="21"/>
          <w:szCs w:val="21"/>
        </w:rPr>
      </w:pPr>
    </w:p>
    <w:p w14:paraId="3D0B8647" w14:textId="68A7B21E" w:rsidR="00341442" w:rsidRPr="0064684A" w:rsidRDefault="00000000" w:rsidP="007A3330">
      <w:pPr>
        <w:pStyle w:val="ListBullet"/>
        <w:numPr>
          <w:ilvl w:val="0"/>
          <w:numId w:val="14"/>
        </w:numPr>
        <w:ind w:left="990"/>
        <w:rPr>
          <w:rFonts w:asciiTheme="majorHAnsi" w:hAnsiTheme="majorHAnsi" w:cstheme="majorHAnsi"/>
          <w:sz w:val="21"/>
          <w:szCs w:val="21"/>
        </w:rPr>
      </w:pPr>
      <w:r w:rsidRPr="0064684A">
        <w:rPr>
          <w:rFonts w:asciiTheme="majorHAnsi" w:hAnsiTheme="majorHAnsi" w:cstheme="majorHAnsi"/>
          <w:b/>
          <w:bCs/>
          <w:sz w:val="21"/>
          <w:szCs w:val="21"/>
        </w:rPr>
        <w:t>EnMS Training &amp; Establishment</w:t>
      </w:r>
      <w:r w:rsidRPr="0064684A">
        <w:rPr>
          <w:rFonts w:asciiTheme="majorHAnsi" w:hAnsiTheme="majorHAnsi" w:cstheme="majorHAnsi"/>
          <w:sz w:val="21"/>
          <w:szCs w:val="21"/>
        </w:rPr>
        <w:t>: Policy design, target setting, and full implementation of Energy Management Systems compliant with regulatory guidelines.</w:t>
      </w:r>
    </w:p>
    <w:p w14:paraId="20286DA4" w14:textId="77777777" w:rsidR="007A3330" w:rsidRPr="0064684A" w:rsidRDefault="007A3330" w:rsidP="007A3330">
      <w:pPr>
        <w:pStyle w:val="ListBullet"/>
        <w:numPr>
          <w:ilvl w:val="0"/>
          <w:numId w:val="0"/>
        </w:numPr>
        <w:rPr>
          <w:rFonts w:asciiTheme="majorHAnsi" w:hAnsiTheme="majorHAnsi" w:cstheme="majorHAnsi"/>
          <w:sz w:val="21"/>
          <w:szCs w:val="21"/>
        </w:rPr>
      </w:pPr>
    </w:p>
    <w:p w14:paraId="7E2B2FF9" w14:textId="500D2B1E" w:rsidR="00341442" w:rsidRPr="0064684A" w:rsidRDefault="00000000" w:rsidP="007A3330">
      <w:pPr>
        <w:pStyle w:val="ListBullet"/>
        <w:numPr>
          <w:ilvl w:val="0"/>
          <w:numId w:val="14"/>
        </w:numPr>
        <w:ind w:left="990"/>
        <w:rPr>
          <w:rFonts w:asciiTheme="majorHAnsi" w:hAnsiTheme="majorHAnsi" w:cstheme="majorHAnsi"/>
          <w:sz w:val="21"/>
          <w:szCs w:val="21"/>
        </w:rPr>
      </w:pPr>
      <w:r w:rsidRPr="0064684A">
        <w:rPr>
          <w:rFonts w:asciiTheme="majorHAnsi" w:hAnsiTheme="majorHAnsi" w:cstheme="majorHAnsi"/>
          <w:b/>
          <w:bCs/>
          <w:sz w:val="21"/>
          <w:szCs w:val="21"/>
        </w:rPr>
        <w:t>Real-Time Monitoring Services</w:t>
      </w:r>
      <w:r w:rsidRPr="0064684A">
        <w:rPr>
          <w:rFonts w:asciiTheme="majorHAnsi" w:hAnsiTheme="majorHAnsi" w:cstheme="majorHAnsi"/>
          <w:sz w:val="21"/>
          <w:szCs w:val="21"/>
        </w:rPr>
        <w:t>: Advanced data aggregation and IoT telemetry to effortlessly capture your 12-month energy baselines and continuous performance.</w:t>
      </w:r>
    </w:p>
    <w:p w14:paraId="59DC7005" w14:textId="77777777" w:rsidR="00341442" w:rsidRPr="0064684A" w:rsidRDefault="00000000" w:rsidP="002E656F">
      <w:pPr>
        <w:ind w:left="180"/>
        <w:rPr>
          <w:rFonts w:asciiTheme="majorHAnsi" w:hAnsiTheme="majorHAnsi" w:cstheme="majorHAnsi"/>
          <w:sz w:val="21"/>
          <w:szCs w:val="21"/>
        </w:rPr>
      </w:pPr>
      <w:r w:rsidRPr="0064684A">
        <w:rPr>
          <w:rFonts w:asciiTheme="majorHAnsi" w:hAnsiTheme="majorHAnsi" w:cstheme="majorHAnsi"/>
          <w:b/>
          <w:sz w:val="21"/>
          <w:szCs w:val="21"/>
        </w:rPr>
        <w:br/>
        <w:t>Contact Sandhurst Advisory today to ensure seamless compliance, mitigate regulatory risks, and optimize your facility's long-term energy performance.</w:t>
      </w:r>
    </w:p>
    <w:p w14:paraId="78C266B9" w14:textId="77777777" w:rsidR="00341442" w:rsidRPr="002E656F" w:rsidRDefault="00000000" w:rsidP="002E656F">
      <w:pPr>
        <w:ind w:left="180"/>
        <w:rPr>
          <w:rFonts w:asciiTheme="majorHAnsi" w:hAnsiTheme="majorHAnsi" w:cstheme="majorHAnsi"/>
        </w:rPr>
      </w:pPr>
      <w:r w:rsidRPr="002E656F">
        <w:rPr>
          <w:rFonts w:asciiTheme="majorHAnsi" w:hAnsiTheme="majorHAnsi" w:cstheme="majorHAnsi"/>
        </w:rPr>
        <w:br/>
      </w:r>
      <w:r w:rsidRPr="002E656F">
        <w:rPr>
          <w:rFonts w:asciiTheme="majorHAnsi" w:hAnsiTheme="majorHAnsi" w:cstheme="majorHAnsi"/>
        </w:rPr>
        <w:br/>
      </w:r>
    </w:p>
    <w:tbl>
      <w:tblPr>
        <w:tblStyle w:val="LightShading-Accent1"/>
        <w:tblW w:w="0" w:type="auto"/>
        <w:tblLook w:val="04A0" w:firstRow="1" w:lastRow="0" w:firstColumn="1" w:lastColumn="0" w:noHBand="0" w:noVBand="1"/>
      </w:tblPr>
      <w:tblGrid>
        <w:gridCol w:w="8640"/>
      </w:tblGrid>
      <w:tr w:rsidR="00341442" w:rsidRPr="002E656F" w14:paraId="75D1E75B" w14:textId="77777777" w:rsidTr="003414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640" w:type="dxa"/>
          </w:tcPr>
          <w:p w14:paraId="54EBD186" w14:textId="77777777" w:rsidR="00341442" w:rsidRPr="002E656F" w:rsidRDefault="00000000" w:rsidP="002E656F">
            <w:pPr>
              <w:ind w:left="180"/>
              <w:rPr>
                <w:rFonts w:asciiTheme="majorHAnsi" w:hAnsiTheme="majorHAnsi" w:cstheme="majorHAnsi"/>
              </w:rPr>
            </w:pPr>
            <w:r w:rsidRPr="002E656F">
              <w:rPr>
                <w:rFonts w:asciiTheme="majorHAnsi" w:hAnsiTheme="majorHAnsi" w:cstheme="majorHAnsi"/>
                <w:i/>
                <w:color w:val="64748B"/>
                <w:sz w:val="18"/>
              </w:rPr>
              <w:t>Disclaimer: This report is based solely on the information provided through the EECA Compliance &amp; Readiness Self-Check tool. It is intended as a preliminary advisory document only and does not constitute legal confirmation of compliance status, formal regulatory determination, or professional certification under the Energy Efficiency and Conservation Act 2024. Sandhurst Advisory takes no liability for this report as it is an auto-generated self-assessment. User discretion is strictly required, and formal consultation is recommended for definitive compliance mapping.</w:t>
            </w:r>
          </w:p>
        </w:tc>
      </w:tr>
    </w:tbl>
    <w:p w14:paraId="10A57A8F" w14:textId="77777777" w:rsidR="00841604" w:rsidRPr="002E656F" w:rsidRDefault="00841604" w:rsidP="002E656F">
      <w:pPr>
        <w:ind w:left="180"/>
        <w:rPr>
          <w:rFonts w:asciiTheme="majorHAnsi" w:hAnsiTheme="majorHAnsi" w:cstheme="majorHAnsi"/>
        </w:rPr>
      </w:pPr>
    </w:p>
    <w:sectPr w:rsidR="00841604" w:rsidRPr="002E656F" w:rsidSect="002E656F">
      <w:pgSz w:w="12240" w:h="15840"/>
      <w:pgMar w:top="1440" w:right="1530" w:bottom="1440" w:left="16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E321F" w14:textId="77777777" w:rsidR="001728B3" w:rsidRDefault="001728B3" w:rsidP="00356E11">
      <w:pPr>
        <w:spacing w:after="0" w:line="240" w:lineRule="auto"/>
      </w:pPr>
      <w:r>
        <w:separator/>
      </w:r>
    </w:p>
  </w:endnote>
  <w:endnote w:type="continuationSeparator" w:id="0">
    <w:p w14:paraId="184AFB12" w14:textId="77777777" w:rsidR="001728B3" w:rsidRDefault="001728B3" w:rsidP="00356E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C07E4" w14:textId="77777777" w:rsidR="001728B3" w:rsidRDefault="001728B3" w:rsidP="00356E11">
      <w:pPr>
        <w:spacing w:after="0" w:line="240" w:lineRule="auto"/>
      </w:pPr>
      <w:r>
        <w:separator/>
      </w:r>
    </w:p>
  </w:footnote>
  <w:footnote w:type="continuationSeparator" w:id="0">
    <w:p w14:paraId="6C02D7BF" w14:textId="77777777" w:rsidR="001728B3" w:rsidRDefault="001728B3" w:rsidP="00356E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88C8F3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D7759F"/>
    <w:multiLevelType w:val="hybridMultilevel"/>
    <w:tmpl w:val="0BF044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994D33"/>
    <w:multiLevelType w:val="hybridMultilevel"/>
    <w:tmpl w:val="D17C071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392C0771"/>
    <w:multiLevelType w:val="hybridMultilevel"/>
    <w:tmpl w:val="65F83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31F4429"/>
    <w:multiLevelType w:val="hybridMultilevel"/>
    <w:tmpl w:val="4BE4B9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21649A"/>
    <w:multiLevelType w:val="hybridMultilevel"/>
    <w:tmpl w:val="1A78DF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AB41233"/>
    <w:multiLevelType w:val="hybridMultilevel"/>
    <w:tmpl w:val="CABE5ED8"/>
    <w:lvl w:ilvl="0" w:tplc="04090003">
      <w:start w:val="1"/>
      <w:numFmt w:val="bullet"/>
      <w:lvlText w:val="o"/>
      <w:lvlJc w:val="left"/>
      <w:pPr>
        <w:ind w:left="540" w:hanging="360"/>
      </w:pPr>
      <w:rPr>
        <w:rFonts w:ascii="Courier New" w:hAnsi="Courier New" w:cs="Courier New"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5" w15:restartNumberingAfterBreak="0">
    <w:nsid w:val="7BD74962"/>
    <w:multiLevelType w:val="hybridMultilevel"/>
    <w:tmpl w:val="E9E0BA1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5017817">
    <w:abstractNumId w:val="8"/>
  </w:num>
  <w:num w:numId="2" w16cid:durableId="1262839343">
    <w:abstractNumId w:val="6"/>
  </w:num>
  <w:num w:numId="3" w16cid:durableId="1072772713">
    <w:abstractNumId w:val="5"/>
  </w:num>
  <w:num w:numId="4" w16cid:durableId="469977749">
    <w:abstractNumId w:val="4"/>
  </w:num>
  <w:num w:numId="5" w16cid:durableId="1595165539">
    <w:abstractNumId w:val="7"/>
  </w:num>
  <w:num w:numId="6" w16cid:durableId="1390881922">
    <w:abstractNumId w:val="3"/>
  </w:num>
  <w:num w:numId="7" w16cid:durableId="2084255720">
    <w:abstractNumId w:val="2"/>
  </w:num>
  <w:num w:numId="8" w16cid:durableId="1005939872">
    <w:abstractNumId w:val="1"/>
  </w:num>
  <w:num w:numId="9" w16cid:durableId="278267688">
    <w:abstractNumId w:val="0"/>
  </w:num>
  <w:num w:numId="10" w16cid:durableId="2121602060">
    <w:abstractNumId w:val="12"/>
  </w:num>
  <w:num w:numId="11" w16cid:durableId="209733942">
    <w:abstractNumId w:val="13"/>
  </w:num>
  <w:num w:numId="12" w16cid:durableId="554045905">
    <w:abstractNumId w:val="11"/>
  </w:num>
  <w:num w:numId="13" w16cid:durableId="132144915">
    <w:abstractNumId w:val="9"/>
  </w:num>
  <w:num w:numId="14" w16cid:durableId="2088648174">
    <w:abstractNumId w:val="10"/>
  </w:num>
  <w:num w:numId="15" w16cid:durableId="1744182596">
    <w:abstractNumId w:val="14"/>
  </w:num>
  <w:num w:numId="16" w16cid:durableId="180211609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28B3"/>
    <w:rsid w:val="0029639D"/>
    <w:rsid w:val="002E656F"/>
    <w:rsid w:val="00326F90"/>
    <w:rsid w:val="00341442"/>
    <w:rsid w:val="00356E11"/>
    <w:rsid w:val="003F4B5F"/>
    <w:rsid w:val="005E16E7"/>
    <w:rsid w:val="0064684A"/>
    <w:rsid w:val="007A3330"/>
    <w:rsid w:val="00841604"/>
    <w:rsid w:val="008D3AFE"/>
    <w:rsid w:val="00AA1D8D"/>
    <w:rsid w:val="00B47730"/>
    <w:rsid w:val="00C67395"/>
    <w:rsid w:val="00CB0664"/>
    <w:rsid w:val="00E634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5D265A"/>
  <w14:defaultImageDpi w14:val="300"/>
  <w15:docId w15:val="{669691C3-2657-3F48-8C7A-5DCD96A98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34BD"/>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293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4">
    <w:name w:val="Plain Table 4"/>
    <w:basedOn w:val="TableNormal"/>
    <w:uiPriority w:val="99"/>
    <w:rsid w:val="00E634B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9</Pages>
  <Words>1362</Words>
  <Characters>8405</Characters>
  <Application>Microsoft Office Word</Application>
  <DocSecurity>0</DocSecurity>
  <Lines>262</Lines>
  <Paragraphs>139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Phun LM</cp:lastModifiedBy>
  <cp:revision>4</cp:revision>
  <dcterms:created xsi:type="dcterms:W3CDTF">2026-05-02T05:22:00Z</dcterms:created>
  <dcterms:modified xsi:type="dcterms:W3CDTF">2026-05-04T02:32:00Z</dcterms:modified>
  <cp:category/>
</cp:coreProperties>
</file>