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32C0" w14:textId="5D495921" w:rsidR="005A0609" w:rsidRDefault="005A0609" w:rsidP="005A0609">
      <w:pPr>
        <w:pStyle w:val="Heading1"/>
        <w:rPr>
          <w:sz w:val="48"/>
          <w:szCs w:val="48"/>
        </w:rPr>
      </w:pPr>
      <w:r w:rsidRPr="005A0609">
        <w:rPr>
          <w:sz w:val="52"/>
          <w:szCs w:val="52"/>
        </w:rPr>
        <w:t>Ethereum Price Analysis: Can ETH Sustain</w:t>
      </w:r>
      <w:r w:rsidRPr="005A0609">
        <w:rPr>
          <w:sz w:val="52"/>
          <w:szCs w:val="52"/>
        </w:rPr>
        <w:t xml:space="preserve"> </w:t>
      </w:r>
      <w:r w:rsidRPr="005A0609">
        <w:rPr>
          <w:sz w:val="52"/>
          <w:szCs w:val="52"/>
        </w:rPr>
        <w:t>Momentum</w:t>
      </w:r>
      <w:r w:rsidRPr="005A0609">
        <w:rPr>
          <w:sz w:val="52"/>
          <w:szCs w:val="52"/>
        </w:rPr>
        <w:t xml:space="preserve"> </w:t>
      </w:r>
      <w:r w:rsidRPr="005A0609">
        <w:rPr>
          <w:sz w:val="52"/>
          <w:szCs w:val="52"/>
        </w:rPr>
        <w:t>Above $2,000</w:t>
      </w:r>
      <w:r w:rsidRPr="005A0609">
        <w:rPr>
          <w:sz w:val="48"/>
          <w:szCs w:val="48"/>
        </w:rPr>
        <w:t>?</w:t>
      </w:r>
    </w:p>
    <w:p w14:paraId="610B76F2" w14:textId="77777777" w:rsidR="005A0609" w:rsidRPr="005A0609" w:rsidRDefault="005A0609" w:rsidP="005A0609"/>
    <w:p w14:paraId="650EA53A" w14:textId="655F2DE8" w:rsidR="005A0609" w:rsidRPr="005A0609" w:rsidRDefault="005A0609" w:rsidP="005A0609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5A0609">
        <w:rPr>
          <w:sz w:val="36"/>
          <w:szCs w:val="36"/>
        </w:rPr>
        <w:t>Ethereum continues to hold above the $2,000 psychological level, signaling early signs of strength</w:t>
      </w:r>
      <w:r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as market sentiment gradually shifts toward a bullish outlook. However, for sustained upside,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stronger technical confirmation is required.</w:t>
      </w:r>
    </w:p>
    <w:p w14:paraId="7DE593BC" w14:textId="77777777" w:rsidR="005A0609" w:rsidRPr="005A0609" w:rsidRDefault="005A0609" w:rsidP="005A0609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5A0609">
        <w:rPr>
          <w:rFonts w:ascii="Times New Roman" w:hAnsi="Times New Roman" w:cs="Times New Roman"/>
          <w:sz w:val="52"/>
          <w:szCs w:val="52"/>
        </w:rPr>
        <w:t>Market Structure and Key Levels</w:t>
      </w:r>
    </w:p>
    <w:p w14:paraId="3A4D4FB5" w14:textId="6EF26CA0" w:rsidR="005A0609" w:rsidRPr="005A0609" w:rsidRDefault="005A0609" w:rsidP="005A0609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5A0609">
        <w:rPr>
          <w:sz w:val="36"/>
          <w:szCs w:val="36"/>
        </w:rPr>
        <w:t>ETH recently bounced off the $2,000 support zone, a critical psychological and technical level that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has attracted consistent buying interest. This level now acts as a key foundation for any potential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upward movement.</w:t>
      </w:r>
    </w:p>
    <w:p w14:paraId="307A4DDA" w14:textId="2DE3D0E7" w:rsidR="005A0609" w:rsidRPr="005A0609" w:rsidRDefault="005A0609" w:rsidP="005A0609">
      <w:pPr>
        <w:rPr>
          <w:sz w:val="36"/>
          <w:szCs w:val="36"/>
        </w:rPr>
      </w:pPr>
      <w:r w:rsidRPr="005A0609">
        <w:rPr>
          <w:sz w:val="36"/>
          <w:szCs w:val="36"/>
        </w:rPr>
        <w:t>On the upside, the $2,200–$2,400 region serves as a major resistance zone. A confirmed break</w:t>
      </w:r>
      <w:r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above this range could open the door for further bullish expansion.</w:t>
      </w:r>
    </w:p>
    <w:p w14:paraId="5F097351" w14:textId="77777777" w:rsidR="005A0609" w:rsidRPr="005A0609" w:rsidRDefault="005A0609" w:rsidP="005A0609">
      <w:pPr>
        <w:rPr>
          <w:rFonts w:ascii="Times New Roman" w:hAnsi="Times New Roman" w:cs="Times New Roman"/>
          <w:sz w:val="52"/>
          <w:szCs w:val="52"/>
        </w:rPr>
      </w:pPr>
      <w:r w:rsidRPr="005A0609">
        <w:rPr>
          <w:rFonts w:ascii="Times New Roman" w:hAnsi="Times New Roman" w:cs="Times New Roman"/>
          <w:sz w:val="52"/>
          <w:szCs w:val="52"/>
        </w:rPr>
        <w:t>Trend and Moving Average Analysis</w:t>
      </w:r>
    </w:p>
    <w:p w14:paraId="119DECC9" w14:textId="2B15B2CD" w:rsidR="005A0609" w:rsidRPr="005A0609" w:rsidRDefault="005A0609" w:rsidP="005A0609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5A0609">
        <w:rPr>
          <w:sz w:val="36"/>
          <w:szCs w:val="36"/>
        </w:rPr>
        <w:t>From a broader perspective, Ethereum is attempting to maintain a recovery structure. Price action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holding above key moving averages</w:t>
      </w:r>
      <w:r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such as the 50-day and 200-day moving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averages</w:t>
      </w:r>
      <w:r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suggests reduced selling pressure and improving market strength.</w:t>
      </w:r>
    </w:p>
    <w:p w14:paraId="72918547" w14:textId="77777777" w:rsidR="005A0609" w:rsidRPr="005A0609" w:rsidRDefault="005A0609" w:rsidP="005A0609">
      <w:pPr>
        <w:rPr>
          <w:sz w:val="36"/>
          <w:szCs w:val="36"/>
        </w:rPr>
      </w:pPr>
      <w:r w:rsidRPr="005A0609">
        <w:rPr>
          <w:sz w:val="36"/>
          <w:szCs w:val="36"/>
        </w:rPr>
        <w:lastRenderedPageBreak/>
        <w:t>However, failure to maintain this positioning could signal weakness in the current trend.</w:t>
      </w:r>
    </w:p>
    <w:p w14:paraId="53B2DFB7" w14:textId="77777777" w:rsidR="005A0609" w:rsidRPr="005A0609" w:rsidRDefault="005A0609" w:rsidP="005A0609">
      <w:pPr>
        <w:rPr>
          <w:rFonts w:ascii="Times New Roman" w:hAnsi="Times New Roman" w:cs="Times New Roman"/>
          <w:sz w:val="52"/>
          <w:szCs w:val="52"/>
        </w:rPr>
      </w:pPr>
      <w:r w:rsidRPr="005A0609">
        <w:rPr>
          <w:rFonts w:ascii="Times New Roman" w:hAnsi="Times New Roman" w:cs="Times New Roman"/>
          <w:sz w:val="52"/>
          <w:szCs w:val="52"/>
        </w:rPr>
        <w:t>Higher Timeframe Outlook</w:t>
      </w:r>
    </w:p>
    <w:p w14:paraId="6FDDACE2" w14:textId="5D14C0A5" w:rsidR="005A0609" w:rsidRPr="005A0609" w:rsidRDefault="005A0609" w:rsidP="005A0609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5A0609">
        <w:rPr>
          <w:sz w:val="36"/>
          <w:szCs w:val="36"/>
        </w:rPr>
        <w:t>On the weekly timeframe, Ethereum remains in a gradual recovery phase following previous marke</w:t>
      </w:r>
      <w:r>
        <w:rPr>
          <w:sz w:val="36"/>
          <w:szCs w:val="36"/>
        </w:rPr>
        <w:t xml:space="preserve">t </w:t>
      </w:r>
      <w:r w:rsidRPr="005A0609">
        <w:rPr>
          <w:sz w:val="36"/>
          <w:szCs w:val="36"/>
        </w:rPr>
        <w:t>corrections. The ability to hold above $2,000 strengthens the argument for continued upside, while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a breakdown below this level would weaken the bullish outlook.</w:t>
      </w:r>
    </w:p>
    <w:p w14:paraId="263E4F4B" w14:textId="77777777" w:rsidR="005A0609" w:rsidRPr="005A0609" w:rsidRDefault="005A0609" w:rsidP="005A0609">
      <w:pPr>
        <w:rPr>
          <w:rFonts w:ascii="Times New Roman" w:hAnsi="Times New Roman" w:cs="Times New Roman"/>
          <w:sz w:val="52"/>
          <w:szCs w:val="52"/>
        </w:rPr>
      </w:pPr>
      <w:r w:rsidRPr="005A0609">
        <w:rPr>
          <w:rFonts w:ascii="Times New Roman" w:hAnsi="Times New Roman" w:cs="Times New Roman"/>
          <w:sz w:val="52"/>
          <w:szCs w:val="52"/>
        </w:rPr>
        <w:t>Fundamental Support</w:t>
      </w:r>
    </w:p>
    <w:p w14:paraId="7D69E150" w14:textId="7E1CACAA" w:rsidR="005A0609" w:rsidRPr="005A0609" w:rsidRDefault="005A0609" w:rsidP="005A0609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5A0609">
        <w:rPr>
          <w:sz w:val="36"/>
          <w:szCs w:val="36"/>
        </w:rPr>
        <w:t>Beyond technicals, Ethereum continues to benefit from strong fundamentals. Growing institutional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I</w:t>
      </w:r>
      <w:r w:rsidRPr="005A0609">
        <w:rPr>
          <w:sz w:val="36"/>
          <w:szCs w:val="36"/>
        </w:rPr>
        <w:t>nterest</w:t>
      </w:r>
      <w:r>
        <w:rPr>
          <w:sz w:val="36"/>
          <w:szCs w:val="36"/>
        </w:rPr>
        <w:t xml:space="preserve"> driven </w:t>
      </w:r>
      <w:r w:rsidRPr="005A0609">
        <w:rPr>
          <w:sz w:val="36"/>
          <w:szCs w:val="36"/>
        </w:rPr>
        <w:t>by ETF inflows, staking activity, and real-world asset tokenization</w:t>
      </w:r>
      <w:r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adds a layer of</w:t>
      </w:r>
      <w:r w:rsidR="007F110E">
        <w:rPr>
          <w:sz w:val="36"/>
          <w:szCs w:val="36"/>
        </w:rPr>
        <w:t xml:space="preserve"> </w:t>
      </w:r>
      <w:proofErr w:type="gramStart"/>
      <w:r w:rsidR="007F110E">
        <w:rPr>
          <w:sz w:val="36"/>
          <w:szCs w:val="36"/>
        </w:rPr>
        <w:t>l</w:t>
      </w:r>
      <w:r w:rsidRPr="005A0609">
        <w:rPr>
          <w:sz w:val="36"/>
          <w:szCs w:val="36"/>
        </w:rPr>
        <w:t>ong</w:t>
      </w:r>
      <w:r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term</w:t>
      </w:r>
      <w:proofErr w:type="gramEnd"/>
      <w:r w:rsidRPr="005A0609">
        <w:rPr>
          <w:sz w:val="36"/>
          <w:szCs w:val="36"/>
        </w:rPr>
        <w:t xml:space="preserve"> support.</w:t>
      </w:r>
    </w:p>
    <w:p w14:paraId="2BB54BEA" w14:textId="7F4086D1" w:rsidR="005A0609" w:rsidRPr="005A0609" w:rsidRDefault="007F110E" w:rsidP="005A0609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5A0609" w:rsidRPr="005A0609">
        <w:rPr>
          <w:sz w:val="36"/>
          <w:szCs w:val="36"/>
        </w:rPr>
        <w:t>Institutional involvement, including participation from major financial players, reflects increasing</w:t>
      </w:r>
      <w:r>
        <w:rPr>
          <w:sz w:val="36"/>
          <w:szCs w:val="36"/>
        </w:rPr>
        <w:t xml:space="preserve"> </w:t>
      </w:r>
      <w:r w:rsidR="005A0609" w:rsidRPr="005A0609">
        <w:rPr>
          <w:sz w:val="36"/>
          <w:szCs w:val="36"/>
        </w:rPr>
        <w:t>confidence in Ethereum as a core digital asset.</w:t>
      </w:r>
    </w:p>
    <w:p w14:paraId="652E2CEB" w14:textId="72344EA7" w:rsidR="005A0609" w:rsidRPr="005A0609" w:rsidRDefault="005A0609" w:rsidP="005A0609">
      <w:pPr>
        <w:rPr>
          <w:rFonts w:ascii="Times New Roman" w:hAnsi="Times New Roman" w:cs="Times New Roman"/>
          <w:sz w:val="52"/>
          <w:szCs w:val="52"/>
        </w:rPr>
      </w:pPr>
      <w:r w:rsidRPr="005A0609">
        <w:rPr>
          <w:rFonts w:ascii="Times New Roman" w:hAnsi="Times New Roman" w:cs="Times New Roman"/>
          <w:sz w:val="52"/>
          <w:szCs w:val="52"/>
        </w:rPr>
        <w:t>Bullish and Bearish Scenarios</w:t>
      </w:r>
    </w:p>
    <w:p w14:paraId="7B2692C4" w14:textId="14424E86" w:rsidR="005A0609" w:rsidRPr="005A0609" w:rsidRDefault="005A0609" w:rsidP="005A0609">
      <w:pPr>
        <w:rPr>
          <w:sz w:val="36"/>
          <w:szCs w:val="36"/>
        </w:rPr>
      </w:pPr>
      <w:r w:rsidRPr="005A0609">
        <w:rPr>
          <w:sz w:val="36"/>
          <w:szCs w:val="36"/>
        </w:rPr>
        <w:t>Bullish Case: If ETH maintains support above $2,000 and breaks above the $2,200 resistance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zone with strong volume, the next target lies around $2,400.</w:t>
      </w:r>
    </w:p>
    <w:p w14:paraId="5D3D460F" w14:textId="646732A3" w:rsidR="005A0609" w:rsidRPr="005A0609" w:rsidRDefault="005A0609" w:rsidP="005A0609">
      <w:pPr>
        <w:rPr>
          <w:sz w:val="36"/>
          <w:szCs w:val="36"/>
        </w:rPr>
      </w:pPr>
      <w:r w:rsidRPr="005A0609">
        <w:rPr>
          <w:sz w:val="36"/>
          <w:szCs w:val="36"/>
        </w:rPr>
        <w:lastRenderedPageBreak/>
        <w:t>Bearish Case: A breakdown below $2,000 would invalidate the current bullish structure and could</w:t>
      </w:r>
      <w:r w:rsidR="007F110E">
        <w:rPr>
          <w:sz w:val="36"/>
          <w:szCs w:val="36"/>
        </w:rPr>
        <w:t xml:space="preserve"> </w:t>
      </w:r>
      <w:r w:rsidRPr="005A0609">
        <w:rPr>
          <w:sz w:val="36"/>
          <w:szCs w:val="36"/>
        </w:rPr>
        <w:t>lead to further downside as selling pressure increases.</w:t>
      </w:r>
    </w:p>
    <w:p w14:paraId="12B5A5F0" w14:textId="77777777" w:rsidR="005A0609" w:rsidRPr="005A0609" w:rsidRDefault="005A0609" w:rsidP="005A0609">
      <w:pPr>
        <w:rPr>
          <w:rFonts w:ascii="Times New Roman" w:hAnsi="Times New Roman" w:cs="Times New Roman"/>
          <w:sz w:val="52"/>
          <w:szCs w:val="52"/>
        </w:rPr>
      </w:pPr>
      <w:r w:rsidRPr="005A0609">
        <w:rPr>
          <w:rFonts w:ascii="Times New Roman" w:hAnsi="Times New Roman" w:cs="Times New Roman"/>
          <w:sz w:val="52"/>
          <w:szCs w:val="52"/>
        </w:rPr>
        <w:t>Conclusion</w:t>
      </w:r>
    </w:p>
    <w:p w14:paraId="5DAB9EA9" w14:textId="77777777" w:rsidR="005A0609" w:rsidRPr="005A0609" w:rsidRDefault="005A0609" w:rsidP="005A0609">
      <w:pPr>
        <w:rPr>
          <w:sz w:val="36"/>
          <w:szCs w:val="36"/>
        </w:rPr>
      </w:pPr>
      <w:r w:rsidRPr="005A0609">
        <w:rPr>
          <w:sz w:val="36"/>
          <w:szCs w:val="36"/>
        </w:rPr>
        <w:t>Ethereum shows early signs of bullish recovery, supported by strong fundamentals and key</w:t>
      </w:r>
    </w:p>
    <w:p w14:paraId="1BF29542" w14:textId="77777777" w:rsidR="005A0609" w:rsidRPr="005A0609" w:rsidRDefault="005A0609" w:rsidP="005A0609">
      <w:pPr>
        <w:rPr>
          <w:sz w:val="36"/>
          <w:szCs w:val="36"/>
        </w:rPr>
      </w:pPr>
      <w:r w:rsidRPr="005A0609">
        <w:rPr>
          <w:sz w:val="36"/>
          <w:szCs w:val="36"/>
        </w:rPr>
        <w:t>technical levels. However, confirmation through resistance breakouts and sustained positioning</w:t>
      </w:r>
    </w:p>
    <w:p w14:paraId="583281CE" w14:textId="4454D2FA" w:rsidR="003C4DAC" w:rsidRPr="005A0609" w:rsidRDefault="005A0609" w:rsidP="005A0609">
      <w:pPr>
        <w:rPr>
          <w:sz w:val="36"/>
          <w:szCs w:val="36"/>
        </w:rPr>
      </w:pPr>
      <w:r w:rsidRPr="005A0609">
        <w:rPr>
          <w:sz w:val="36"/>
          <w:szCs w:val="36"/>
        </w:rPr>
        <w:t>above major moving averages will be essential for continued upward momentum.</w:t>
      </w:r>
    </w:p>
    <w:sectPr w:rsidR="003C4DAC" w:rsidRPr="005A0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09"/>
    <w:rsid w:val="00270DA1"/>
    <w:rsid w:val="003A36A2"/>
    <w:rsid w:val="003C4DAC"/>
    <w:rsid w:val="005A0609"/>
    <w:rsid w:val="007F110E"/>
    <w:rsid w:val="00BA1B6C"/>
    <w:rsid w:val="00E7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8A61"/>
  <w15:chartTrackingRefBased/>
  <w15:docId w15:val="{444C1387-35F2-4437-9C72-FCF8FDE3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oyebanji</dc:creator>
  <cp:keywords/>
  <dc:description/>
  <cp:lastModifiedBy>isaac oyebanji</cp:lastModifiedBy>
  <cp:revision>2</cp:revision>
  <cp:lastPrinted>2026-04-05T16:22:00Z</cp:lastPrinted>
  <dcterms:created xsi:type="dcterms:W3CDTF">2026-04-05T16:28:00Z</dcterms:created>
  <dcterms:modified xsi:type="dcterms:W3CDTF">2026-04-05T16:28:00Z</dcterms:modified>
</cp:coreProperties>
</file>