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00" w:after="240"/>
        <w:jc w:val="center"/>
      </w:pPr>
      <w:r>
        <w:rPr>
          <w:rFonts w:ascii="Arial Unicode MS" w:hAnsi="Arial Unicode MS" w:eastAsia="Arial Unicode MS"/>
          <w:b/>
          <w:i w:val="0"/>
          <w:color w:val="2E74B5"/>
          <w:sz w:val="28"/>
        </w:rPr>
        <w:t>KRUON</w:t>
      </w:r>
    </w:p>
    <w:p>
      <w:pPr>
        <w:spacing w:after="240"/>
        <w:jc w:val="center"/>
      </w:pPr>
      <w:r>
        <w:rPr>
          <w:rFonts w:ascii="Arial Unicode MS" w:hAnsi="Arial Unicode MS" w:eastAsia="Arial Unicode MS"/>
          <w:b/>
          <w:i w:val="0"/>
          <w:color w:val="102A43"/>
          <w:sz w:val="58"/>
        </w:rPr>
        <w:t>本地 AI 控制中心 + 3D 游戏化工作台</w:t>
      </w:r>
    </w:p>
    <w:p>
      <w:pPr>
        <w:spacing w:after="680"/>
        <w:jc w:val="center"/>
      </w:pPr>
      <w:r>
        <w:rPr>
          <w:rFonts w:ascii="Arial Unicode MS" w:hAnsi="Arial Unicode MS" w:eastAsia="Arial Unicode MS"/>
          <w:b w:val="0"/>
          <w:i w:val="0"/>
          <w:color w:val="1F4D78"/>
          <w:sz w:val="30"/>
        </w:rPr>
        <w:t>项目分析、产品定义、技术方案与商业化路线图</w:t>
      </w:r>
    </w:p>
    <w:p>
      <w:pPr>
        <w:pStyle w:val="Callout"/>
        <w:shd w:fill="EAF2F8"/>
      </w:pPr>
      <w:r>
        <w:rPr>
          <w:rFonts w:ascii="Arial Unicode MS" w:hAnsi="Arial Unicode MS" w:eastAsia="Arial Unicode MS"/>
          <w:b/>
          <w:i w:val="0"/>
          <w:color w:val="102A43"/>
          <w:sz w:val="22"/>
        </w:rPr>
        <w:t xml:space="preserve">核心判断  </w:t>
      </w:r>
      <w:r>
        <w:rPr>
          <w:rFonts w:ascii="Arial Unicode MS" w:hAnsi="Arial Unicode MS" w:eastAsia="Arial Unicode MS"/>
          <w:b w:val="0"/>
          <w:i w:val="0"/>
          <w:color w:val="172B4D"/>
          <w:sz w:val="22"/>
        </w:rPr>
        <w:t>方向值得做，但第一性价值不是“做一个漂亮的 3D Agent 办公室”，而是成为用户机器上可信、稳定、可观察、可干预的多 AI 工具控制平面。3D 应当把真实运行状态转化为可理解、可传播的工作世界。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vAlign w:val="center"/>
            <w:shd w:fill="F2F4F7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20"/>
              </w:rPr>
              <w:t>项目</w:t>
            </w:r>
          </w:p>
        </w:tc>
        <w:tc>
          <w:tcPr>
            <w:tcW w:type="dxa" w:w="7560"/>
            <w:vAlign w:val="center"/>
            <w:shd w:fill="F2F4F7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20"/>
              </w:rPr>
              <w:t>说明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20"/>
              </w:rPr>
              <w:t>文档状态</w:t>
            </w:r>
          </w:p>
        </w:tc>
        <w:tc>
          <w:tcPr>
            <w:tcW w:type="dxa" w:w="75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20"/>
              </w:rPr>
              <w:t>前期战略分析 / 可作为 PRD 与技术预研输入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20"/>
              </w:rPr>
              <w:t>暂定代号</w:t>
            </w:r>
          </w:p>
        </w:tc>
        <w:tc>
          <w:tcPr>
            <w:tcW w:type="dxa" w:w="75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20"/>
              </w:rPr>
              <w:t>kruon（以当前项目目录为工作名，可随品牌阶段调整）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20"/>
              </w:rPr>
              <w:t>目标用户</w:t>
            </w:r>
          </w:p>
        </w:tc>
        <w:tc>
          <w:tcPr>
            <w:tcW w:type="dxa" w:w="75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20"/>
              </w:rPr>
              <w:t>同时使用多个 Agent、CLI、模型订阅与 API 服务的个人开发者和小团队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20"/>
              </w:rPr>
              <w:t>分析日期</w:t>
            </w:r>
          </w:p>
        </w:tc>
        <w:tc>
          <w:tcPr>
            <w:tcW w:type="dxa" w:w="75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20"/>
              </w:rPr>
              <w:t>2026 年 7 月 11 日（市场与产品信息具有时效性）</w:t>
            </w:r>
          </w:p>
        </w:tc>
      </w:tr>
    </w:tbl>
    <w:p>
      <w:pPr>
        <w:spacing w:after="40"/>
      </w:pPr>
    </w:p>
    <w:p>
      <w:pPr>
        <w:spacing w:before="280"/>
        <w:jc w:val="center"/>
      </w:pPr>
      <w:r>
        <w:rPr>
          <w:rFonts w:ascii="Arial Unicode MS" w:hAnsi="Arial Unicode MS" w:eastAsia="Arial Unicode MS"/>
          <w:b w:val="0"/>
          <w:i/>
          <w:color w:val="667085"/>
          <w:sz w:val="19"/>
        </w:rPr>
        <w:t>建议把本文作为“投资假设清单”：每个关键假设都需要在原型和用户访谈中被证明或推翻。</w:t>
      </w:r>
    </w:p>
    <w:p>
      <w:r>
        <w:br w:type="page"/>
      </w:r>
    </w:p>
    <w:p>
      <w:pPr>
        <w:pStyle w:val="Heading1"/>
      </w:pPr>
      <w:r>
        <w:t>目录与阅读路径</w:t>
      </w:r>
    </w:p>
    <w:p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若只读 10 分钟，优先看第 1、5、7、9、13 节；若准备开工，再读第 8、10、15 节。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1. 执行摘要：是否值得做，以及必须改变的产品假设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2. 项目定义：它是什么、服务谁、明确不做什么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3. 市场趋势与时机判断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4. 用户画像、JTBD 与真实痛点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5. 竞品格局与可占据的空位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6. 产品概念：从“多个聊天框”到“可运营的 AI 工作世界”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7. MVP 边界、优先级与版本节奏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8. 核心体验与 3D 游戏化设计原则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9. 技术架构与适配器策略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10. 共享记忆、群聊脑暴与工作流语义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11. 安全、权限、隐私与合规边界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12. 商业化：广告能否成为主收入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13. 开源策略、品牌与增长飞轮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14. 指标体系与单位经济模型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15. 路线图、团队配置与工程量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16. 风险矩阵与应对方案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17. 验证计划、Go/No-Go 标准与下一步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附录 A-D：适配器规范、实体模型、决策清单与资料来源</w:t>
      </w:r>
    </w:p>
    <w:p>
      <w:pPr>
        <w:pStyle w:val="Heading1"/>
      </w:pPr>
      <w:r>
        <w:t>1. 执行摘要</w:t>
      </w:r>
    </w:p>
    <w:p>
      <w:pPr>
        <w:pStyle w:val="Callout"/>
        <w:shd w:fill="EAF7F0"/>
      </w:pPr>
      <w:r>
        <w:rPr>
          <w:rFonts w:ascii="Arial Unicode MS" w:hAnsi="Arial Unicode MS" w:eastAsia="Arial Unicode MS"/>
          <w:b/>
          <w:i w:val="0"/>
          <w:color w:val="102A43"/>
          <w:sz w:val="22"/>
        </w:rPr>
        <w:t xml:space="preserve">结论  </w:t>
      </w:r>
      <w:r>
        <w:rPr>
          <w:rFonts w:ascii="Arial Unicode MS" w:hAnsi="Arial Unicode MS" w:eastAsia="Arial Unicode MS"/>
          <w:b w:val="0"/>
          <w:i w:val="0"/>
          <w:color w:val="172B4D"/>
          <w:sz w:val="22"/>
        </w:rPr>
        <w:t>建议进入 6-8 周可验证原型阶段，但不要直接进入“大而全客户端 + 完整 3D 世界”的工程阶段。先证明控制层有用，再证明 3D 能提升留存和传播。</w:t>
      </w:r>
    </w:p>
    <w:p>
      <w:pPr>
        <w:pStyle w:val="Heading2"/>
      </w:pPr>
      <w:r>
        <w:t>1.1 机会判断</w:t>
      </w:r>
    </w:p>
    <w:p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这个方向成立的根本原因不是某一款 Agent 产品变火，而是用户的 AI 工作栈正在从“一个聊天产品”变成“多个订阅、多个 CLI、多个本地运行时、多个项目与多个权限边界”的组合。Codex App 已明确将自己定位为多 Agent 的 command center；OpenClaw、Hermes、QoderWork 和腾讯 WorkBuddy 又分别覆盖个人运行时、自改进记忆、本地工作执行和全场景桌面工作站。这些产品共同证明：入口正在从网页聊天迁移到桌面、本地环境与长任务监督。[1][2][3][4][5]</w:t>
      </w:r>
    </w:p>
    <w:p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但市场并非空白。Paperclip 已经提出“运行时无关的 AI 员工管理层”，支持目标、组织、预算、治理和多 Agent 协调；CC Switch 已把多工具配置、供应商、会话、用量和赞助商生态做成跨平台客户端。[6][7][8] 因此，kruon 不能只靠“统一管理 + 3D”获得长期壁垒，必须把产品深度建立在适配稳定性、可观察性、权限模型、共享上下文和高频工作流上。</w:t>
      </w:r>
    </w:p>
    <w:p>
      <w:pPr>
        <w:pStyle w:val="Heading2"/>
      </w:pPr>
      <w:r>
        <w:t>1.2 建议的战略锚点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shd w:fill="EAF2F8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9"/>
              </w:rPr>
              <w:t>决策项</w:t>
            </w:r>
          </w:p>
        </w:tc>
        <w:tc>
          <w:tcPr>
            <w:tcW w:type="dxa" w:w="7460"/>
            <w:vAlign w:val="center"/>
            <w:shd w:fill="EAF2F8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9"/>
              </w:rPr>
              <w:t>建议</w:t>
            </w:r>
          </w:p>
        </w:tc>
      </w:tr>
      <w:tr>
        <w:trPr/>
        <w:tc>
          <w:tcPr>
            <w:tcW w:type="dxa" w:w="19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产品本质</w:t>
            </w:r>
          </w:p>
        </w:tc>
        <w:tc>
          <w:tcPr>
            <w:tcW w:type="dxa" w:w="74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本地 AI 工具控制平面，而不是新的 Agent、模型或聊天壳</w:t>
            </w:r>
          </w:p>
        </w:tc>
      </w:tr>
      <w:tr>
        <w:trPr/>
        <w:tc>
          <w:tcPr>
            <w:tcW w:type="dxa" w:w="19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首要用户</w:t>
            </w:r>
          </w:p>
        </w:tc>
        <w:tc>
          <w:tcPr>
            <w:tcW w:type="dxa" w:w="74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重度 AI 个人开发者 / 独立开发者；已同时使用 2-5 个 Agent 或 CLI</w:t>
            </w:r>
          </w:p>
        </w:tc>
      </w:tr>
      <w:tr>
        <w:trPr/>
        <w:tc>
          <w:tcPr>
            <w:tcW w:type="dxa" w:w="19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首要场景</w:t>
            </w:r>
          </w:p>
        </w:tc>
        <w:tc>
          <w:tcPr>
            <w:tcW w:type="dxa" w:w="74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跨项目派活、并行执行、状态监督、统一审批、结果归档与上下文复用</w:t>
            </w:r>
          </w:p>
        </w:tc>
      </w:tr>
      <w:tr>
        <w:trPr/>
        <w:tc>
          <w:tcPr>
            <w:tcW w:type="dxa" w:w="19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差异化</w:t>
            </w:r>
          </w:p>
        </w:tc>
        <w:tc>
          <w:tcPr>
            <w:tcW w:type="dxa" w:w="74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本地优先 + 跨运行时 + 共享记忆 + 真实状态驱动的 3D 世界</w:t>
            </w:r>
          </w:p>
        </w:tc>
      </w:tr>
      <w:tr>
        <w:trPr/>
        <w:tc>
          <w:tcPr>
            <w:tcW w:type="dxa" w:w="19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商业化</w:t>
            </w:r>
          </w:p>
        </w:tc>
        <w:tc>
          <w:tcPr>
            <w:tcW w:type="dxa" w:w="74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免费开源核心扩大安装量；赞助与导流可做主收入之一，但必须辅以 Pro/团队/市场分成</w:t>
            </w:r>
          </w:p>
        </w:tc>
      </w:tr>
      <w:tr>
        <w:trPr/>
        <w:tc>
          <w:tcPr>
            <w:tcW w:type="dxa" w:w="19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MVP 原则</w:t>
            </w:r>
          </w:p>
        </w:tc>
        <w:tc>
          <w:tcPr>
            <w:tcW w:type="dxa" w:w="74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2 个深适配器 + 1 个通用 CLI 适配器 + 2D 精确控制 + 最小 3D 状态映射</w:t>
            </w:r>
          </w:p>
        </w:tc>
      </w:tr>
    </w:tbl>
    <w:p>
      <w:pPr>
        <w:spacing w:after="40"/>
      </w:pPr>
    </w:p>
    <w:p>
      <w:pPr>
        <w:pStyle w:val="Heading2"/>
      </w:pPr>
      <w:r>
        <w:t>1.3 最值得警惕的三个误区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误把“能启动多个 CLI”当成“完成了多 Agent 协作”。真正困难的是事件归一化、权限回传、失败恢复、项目隔离、结果合并和版本兼容。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误把 3D 当作核心工作界面。3D 适合表达空间、角色、状态和关系；精确审阅 diff、日志、权限、预算和配置仍应使用 2D 面板。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误把广告当成天然商业模式。只有当产品掌握高意图决策点——新增供应商、额度不足、切换模型、安装扩展、成本优化——广告主才愿意持续付费。</w:t>
      </w:r>
    </w:p>
    <w:p>
      <w:pPr>
        <w:pStyle w:val="Heading1"/>
      </w:pPr>
      <w:r>
        <w:t>2. 项目定义</w:t>
      </w:r>
    </w:p>
    <w:p>
      <w:pPr>
        <w:pStyle w:val="Heading2"/>
      </w:pPr>
      <w:r>
        <w:t>2.1 一句话定位</w:t>
      </w:r>
    </w:p>
    <w:p>
      <w:pPr>
        <w:pStyle w:val="Callout"/>
        <w:shd w:fill="EAF2F8"/>
      </w:pPr>
      <w:r>
        <w:rPr>
          <w:rFonts w:ascii="Arial Unicode MS" w:hAnsi="Arial Unicode MS" w:eastAsia="Arial Unicode MS"/>
          <w:b/>
          <w:i w:val="0"/>
          <w:color w:val="102A43"/>
          <w:sz w:val="22"/>
        </w:rPr>
        <w:t xml:space="preserve">定位语  </w:t>
      </w:r>
      <w:r>
        <w:rPr>
          <w:rFonts w:ascii="Arial Unicode MS" w:hAnsi="Arial Unicode MS" w:eastAsia="Arial Unicode MS"/>
          <w:b w:val="0"/>
          <w:i w:val="0"/>
          <w:color w:val="172B4D"/>
          <w:sz w:val="22"/>
        </w:rPr>
        <w:t>kruon 是运行在用户电脑上的 AI 工作控制中心：连接现有 Agent、CLI、订阅与 API，把它们组织成可调度、可协作、可共享记忆、可审计的数字团队，并用 3D 工作世界直观呈现它们正在做什么。</w:t>
      </w:r>
    </w:p>
    <w:p>
      <w:pPr>
        <w:pStyle w:val="Heading2"/>
      </w:pPr>
      <w:r>
        <w:t>2.2 它是什么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统一入口：发现本机已安装工具，连接现有登录态和工作目录，避免用户重复配置。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控制平面：创建任务、选择执行者、并发派发、暂停/取消、审批高风险动作、查看结果和成本。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协作层：群聊脑暴、独立回答、交叉审阅、投票/裁判、任务拆分与交接。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上下文层：项目资料、约束、决策、用户偏好和历史产出的共享记忆，但保留来源、作用域和权限。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可视化层：把 Agent、项目、房间、任务、阻塞、会议与产出映射成有状态的 3D 世界。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生态入口：适配器、工作流模板、角色包、场景主题和供应商服务的发现与分发。</w:t>
      </w:r>
    </w:p>
    <w:p>
      <w:pPr>
        <w:pStyle w:val="Heading2"/>
      </w:pPr>
      <w:r>
        <w:t>2.3 它不是什么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不训练模型，不提供自有基础模型，也不以自研 Agent 推理循环为主要竞争力。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不承诺把所有工具内部状态完全统一；对不开放结构化接口的工具，只提供明确标级的有限能力。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不把用户订阅或 OAuth 凭据“转卖、共享或绕过限制”；优先调用各工具官方 CLI、SDK 或协议边界。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不让 3D 取代专业控制面板；3D 是世界视图和状态投影，不是唯一入口。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不在 MVP 阶段做企业级多租户云平台、移动端全功能控制或复杂社交网络。</w:t>
      </w:r>
    </w:p>
    <w:p>
      <w:pPr>
        <w:pStyle w:val="Heading2"/>
      </w:pPr>
      <w:r>
        <w:t>2.4 产品边界为什么决定工程量</w:t>
      </w:r>
    </w:p>
    <w:p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“不自己造 Agent”确实显著降低模型与推理研发量，但并不自动意味着工程很小。控制中心承担的是接口不一致、生命周期管理、进程监督、权限提示、跨平台、凭据安全、记忆治理、版本漂移和 UI 实时性。其难点更接近 IDE、终端管理器和可观察性平台的组合，而不是普通聊天客户端。可控的方式是通过分层适配和能力降级管理复杂度，而不是一开始承诺功能齐平。</w:t>
      </w:r>
    </w:p>
    <w:p>
      <w:pPr>
        <w:pStyle w:val="Heading1"/>
      </w:pPr>
      <w:r>
        <w:t>3. 市场趋势与时机判断</w:t>
      </w:r>
    </w:p>
    <w:p>
      <w:pPr>
        <w:pStyle w:val="Heading2"/>
      </w:pPr>
      <w:r>
        <w:t>3.1 五个结构性趋势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4860"/>
        <w:gridCol w:w="3000"/>
      </w:tblGrid>
      <w:tr>
        <w:trPr>
          <w:tblHeader w:val="true"/>
        </w:trPr>
        <w:tc>
          <w:tcPr>
            <w:tcW w:type="dxa" w:w="1500"/>
            <w:vAlign w:val="center"/>
            <w:shd w:fill="F2F4F7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8"/>
              </w:rPr>
              <w:t>趋势</w:t>
            </w:r>
          </w:p>
        </w:tc>
        <w:tc>
          <w:tcPr>
            <w:tcW w:type="dxa" w:w="4860"/>
            <w:vAlign w:val="center"/>
            <w:shd w:fill="F2F4F7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8"/>
              </w:rPr>
              <w:t>用户变化</w:t>
            </w:r>
          </w:p>
        </w:tc>
        <w:tc>
          <w:tcPr>
            <w:tcW w:type="dxa" w:w="3000"/>
            <w:vAlign w:val="center"/>
            <w:shd w:fill="F2F4F7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8"/>
              </w:rPr>
              <w:t>可观察信号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桌面化</w:t>
            </w:r>
          </w:p>
        </w:tc>
        <w:tc>
          <w:tcPr>
            <w:tcW w:type="dxa" w:w="48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长任务需要本地文件、进程、编辑器、凭据与持续状态，网页聊天难以覆盖。</w:t>
            </w:r>
          </w:p>
        </w:tc>
        <w:tc>
          <w:tcPr>
            <w:tcW w:type="dxa" w:w="30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Codex App、QoderWork、WorkBuddy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多 Agent 监督</w:t>
            </w:r>
          </w:p>
        </w:tc>
        <w:tc>
          <w:tcPr>
            <w:tcW w:type="dxa" w:w="48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瓶颈从单次生成质量转向并发派活、冲突隔离、审批和进度可见。</w:t>
            </w:r>
          </w:p>
        </w:tc>
        <w:tc>
          <w:tcPr>
            <w:tcW w:type="dxa" w:w="30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Codex 多线程与 worktree、Paperclip 组织治理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工具碎片化</w:t>
            </w:r>
          </w:p>
        </w:tc>
        <w:tc>
          <w:tcPr>
            <w:tcW w:type="dxa" w:w="48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Agent、CLI、模型供应商和协议并存，用户承担配置与切换成本。</w:t>
            </w:r>
          </w:p>
        </w:tc>
        <w:tc>
          <w:tcPr>
            <w:tcW w:type="dxa" w:w="30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CC Switch 跨七类工具管理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协议化</w:t>
            </w:r>
          </w:p>
        </w:tc>
        <w:tc>
          <w:tcPr>
            <w:tcW w:type="dxa" w:w="48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MCP 解决工具/上下文连接，ACP 解决客户端与 Agent 交互，A2A 解决 Agent 间协作。</w:t>
            </w:r>
          </w:p>
        </w:tc>
        <w:tc>
          <w:tcPr>
            <w:tcW w:type="dxa" w:w="30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MCP / ACP / A2A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本地信任</w:t>
            </w:r>
          </w:p>
        </w:tc>
        <w:tc>
          <w:tcPr>
            <w:tcW w:type="dxa" w:w="48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越能执行真实动作的 Agent，越需要最小权限、审计、隔离与可回滚。</w:t>
            </w:r>
          </w:p>
        </w:tc>
        <w:tc>
          <w:tcPr>
            <w:tcW w:type="dxa" w:w="30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NIST、OWASP、OpenClaw 安全基线</w:t>
            </w:r>
          </w:p>
        </w:tc>
      </w:tr>
    </w:tbl>
    <w:p>
      <w:pPr>
        <w:spacing w:after="40"/>
      </w:pPr>
    </w:p>
    <w:p>
      <w:pPr>
        <w:pStyle w:val="Heading2"/>
      </w:pPr>
      <w:r>
        <w:t>3.2 为什么现在适合切入</w:t>
      </w:r>
    </w:p>
    <w:p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一方面，结构化集成条件比早期更成熟。MCP 让工具和资源可发现；ACP 使用 JSON-RPC/stdio 把客户端、会话、流式更新和权限请求标准化；A2A 面向彼此不透明的独立 Agent，提供能力发现与长任务协作模型。[9][10][11] 这意味着 kruon 可以优先拥抱协议，而不必永远靠屏幕抓取和终端文本解析。</w:t>
      </w:r>
    </w:p>
    <w:p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另一方面，用户对“数字团队”的认知已经建立，但日常工作仍然被分散在终端、桌面 App、浏览器和消息渠道里。一个能先从开发者工具切入，再扩展到知识工作 Agent 的本地控制中心，具备清晰的由窄到宽路径。</w:t>
      </w:r>
    </w:p>
    <w:p>
      <w:pPr>
        <w:pStyle w:val="Heading2"/>
      </w:pPr>
      <w:r>
        <w:t>3.3 市场窗口也可能很短</w:t>
      </w:r>
    </w:p>
    <w:p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平台型厂商会继续把多 Agent、共享上下文、插件和工作流吸收到自身产品中。kruon 的窗口不在“比平台方更早做一个功能”，而在“跨厂商、中立、本地、可扩展”。如果适配器生态和工作数据模型不能形成网络效应，产品容易被各家原生客户端的功能升级挤压。</w:t>
      </w:r>
    </w:p>
    <w:p>
      <w:pPr>
        <w:pStyle w:val="Heading1"/>
      </w:pPr>
      <w:r>
        <w:t>4. 用户画像、JTBD 与痛点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200"/>
        <w:gridCol w:w="2300"/>
        <w:gridCol w:w="3360"/>
        <w:gridCol w:w="1500"/>
      </w:tblGrid>
      <w:tr>
        <w:trPr>
          <w:tblHeader w:val="true"/>
        </w:trPr>
        <w:tc>
          <w:tcPr>
            <w:tcW w:type="dxa" w:w="2200"/>
            <w:vAlign w:val="center"/>
            <w:shd w:fill="F2F4F7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8"/>
              </w:rPr>
              <w:t>画像</w:t>
            </w:r>
          </w:p>
        </w:tc>
        <w:tc>
          <w:tcPr>
            <w:tcW w:type="dxa" w:w="2300"/>
            <w:vAlign w:val="center"/>
            <w:shd w:fill="F2F4F7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8"/>
              </w:rPr>
              <w:t>当前状态</w:t>
            </w:r>
          </w:p>
        </w:tc>
        <w:tc>
          <w:tcPr>
            <w:tcW w:type="dxa" w:w="3360"/>
            <w:vAlign w:val="center"/>
            <w:shd w:fill="F2F4F7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8"/>
              </w:rPr>
              <w:t>核心痛点</w:t>
            </w:r>
          </w:p>
        </w:tc>
        <w:tc>
          <w:tcPr>
            <w:tcW w:type="dxa" w:w="1500"/>
            <w:vAlign w:val="center"/>
            <w:shd w:fill="F2F4F7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8"/>
              </w:rPr>
              <w:t>优先级</w:t>
            </w:r>
          </w:p>
        </w:tc>
      </w:tr>
      <w:tr>
        <w:trPr/>
        <w:tc>
          <w:tcPr>
            <w:tcW w:type="dxa" w:w="22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A. AI 重度个人开发者</w:t>
            </w:r>
          </w:p>
        </w:tc>
        <w:tc>
          <w:tcPr>
            <w:tcW w:type="dxa" w:w="23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2-5 个 CLI/App；多个订阅</w:t>
            </w:r>
          </w:p>
        </w:tc>
        <w:tc>
          <w:tcPr>
            <w:tcW w:type="dxa" w:w="33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切换、并发、上下文重复、任务丢失</w:t>
            </w:r>
          </w:p>
        </w:tc>
        <w:tc>
          <w:tcPr>
            <w:tcW w:type="dxa" w:w="15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首发核心</w:t>
            </w:r>
          </w:p>
        </w:tc>
      </w:tr>
      <w:tr>
        <w:trPr/>
        <w:tc>
          <w:tcPr>
            <w:tcW w:type="dxa" w:w="22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B. 独立开发者/内容创业者</w:t>
            </w:r>
          </w:p>
        </w:tc>
        <w:tc>
          <w:tcPr>
            <w:tcW w:type="dxa" w:w="23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代码、调研、文档、营销混合</w:t>
            </w:r>
          </w:p>
        </w:tc>
        <w:tc>
          <w:tcPr>
            <w:tcW w:type="dxa" w:w="33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一个人管理多角色，结果散落</w:t>
            </w:r>
          </w:p>
        </w:tc>
        <w:tc>
          <w:tcPr>
            <w:tcW w:type="dxa" w:w="15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首发重要</w:t>
            </w:r>
          </w:p>
        </w:tc>
      </w:tr>
      <w:tr>
        <w:trPr/>
        <w:tc>
          <w:tcPr>
            <w:tcW w:type="dxa" w:w="22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C. 3-10 人小团队</w:t>
            </w:r>
          </w:p>
        </w:tc>
        <w:tc>
          <w:tcPr>
            <w:tcW w:type="dxa" w:w="23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成员与 Agent 混编</w:t>
            </w:r>
          </w:p>
        </w:tc>
        <w:tc>
          <w:tcPr>
            <w:tcW w:type="dxa" w:w="33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权限、预算、交接、可追溯</w:t>
            </w:r>
          </w:p>
        </w:tc>
        <w:tc>
          <w:tcPr>
            <w:tcW w:type="dxa" w:w="15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Beta 后</w:t>
            </w:r>
          </w:p>
        </w:tc>
      </w:tr>
      <w:tr>
        <w:trPr/>
        <w:tc>
          <w:tcPr>
            <w:tcW w:type="dxa" w:w="22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D. 非技术知识工作者</w:t>
            </w:r>
          </w:p>
        </w:tc>
        <w:tc>
          <w:tcPr>
            <w:tcW w:type="dxa" w:w="23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偏 WorkBuddy/QoderWork</w:t>
            </w:r>
          </w:p>
        </w:tc>
        <w:tc>
          <w:tcPr>
            <w:tcW w:type="dxa" w:w="33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不会配置 CLI，风险感知低</w:t>
            </w:r>
          </w:p>
        </w:tc>
        <w:tc>
          <w:tcPr>
            <w:tcW w:type="dxa" w:w="15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后续扩展</w:t>
            </w:r>
          </w:p>
        </w:tc>
      </w:tr>
      <w:tr>
        <w:trPr/>
        <w:tc>
          <w:tcPr>
            <w:tcW w:type="dxa" w:w="22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E. API/模型服务商</w:t>
            </w:r>
          </w:p>
        </w:tc>
        <w:tc>
          <w:tcPr>
            <w:tcW w:type="dxa" w:w="23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需要高意图流量</w:t>
            </w:r>
          </w:p>
        </w:tc>
        <w:tc>
          <w:tcPr>
            <w:tcW w:type="dxa" w:w="33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获客贵、用户信任弱</w:t>
            </w:r>
          </w:p>
        </w:tc>
        <w:tc>
          <w:tcPr>
            <w:tcW w:type="dxa" w:w="15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商业客户</w:t>
            </w:r>
          </w:p>
        </w:tc>
      </w:tr>
    </w:tbl>
    <w:p>
      <w:pPr>
        <w:spacing w:after="40"/>
      </w:pPr>
    </w:p>
    <w:p>
      <w:pPr>
        <w:pStyle w:val="Heading2"/>
      </w:pPr>
      <w:r>
        <w:t>4.1 核心 Jobs-to-be-Done</w:t>
      </w:r>
    </w:p>
    <w:p>
      <w:pPr>
        <w:numPr>
          <w:ilvl w:val="0"/>
          <w:numId w:val="12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当我同时拥有多个 AI 工具时，帮我知道谁适合做什么、谁正在忙、谁卡住了，以及我下一步要批准什么。</w:t>
      </w:r>
    </w:p>
    <w:p>
      <w:pPr>
        <w:numPr>
          <w:ilvl w:val="0"/>
          <w:numId w:val="12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当我启动复杂项目时，把任务拆给不同工具并行执行，同时保持项目约束、文件边界和结果可合并。</w:t>
      </w:r>
    </w:p>
    <w:p>
      <w:pPr>
        <w:numPr>
          <w:ilvl w:val="0"/>
          <w:numId w:val="12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当我需要脑暴时，让多个模型先独立思考，再互相挑战，最后给我带分歧和证据的综合结论，而不是一场互相附和的群聊。</w:t>
      </w:r>
    </w:p>
    <w:p>
      <w:pPr>
        <w:numPr>
          <w:ilvl w:val="0"/>
          <w:numId w:val="12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当我跨天或跨工具工作时，让关键决策和背景能被复用，但不要把所有聊天原样塞进每一个 Agent。</w:t>
      </w:r>
    </w:p>
    <w:p>
      <w:pPr>
        <w:numPr>
          <w:ilvl w:val="0"/>
          <w:numId w:val="12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当 Agent 要执行高风险动作时，用一致、清晰的方式告诉我影响范围，并允许我批准、拒绝、缩小权限或回滚。</w:t>
      </w:r>
    </w:p>
    <w:p>
      <w:pPr>
        <w:numPr>
          <w:ilvl w:val="0"/>
          <w:numId w:val="12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当我想分享成果时，自动生成可视化工作回顾、团队状态截图和项目里程碑，形成自然传播。</w:t>
      </w:r>
    </w:p>
    <w:p>
      <w:pPr>
        <w:pStyle w:val="Heading2"/>
      </w:pPr>
      <w:r>
        <w:t>4.2 痛点强度排序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200"/>
        <w:gridCol w:w="2100"/>
        <w:gridCol w:w="1900"/>
        <w:gridCol w:w="4160"/>
      </w:tblGrid>
      <w:tr>
        <w:trPr>
          <w:tblHeader w:val="true"/>
        </w:trPr>
        <w:tc>
          <w:tcPr>
            <w:tcW w:type="dxa" w:w="1200"/>
            <w:vAlign w:val="center"/>
            <w:shd w:fill="F2F4F7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8"/>
              </w:rPr>
              <w:t>优先级</w:t>
            </w:r>
          </w:p>
        </w:tc>
        <w:tc>
          <w:tcPr>
            <w:tcW w:type="dxa" w:w="2100"/>
            <w:vAlign w:val="center"/>
            <w:shd w:fill="F2F4F7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8"/>
              </w:rPr>
              <w:t>痛点</w:t>
            </w:r>
          </w:p>
        </w:tc>
        <w:tc>
          <w:tcPr>
            <w:tcW w:type="dxa" w:w="1900"/>
            <w:vAlign w:val="center"/>
            <w:shd w:fill="F2F4F7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8"/>
              </w:rPr>
              <w:t>强度</w:t>
            </w:r>
          </w:p>
        </w:tc>
        <w:tc>
          <w:tcPr>
            <w:tcW w:type="dxa" w:w="4160"/>
            <w:vAlign w:val="center"/>
            <w:shd w:fill="F2F4F7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8"/>
              </w:rPr>
              <w:t>产品机会</w:t>
            </w:r>
          </w:p>
        </w:tc>
      </w:tr>
      <w:tr>
        <w:trPr/>
        <w:tc>
          <w:tcPr>
            <w:tcW w:type="dxa" w:w="12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P0</w:t>
            </w:r>
          </w:p>
        </w:tc>
        <w:tc>
          <w:tcPr>
            <w:tcW w:type="dxa" w:w="21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运行状态不可见</w:t>
            </w:r>
          </w:p>
        </w:tc>
        <w:tc>
          <w:tcPr>
            <w:tcW w:type="dxa" w:w="19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高频、高挫败</w:t>
            </w:r>
          </w:p>
        </w:tc>
        <w:tc>
          <w:tcPr>
            <w:tcW w:type="dxa" w:w="41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任务跑多久、卡在哪里、需不需要介入</w:t>
            </w:r>
          </w:p>
        </w:tc>
      </w:tr>
      <w:tr>
        <w:trPr/>
        <w:tc>
          <w:tcPr>
            <w:tcW w:type="dxa" w:w="12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P0</w:t>
            </w:r>
          </w:p>
        </w:tc>
        <w:tc>
          <w:tcPr>
            <w:tcW w:type="dxa" w:w="21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上下文重复搬运</w:t>
            </w:r>
          </w:p>
        </w:tc>
        <w:tc>
          <w:tcPr>
            <w:tcW w:type="dxa" w:w="19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高频、高成本</w:t>
            </w:r>
          </w:p>
        </w:tc>
        <w:tc>
          <w:tcPr>
            <w:tcW w:type="dxa" w:w="41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每个工具重复解释项目、偏好、约束</w:t>
            </w:r>
          </w:p>
        </w:tc>
      </w:tr>
      <w:tr>
        <w:trPr/>
        <w:tc>
          <w:tcPr>
            <w:tcW w:type="dxa" w:w="12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P0</w:t>
            </w:r>
          </w:p>
        </w:tc>
        <w:tc>
          <w:tcPr>
            <w:tcW w:type="dxa" w:w="21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权限与风险不统一</w:t>
            </w:r>
          </w:p>
        </w:tc>
        <w:tc>
          <w:tcPr>
            <w:tcW w:type="dxa" w:w="19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低频、后果严重</w:t>
            </w:r>
          </w:p>
        </w:tc>
        <w:tc>
          <w:tcPr>
            <w:tcW w:type="dxa" w:w="41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删除文件、发送消息、改配置的批准方式各异</w:t>
            </w:r>
          </w:p>
        </w:tc>
      </w:tr>
      <w:tr>
        <w:trPr/>
        <w:tc>
          <w:tcPr>
            <w:tcW w:type="dxa" w:w="12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P1</w:t>
            </w:r>
          </w:p>
        </w:tc>
        <w:tc>
          <w:tcPr>
            <w:tcW w:type="dxa" w:w="21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结果与产物散落</w:t>
            </w:r>
          </w:p>
        </w:tc>
        <w:tc>
          <w:tcPr>
            <w:tcW w:type="dxa" w:w="19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高频、中高成本</w:t>
            </w:r>
          </w:p>
        </w:tc>
        <w:tc>
          <w:tcPr>
            <w:tcW w:type="dxa" w:w="41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终端日志、diff、文件、链接无法统一归档</w:t>
            </w:r>
          </w:p>
        </w:tc>
      </w:tr>
      <w:tr>
        <w:trPr/>
        <w:tc>
          <w:tcPr>
            <w:tcW w:type="dxa" w:w="12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P1</w:t>
            </w:r>
          </w:p>
        </w:tc>
        <w:tc>
          <w:tcPr>
            <w:tcW w:type="dxa" w:w="21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订阅/额度/成本分散</w:t>
            </w:r>
          </w:p>
        </w:tc>
        <w:tc>
          <w:tcPr>
            <w:tcW w:type="dxa" w:w="19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中频、中成本</w:t>
            </w:r>
          </w:p>
        </w:tc>
        <w:tc>
          <w:tcPr>
            <w:tcW w:type="dxa" w:w="41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不知道该把任务派给哪个工具最划算</w:t>
            </w:r>
          </w:p>
        </w:tc>
      </w:tr>
      <w:tr>
        <w:trPr/>
        <w:tc>
          <w:tcPr>
            <w:tcW w:type="dxa" w:w="12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P2</w:t>
            </w:r>
          </w:p>
        </w:tc>
        <w:tc>
          <w:tcPr>
            <w:tcW w:type="dxa" w:w="21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工作缺乏反馈感</w:t>
            </w:r>
          </w:p>
        </w:tc>
        <w:tc>
          <w:tcPr>
            <w:tcW w:type="dxa" w:w="19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情绪性、高传播</w:t>
            </w:r>
          </w:p>
        </w:tc>
        <w:tc>
          <w:tcPr>
            <w:tcW w:type="dxa" w:w="41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任务完成没有成就、团队存在感和可分享叙事</w:t>
            </w:r>
          </w:p>
        </w:tc>
      </w:tr>
    </w:tbl>
    <w:p>
      <w:pPr>
        <w:spacing w:after="40"/>
      </w:pPr>
    </w:p>
    <w:p>
      <w:pPr>
        <w:pStyle w:val="Heading1"/>
      </w:pPr>
      <w:r>
        <w:t>5. 竞品格局与可占据的空位</w:t>
      </w:r>
    </w:p>
    <w:p>
      <w:pPr>
        <w:pStyle w:val="Heading2"/>
      </w:pPr>
      <w:r>
        <w:t>5.1 竞品不是一个列表，而是五类层级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50"/>
        <w:gridCol w:w="1700"/>
        <w:gridCol w:w="2700"/>
        <w:gridCol w:w="1900"/>
        <w:gridCol w:w="1710"/>
      </w:tblGrid>
      <w:tr>
        <w:trPr>
          <w:tblHeader w:val="true"/>
        </w:trPr>
        <w:tc>
          <w:tcPr>
            <w:tcW w:type="dxa" w:w="1350"/>
            <w:vAlign w:val="center"/>
            <w:shd w:fill="EAF2F8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7"/>
              </w:rPr>
              <w:t>产品</w:t>
            </w:r>
          </w:p>
        </w:tc>
        <w:tc>
          <w:tcPr>
            <w:tcW w:type="dxa" w:w="1700"/>
            <w:vAlign w:val="center"/>
            <w:shd w:fill="EAF2F8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7"/>
              </w:rPr>
              <w:t>层级</w:t>
            </w:r>
          </w:p>
        </w:tc>
        <w:tc>
          <w:tcPr>
            <w:tcW w:type="dxa" w:w="2700"/>
            <w:vAlign w:val="center"/>
            <w:shd w:fill="EAF2F8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7"/>
              </w:rPr>
              <w:t>核心强项</w:t>
            </w:r>
          </w:p>
        </w:tc>
        <w:tc>
          <w:tcPr>
            <w:tcW w:type="dxa" w:w="1900"/>
            <w:vAlign w:val="center"/>
            <w:shd w:fill="EAF2F8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7"/>
              </w:rPr>
              <w:t>跨工具范围</w:t>
            </w:r>
          </w:p>
        </w:tc>
        <w:tc>
          <w:tcPr>
            <w:tcW w:type="dxa" w:w="1710"/>
            <w:vAlign w:val="center"/>
            <w:shd w:fill="EAF2F8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7"/>
              </w:rPr>
              <w:t>对本项目启示</w:t>
            </w:r>
          </w:p>
        </w:tc>
      </w:tr>
      <w:tr>
        <w:trPr/>
        <w:tc>
          <w:tcPr>
            <w:tcW w:type="dxa" w:w="135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Codex App</w:t>
            </w:r>
          </w:p>
        </w:tc>
        <w:tc>
          <w:tcPr>
            <w:tcW w:type="dxa" w:w="17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厂商专属 Agent 指挥台</w:t>
            </w:r>
          </w:p>
        </w:tc>
        <w:tc>
          <w:tcPr>
            <w:tcW w:type="dxa" w:w="27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多任务、worktree、长任务</w:t>
            </w:r>
          </w:p>
        </w:tc>
        <w:tc>
          <w:tcPr>
            <w:tcW w:type="dxa" w:w="19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强，但只围绕 Codex</w:t>
            </w:r>
          </w:p>
        </w:tc>
        <w:tc>
          <w:tcPr>
            <w:tcW w:type="dxa" w:w="171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证明 command center 需求</w:t>
            </w:r>
          </w:p>
        </w:tc>
      </w:tr>
      <w:tr>
        <w:trPr/>
        <w:tc>
          <w:tcPr>
            <w:tcW w:type="dxa" w:w="135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OpenClaw / Hermes</w:t>
            </w:r>
          </w:p>
        </w:tc>
        <w:tc>
          <w:tcPr>
            <w:tcW w:type="dxa" w:w="17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Agent 运行时</w:t>
            </w:r>
          </w:p>
        </w:tc>
        <w:tc>
          <w:tcPr>
            <w:tcW w:type="dxa" w:w="27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工具、记忆、消息渠道、自我改进</w:t>
            </w:r>
          </w:p>
        </w:tc>
        <w:tc>
          <w:tcPr>
            <w:tcW w:type="dxa" w:w="19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跨模型但以自身运行时为中心</w:t>
            </w:r>
          </w:p>
        </w:tc>
        <w:tc>
          <w:tcPr>
            <w:tcW w:type="dxa" w:w="171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应被连接，不应复制</w:t>
            </w:r>
          </w:p>
        </w:tc>
      </w:tr>
      <w:tr>
        <w:trPr/>
        <w:tc>
          <w:tcPr>
            <w:tcW w:type="dxa" w:w="135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QoderWork / WorkBuddy</w:t>
            </w:r>
          </w:p>
        </w:tc>
        <w:tc>
          <w:tcPr>
            <w:tcW w:type="dxa" w:w="17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桌面行动 Agent</w:t>
            </w:r>
          </w:p>
        </w:tc>
        <w:tc>
          <w:tcPr>
            <w:tcW w:type="dxa" w:w="27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本地文件与知识工作执行</w:t>
            </w:r>
          </w:p>
        </w:tc>
        <w:tc>
          <w:tcPr>
            <w:tcW w:type="dxa" w:w="19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主要围绕自家 Agent</w:t>
            </w:r>
          </w:p>
        </w:tc>
        <w:tc>
          <w:tcPr>
            <w:tcW w:type="dxa" w:w="171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验证桌面、本地动作和权限</w:t>
            </w:r>
          </w:p>
        </w:tc>
      </w:tr>
      <w:tr>
        <w:trPr/>
        <w:tc>
          <w:tcPr>
            <w:tcW w:type="dxa" w:w="135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CC Switch</w:t>
            </w:r>
          </w:p>
        </w:tc>
        <w:tc>
          <w:tcPr>
            <w:tcW w:type="dxa" w:w="17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配置/供应商/用量控制工具</w:t>
            </w:r>
          </w:p>
        </w:tc>
        <w:tc>
          <w:tcPr>
            <w:tcW w:type="dxa" w:w="27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跨 CLI 配置、路由、会话、赞助生态</w:t>
            </w:r>
          </w:p>
        </w:tc>
        <w:tc>
          <w:tcPr>
            <w:tcW w:type="dxa" w:w="19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跨工具但非任务编排</w:t>
            </w:r>
          </w:p>
        </w:tc>
        <w:tc>
          <w:tcPr>
            <w:tcW w:type="dxa" w:w="171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最直接的商业化先例</w:t>
            </w:r>
          </w:p>
        </w:tc>
      </w:tr>
      <w:tr>
        <w:trPr/>
        <w:tc>
          <w:tcPr>
            <w:tcW w:type="dxa" w:w="135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Paperclip</w:t>
            </w:r>
          </w:p>
        </w:tc>
        <w:tc>
          <w:tcPr>
            <w:tcW w:type="dxa" w:w="17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运行时无关 Agent 管理层</w:t>
            </w:r>
          </w:p>
        </w:tc>
        <w:tc>
          <w:tcPr>
            <w:tcW w:type="dxa" w:w="27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组织、目标、预算、治理、协调</w:t>
            </w:r>
          </w:p>
        </w:tc>
        <w:tc>
          <w:tcPr>
            <w:tcW w:type="dxa" w:w="19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最接近控制平面</w:t>
            </w:r>
          </w:p>
        </w:tc>
        <w:tc>
          <w:tcPr>
            <w:tcW w:type="dxa" w:w="171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必须正面对比和差异化</w:t>
            </w:r>
          </w:p>
        </w:tc>
      </w:tr>
      <w:tr>
        <w:trPr/>
        <w:tc>
          <w:tcPr>
            <w:tcW w:type="dxa" w:w="135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kruon</w:t>
            </w:r>
          </w:p>
        </w:tc>
        <w:tc>
          <w:tcPr>
            <w:tcW w:type="dxa" w:w="17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本地个人 AI 工作控制中心</w:t>
            </w:r>
          </w:p>
        </w:tc>
        <w:tc>
          <w:tcPr>
            <w:tcW w:type="dxa" w:w="27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任务/权限/记忆/可观察性 + 3D</w:t>
            </w:r>
          </w:p>
        </w:tc>
        <w:tc>
          <w:tcPr>
            <w:tcW w:type="dxa" w:w="19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目标是跨工具、跨运行时</w:t>
            </w:r>
          </w:p>
        </w:tc>
        <w:tc>
          <w:tcPr>
            <w:tcW w:type="dxa" w:w="171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以个人高频工作与可视化切入</w:t>
            </w:r>
          </w:p>
        </w:tc>
      </w:tr>
    </w:tbl>
    <w:p>
      <w:pPr>
        <w:spacing w:after="40"/>
      </w:pPr>
    </w:p>
    <w:p>
      <w:pPr>
        <w:pStyle w:val="Heading2"/>
      </w:pPr>
      <w:r>
        <w:t>5.2 真正的市场空位</w:t>
      </w:r>
    </w:p>
    <w:p>
      <w:pPr>
        <w:pStyle w:val="Callout"/>
        <w:shd w:fill="EAF7F0"/>
      </w:pPr>
      <w:r>
        <w:rPr>
          <w:rFonts w:ascii="Arial Unicode MS" w:hAnsi="Arial Unicode MS" w:eastAsia="Arial Unicode MS"/>
          <w:b/>
          <w:i w:val="0"/>
          <w:color w:val="102A43"/>
          <w:sz w:val="22"/>
        </w:rPr>
        <w:t xml:space="preserve">空位定义  </w:t>
      </w:r>
      <w:r>
        <w:rPr>
          <w:rFonts w:ascii="Arial Unicode MS" w:hAnsi="Arial Unicode MS" w:eastAsia="Arial Unicode MS"/>
          <w:b w:val="0"/>
          <w:i w:val="0"/>
          <w:color w:val="172B4D"/>
          <w:sz w:val="22"/>
        </w:rPr>
        <w:t>“面向个人重度用户的、本地优先的、运行时无关的 AI 工作控制平面”，同时提供专业 2D 控制面和具有语义的 3D 工作世界。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相对 Codex/WorkBuddy：不绑定单一 Agent，保留用户已有订阅和工具选择。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相对 CC Switch：从配置/路由深入到任务、运行、权限、产物、记忆与协作。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相对 Paperclip：不先做“零人公司”和企业组织，而从个人项目、开发工作流和桌面体验切入。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相对 OpenClaw/Hermes：不替代 Agent 的推理循环，而提供跨运行时监督与协同。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相对普通多模型聊天：连接真实本地执行、文件变更和任务生命周期，而不是仅汇总文字回复。</w:t>
      </w:r>
    </w:p>
    <w:p>
      <w:pPr>
        <w:pStyle w:val="Heading2"/>
      </w:pPr>
      <w:r>
        <w:t>5.3 可防守性来源</w:t>
      </w:r>
    </w:p>
    <w:p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长期壁垒不会来自 3D 场景本身，因为视觉可以被快速模仿。可防守性来自四个累积资产：①高质量适配器与兼容测试；②跨工具统一的任务/事件/权限数据模型；③用户长期沉淀的工作流与项目记忆；④插件、场景、角色和供应商形成的生态分发。3D 的作用是放大品牌辨识和传播，而不是独立承担壁垒。</w:t>
      </w:r>
    </w:p>
    <w:p>
      <w:pPr>
        <w:pStyle w:val="Heading1"/>
      </w:pPr>
      <w:r>
        <w:t>6. 产品概念：AI 工作世界</w:t>
      </w:r>
    </w:p>
    <w:p>
      <w:pPr>
        <w:pStyle w:val="Heading2"/>
      </w:pPr>
      <w:r>
        <w:t>6.1 核心对象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vAlign w:val="center"/>
            <w:shd w:fill="F2F4F7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8"/>
              </w:rPr>
              <w:t>对象</w:t>
            </w:r>
          </w:p>
        </w:tc>
        <w:tc>
          <w:tcPr>
            <w:tcW w:type="dxa" w:w="6860"/>
            <w:vAlign w:val="center"/>
            <w:shd w:fill="F2F4F7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8"/>
              </w:rPr>
              <w:t>含义</w:t>
            </w:r>
          </w:p>
        </w:tc>
      </w:tr>
      <w:tr>
        <w:trPr/>
        <w:tc>
          <w:tcPr>
            <w:tcW w:type="dxa" w:w="25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Workspace / 项目</w:t>
            </w:r>
          </w:p>
        </w:tc>
        <w:tc>
          <w:tcPr>
            <w:tcW w:type="dxa" w:w="68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文件夹、仓库、资料、权限和记忆的边界</w:t>
            </w:r>
          </w:p>
        </w:tc>
      </w:tr>
      <w:tr>
        <w:trPr/>
        <w:tc>
          <w:tcPr>
            <w:tcW w:type="dxa" w:w="25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Agent Connection / 连接</w:t>
            </w:r>
          </w:p>
        </w:tc>
        <w:tc>
          <w:tcPr>
            <w:tcW w:type="dxa" w:w="68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某个具体 CLI/App/远端 Agent 的可调用身份</w:t>
            </w:r>
          </w:p>
        </w:tc>
      </w:tr>
      <w:tr>
        <w:trPr/>
        <w:tc>
          <w:tcPr>
            <w:tcW w:type="dxa" w:w="25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Role / 角色</w:t>
            </w:r>
          </w:p>
        </w:tc>
        <w:tc>
          <w:tcPr>
            <w:tcW w:type="dxa" w:w="68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面向工作目标的职责，如研究员、实现者、审阅者；可映射不同连接</w:t>
            </w:r>
          </w:p>
        </w:tc>
      </w:tr>
      <w:tr>
        <w:trPr/>
        <w:tc>
          <w:tcPr>
            <w:tcW w:type="dxa" w:w="25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Task / 任务</w:t>
            </w:r>
          </w:p>
        </w:tc>
        <w:tc>
          <w:tcPr>
            <w:tcW w:type="dxa" w:w="68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用户意图、验收标准、预算、时限与文件边界</w:t>
            </w:r>
          </w:p>
        </w:tc>
      </w:tr>
      <w:tr>
        <w:trPr/>
        <w:tc>
          <w:tcPr>
            <w:tcW w:type="dxa" w:w="25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Run / 执行</w:t>
            </w:r>
          </w:p>
        </w:tc>
        <w:tc>
          <w:tcPr>
            <w:tcW w:type="dxa" w:w="68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任务在某个 Agent 上的一次可观察生命周期</w:t>
            </w:r>
          </w:p>
        </w:tc>
      </w:tr>
      <w:tr>
        <w:trPr/>
        <w:tc>
          <w:tcPr>
            <w:tcW w:type="dxa" w:w="25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Room / 房间</w:t>
            </w:r>
          </w:p>
        </w:tc>
        <w:tc>
          <w:tcPr>
            <w:tcW w:type="dxa" w:w="68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项目或流程阶段的空间化表达，不是实际权限边界的替代品</w:t>
            </w:r>
          </w:p>
        </w:tc>
      </w:tr>
      <w:tr>
        <w:trPr/>
        <w:tc>
          <w:tcPr>
            <w:tcW w:type="dxa" w:w="25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Memory Capsule / 记忆胶囊</w:t>
            </w:r>
          </w:p>
        </w:tc>
        <w:tc>
          <w:tcPr>
            <w:tcW w:type="dxa" w:w="68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带来源、作用域、版本、敏感级别的可复用事实或决策</w:t>
            </w:r>
          </w:p>
        </w:tc>
      </w:tr>
      <w:tr>
        <w:trPr/>
        <w:tc>
          <w:tcPr>
            <w:tcW w:type="dxa" w:w="25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Workflow / 工作流</w:t>
            </w:r>
          </w:p>
        </w:tc>
        <w:tc>
          <w:tcPr>
            <w:tcW w:type="dxa" w:w="68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多个任务、角色、审批与合并规则组成的模板</w:t>
            </w:r>
          </w:p>
        </w:tc>
      </w:tr>
      <w:tr>
        <w:trPr/>
        <w:tc>
          <w:tcPr>
            <w:tcW w:type="dxa" w:w="25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Policy / 策略</w:t>
            </w:r>
          </w:p>
        </w:tc>
        <w:tc>
          <w:tcPr>
            <w:tcW w:type="dxa" w:w="68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工具、目录、网络、预算、并发和审批规则</w:t>
            </w:r>
          </w:p>
        </w:tc>
      </w:tr>
      <w:tr>
        <w:trPr/>
        <w:tc>
          <w:tcPr>
            <w:tcW w:type="dxa" w:w="25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Artifact / 产物</w:t>
            </w:r>
          </w:p>
        </w:tc>
        <w:tc>
          <w:tcPr>
            <w:tcW w:type="dxa" w:w="68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文件、diff、报告、链接、测试结果、截图或外部记录</w:t>
            </w:r>
          </w:p>
        </w:tc>
      </w:tr>
    </w:tbl>
    <w:p>
      <w:pPr>
        <w:spacing w:after="40"/>
      </w:pPr>
    </w:p>
    <w:p>
      <w:pPr>
        <w:pStyle w:val="Heading2"/>
      </w:pPr>
      <w:r>
        <w:t>6.2 四个高价值场景</w:t>
      </w:r>
    </w:p>
    <w:p>
      <w:r>
        <w:rPr>
          <w:rFonts w:ascii="Arial Unicode MS" w:hAnsi="Arial Unicode MS" w:eastAsia="Arial Unicode MS"/>
          <w:b/>
          <w:i w:val="0"/>
          <w:color w:val="000000"/>
          <w:sz w:val="22"/>
        </w:rPr>
        <w:t>项目指挥：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将“调研竞品→出方案→实现原型→代码审查→写发布文案”拆成并行/串行任务，用户只处理关键决策。</w:t>
      </w:r>
    </w:p>
    <w:p>
      <w:r>
        <w:rPr>
          <w:rFonts w:ascii="Arial Unicode MS" w:hAnsi="Arial Unicode MS" w:eastAsia="Arial Unicode MS"/>
          <w:b/>
          <w:i w:val="0"/>
          <w:color w:val="000000"/>
          <w:sz w:val="22"/>
        </w:rPr>
        <w:t>群聊脑暴：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多个 Agent 独立回答、交叉质疑、提交修订，最后由指定裁判或用户合并，并显示分歧而非强行共识。</w:t>
      </w:r>
    </w:p>
    <w:p>
      <w:r>
        <w:rPr>
          <w:rFonts w:ascii="Arial Unicode MS" w:hAnsi="Arial Unicode MS" w:eastAsia="Arial Unicode MS"/>
          <w:b/>
          <w:i w:val="0"/>
          <w:color w:val="000000"/>
          <w:sz w:val="22"/>
        </w:rPr>
        <w:t>值班/观察：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3D 办公室显示谁在运行、等待审批、失败重试、进入会议或产出文件；点击角色进入精确日志。</w:t>
      </w:r>
    </w:p>
    <w:p>
      <w:r>
        <w:rPr>
          <w:rFonts w:ascii="Arial Unicode MS" w:hAnsi="Arial Unicode MS" w:eastAsia="Arial Unicode MS"/>
          <w:b/>
          <w:i w:val="0"/>
          <w:color w:val="000000"/>
          <w:sz w:val="22"/>
        </w:rPr>
        <w:t>每日复盘：</w:t>
      </w: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自动汇总今天由哪些工具完成了什么、耗时和成本、待处理风险与明日建议，并生成可分享的工作世界快照。</w:t>
      </w:r>
    </w:p>
    <w:p>
      <w:pPr>
        <w:pStyle w:val="Heading2"/>
      </w:pPr>
      <w:r>
        <w:t>6.3 典型用户旅程</w:t>
      </w:r>
    </w:p>
    <w:p>
      <w:pPr>
        <w:numPr>
          <w:ilvl w:val="0"/>
          <w:numId w:val="13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首次启动：扫描本机可识别工具，只显示发现结果，不自动读取或修改配置。</w:t>
      </w:r>
    </w:p>
    <w:p>
      <w:pPr>
        <w:numPr>
          <w:ilvl w:val="0"/>
          <w:numId w:val="13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连接工具：用户选择 Codex/Claude Code/OpenClaw 等，kruon 通过官方接口或受控子进程验证能力。</w:t>
      </w:r>
    </w:p>
    <w:p>
      <w:pPr>
        <w:numPr>
          <w:ilvl w:val="0"/>
          <w:numId w:val="13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建立项目：绑定工作目录，设置只读/可写范围、网络策略、预算和默认角色。</w:t>
      </w:r>
    </w:p>
    <w:p>
      <w:pPr>
        <w:numPr>
          <w:ilvl w:val="0"/>
          <w:numId w:val="13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派发任务：在自然语言输入中使用 @角色 或由路由器建议执行者，用户确认后启动。</w:t>
      </w:r>
    </w:p>
    <w:p>
      <w:pPr>
        <w:numPr>
          <w:ilvl w:val="0"/>
          <w:numId w:val="13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观察与干预：世界视图展示宏观状态；详情面板展示日志、diff、工具调用和审批。</w:t>
      </w:r>
    </w:p>
    <w:p>
      <w:pPr>
        <w:numPr>
          <w:ilvl w:val="0"/>
          <w:numId w:val="13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收敛与归档：验收产物，写入项目历史；只有被确认的摘要进入共享记忆。</w:t>
      </w:r>
    </w:p>
    <w:p>
      <w:pPr>
        <w:numPr>
          <w:ilvl w:val="0"/>
          <w:numId w:val="13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复用与分享：将成功流程保存为模板，或生成工作回顾卡片/短视频用于传播。</w:t>
      </w:r>
    </w:p>
    <w:p>
      <w:pPr>
        <w:pStyle w:val="Heading1"/>
      </w:pPr>
      <w:r>
        <w:t>7. MVP 边界、优先级与版本节奏</w:t>
      </w:r>
    </w:p>
    <w:p>
      <w:pPr>
        <w:pStyle w:val="Callout"/>
        <w:shd w:fill="EAF7F0"/>
      </w:pPr>
      <w:r>
        <w:rPr>
          <w:rFonts w:ascii="Arial Unicode MS" w:hAnsi="Arial Unicode MS" w:eastAsia="Arial Unicode MS"/>
          <w:b/>
          <w:i w:val="0"/>
          <w:color w:val="102A43"/>
          <w:sz w:val="22"/>
        </w:rPr>
        <w:t xml:space="preserve">MVP 目标  </w:t>
      </w:r>
      <w:r>
        <w:rPr>
          <w:rFonts w:ascii="Arial Unicode MS" w:hAnsi="Arial Unicode MS" w:eastAsia="Arial Unicode MS"/>
          <w:b w:val="0"/>
          <w:i w:val="0"/>
          <w:color w:val="172B4D"/>
          <w:sz w:val="22"/>
        </w:rPr>
        <w:t>让一名已经使用多个 AI 工具的开发者，在 15 分钟内完成连接，并在一个项目中同时发起 2 个任务、看到真实状态、处理一次权限请求、收集产物和复用一次项目记忆。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300"/>
        <w:gridCol w:w="1900"/>
        <w:gridCol w:w="3760"/>
        <w:gridCol w:w="2400"/>
      </w:tblGrid>
      <w:tr>
        <w:trPr>
          <w:tblHeader w:val="true"/>
        </w:trPr>
        <w:tc>
          <w:tcPr>
            <w:tcW w:type="dxa" w:w="1300"/>
            <w:vAlign w:val="center"/>
            <w:shd w:fill="EAF2F8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7"/>
              </w:rPr>
              <w:t>级别</w:t>
            </w:r>
          </w:p>
        </w:tc>
        <w:tc>
          <w:tcPr>
            <w:tcW w:type="dxa" w:w="1900"/>
            <w:vAlign w:val="center"/>
            <w:shd w:fill="EAF2F8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7"/>
              </w:rPr>
              <w:t>能力</w:t>
            </w:r>
          </w:p>
        </w:tc>
        <w:tc>
          <w:tcPr>
            <w:tcW w:type="dxa" w:w="3760"/>
            <w:vAlign w:val="center"/>
            <w:shd w:fill="EAF2F8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7"/>
              </w:rPr>
              <w:t>MVP 范围</w:t>
            </w:r>
          </w:p>
        </w:tc>
        <w:tc>
          <w:tcPr>
            <w:tcW w:type="dxa" w:w="2400"/>
            <w:vAlign w:val="center"/>
            <w:shd w:fill="EAF2F8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7"/>
              </w:rPr>
              <w:t>验收信号</w:t>
            </w:r>
          </w:p>
        </w:tc>
      </w:tr>
      <w:tr>
        <w:trPr/>
        <w:tc>
          <w:tcPr>
            <w:tcW w:type="dxa" w:w="13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P0 必须</w:t>
            </w:r>
          </w:p>
        </w:tc>
        <w:tc>
          <w:tcPr>
            <w:tcW w:type="dxa" w:w="19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本机工具发现与手动连接</w:t>
            </w:r>
          </w:p>
        </w:tc>
        <w:tc>
          <w:tcPr>
            <w:tcW w:type="dxa" w:w="37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Codex + Claude Code 深适配；通用 CLI 启动器</w:t>
            </w:r>
          </w:p>
        </w:tc>
        <w:tc>
          <w:tcPr>
            <w:tcW w:type="dxa" w:w="24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连接成功率、失败可解释</w:t>
            </w:r>
          </w:p>
        </w:tc>
      </w:tr>
      <w:tr>
        <w:trPr/>
        <w:tc>
          <w:tcPr>
            <w:tcW w:type="dxa" w:w="13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P0 必须</w:t>
            </w:r>
          </w:p>
        </w:tc>
        <w:tc>
          <w:tcPr>
            <w:tcW w:type="dxa" w:w="19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项目/任务/执行统一模型</w:t>
            </w:r>
          </w:p>
        </w:tc>
        <w:tc>
          <w:tcPr>
            <w:tcW w:type="dxa" w:w="37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状态、日志、产物、取消、重试</w:t>
            </w:r>
          </w:p>
        </w:tc>
        <w:tc>
          <w:tcPr>
            <w:tcW w:type="dxa" w:w="24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任务完成且可追溯</w:t>
            </w:r>
          </w:p>
        </w:tc>
      </w:tr>
      <w:tr>
        <w:trPr/>
        <w:tc>
          <w:tcPr>
            <w:tcW w:type="dxa" w:w="13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P0 必须</w:t>
            </w:r>
          </w:p>
        </w:tc>
        <w:tc>
          <w:tcPr>
            <w:tcW w:type="dxa" w:w="19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权限中心</w:t>
            </w:r>
          </w:p>
        </w:tc>
        <w:tc>
          <w:tcPr>
            <w:tcW w:type="dxa" w:w="37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目录/命令/网络/外部写入审批</w:t>
            </w:r>
          </w:p>
        </w:tc>
        <w:tc>
          <w:tcPr>
            <w:tcW w:type="dxa" w:w="24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高风险动作均有明确确认</w:t>
            </w:r>
          </w:p>
        </w:tc>
      </w:tr>
      <w:tr>
        <w:trPr/>
        <w:tc>
          <w:tcPr>
            <w:tcW w:type="dxa" w:w="13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P0 必须</w:t>
            </w:r>
          </w:p>
        </w:tc>
        <w:tc>
          <w:tcPr>
            <w:tcW w:type="dxa" w:w="19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2D 控制台</w:t>
            </w:r>
          </w:p>
        </w:tc>
        <w:tc>
          <w:tcPr>
            <w:tcW w:type="dxa" w:w="37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任务板、运行详情、事件流、设置</w:t>
            </w:r>
          </w:p>
        </w:tc>
        <w:tc>
          <w:tcPr>
            <w:tcW w:type="dxa" w:w="24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精确操作不依赖 3D</w:t>
            </w:r>
          </w:p>
        </w:tc>
      </w:tr>
      <w:tr>
        <w:trPr/>
        <w:tc>
          <w:tcPr>
            <w:tcW w:type="dxa" w:w="13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P0 必须</w:t>
            </w:r>
          </w:p>
        </w:tc>
        <w:tc>
          <w:tcPr>
            <w:tcW w:type="dxa" w:w="19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最小 3D 世界</w:t>
            </w:r>
          </w:p>
        </w:tc>
        <w:tc>
          <w:tcPr>
            <w:tcW w:type="dxa" w:w="37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角色位置映射 6-8 个运行状态；点击打开详情</w:t>
            </w:r>
          </w:p>
        </w:tc>
        <w:tc>
          <w:tcPr>
            <w:tcW w:type="dxa" w:w="24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状态一致、低功耗可关闭</w:t>
            </w:r>
          </w:p>
        </w:tc>
      </w:tr>
      <w:tr>
        <w:trPr/>
        <w:tc>
          <w:tcPr>
            <w:tcW w:type="dxa" w:w="13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P1 应有</w:t>
            </w:r>
          </w:p>
        </w:tc>
        <w:tc>
          <w:tcPr>
            <w:tcW w:type="dxa" w:w="19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共享项目记忆</w:t>
            </w:r>
          </w:p>
        </w:tc>
        <w:tc>
          <w:tcPr>
            <w:tcW w:type="dxa" w:w="37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手动确认的摘要、决策和约束；来源可追溯</w:t>
            </w:r>
          </w:p>
        </w:tc>
        <w:tc>
          <w:tcPr>
            <w:tcW w:type="dxa" w:w="24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跨工具复用成功</w:t>
            </w:r>
          </w:p>
        </w:tc>
      </w:tr>
      <w:tr>
        <w:trPr/>
        <w:tc>
          <w:tcPr>
            <w:tcW w:type="dxa" w:w="13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P1 应有</w:t>
            </w:r>
          </w:p>
        </w:tc>
        <w:tc>
          <w:tcPr>
            <w:tcW w:type="dxa" w:w="19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双 Agent 脑暴</w:t>
            </w:r>
          </w:p>
        </w:tc>
        <w:tc>
          <w:tcPr>
            <w:tcW w:type="dxa" w:w="37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独立回答→互评→综合</w:t>
            </w:r>
          </w:p>
        </w:tc>
        <w:tc>
          <w:tcPr>
            <w:tcW w:type="dxa" w:w="24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比分别聊天更节省时间</w:t>
            </w:r>
          </w:p>
        </w:tc>
      </w:tr>
      <w:tr>
        <w:trPr/>
        <w:tc>
          <w:tcPr>
            <w:tcW w:type="dxa" w:w="13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P2 后做</w:t>
            </w:r>
          </w:p>
        </w:tc>
        <w:tc>
          <w:tcPr>
            <w:tcW w:type="dxa" w:w="19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插件/模板市场</w:t>
            </w:r>
          </w:p>
        </w:tc>
        <w:tc>
          <w:tcPr>
            <w:tcW w:type="dxa" w:w="37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适配器、工作流、角色、主题</w:t>
            </w:r>
          </w:p>
        </w:tc>
        <w:tc>
          <w:tcPr>
            <w:tcW w:type="dxa" w:w="24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有稳定扩展协议后再开放</w:t>
            </w:r>
          </w:p>
        </w:tc>
      </w:tr>
      <w:tr>
        <w:trPr/>
        <w:tc>
          <w:tcPr>
            <w:tcW w:type="dxa" w:w="13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P2 后做</w:t>
            </w:r>
          </w:p>
        </w:tc>
        <w:tc>
          <w:tcPr>
            <w:tcW w:type="dxa" w:w="19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云同步与团队</w:t>
            </w:r>
          </w:p>
        </w:tc>
        <w:tc>
          <w:tcPr>
            <w:tcW w:type="dxa" w:w="37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账号、共享空间、远程控制</w:t>
            </w:r>
          </w:p>
        </w:tc>
        <w:tc>
          <w:tcPr>
            <w:tcW w:type="dxa" w:w="24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先证明个人留存</w:t>
            </w:r>
          </w:p>
        </w:tc>
      </w:tr>
    </w:tbl>
    <w:p>
      <w:pPr>
        <w:spacing w:after="40"/>
      </w:pPr>
    </w:p>
    <w:p>
      <w:pPr>
        <w:pStyle w:val="Heading2"/>
      </w:pPr>
      <w:r>
        <w:t>7.1 建议首发适配策略</w:t>
      </w:r>
    </w:p>
    <w:p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首版不要追求“支持十个工具”，而要做“两个深适配 + 一个通用降级层”。建议深适配 Codex 与 Claude Code，因为开发者场景强、任务结果可验证、并行与目录隔离价值明确；OpenClaw/Hermes 先通过结构化 CLI 或远端协议接入为下一梯队。若目标用户群更偏个人助理而非开发者，可把 OpenClaw 替换为第二个深适配器。</w:t>
      </w:r>
    </w:p>
    <w:p>
      <w:pPr>
        <w:pStyle w:val="Heading2"/>
      </w:pPr>
      <w:r>
        <w:t>7.2 MVP 明确不做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完整 3D 编辑器、自由建造、复杂角色养成和实时多人联机。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自动购买、共享或绕过各家订阅授权；不对非公开认证缓存做脆弱逆向。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无限自动运行的“AI 公司”；所有循环都必须有预算、最大步骤、超时和停止条件。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跨所有 Agent 的原始聊天全文同步；只同步经过作用域和来源治理的记忆单元。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复杂广告投放平台；首版只做静态赞助位与可测量的合作链接。</w:t>
      </w:r>
    </w:p>
    <w:p>
      <w:pPr>
        <w:pStyle w:val="Heading1"/>
      </w:pPr>
      <w:r>
        <w:t>8. 核心体验与 3D 游戏化设计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615146"/>
            <wp:docPr id="1" name="Picture 1" descr="参考视频中的三维 AI Agent 办公空间界面，左侧为人员和工具配置，中央为办公室场景。" title="参考视频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-5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6151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 Unicode MS" w:hAnsi="Arial Unicode MS" w:eastAsia="Arial Unicode MS"/>
          <w:b w:val="0"/>
          <w:i/>
          <w:color w:val="667085"/>
          <w:sz w:val="18"/>
        </w:rPr>
        <w:t>图 1  参考视频中的 3D Agent 办公空间：高传播性来自“角色、空间与工作状态同时可见”。</w:t>
      </w:r>
    </w:p>
    <w:p>
      <w:pPr>
        <w:pStyle w:val="Heading2"/>
      </w:pPr>
      <w:r>
        <w:t>8.1 3D 必须表达真实状态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300"/>
        <w:gridCol w:w="3600"/>
        <w:gridCol w:w="3460"/>
      </w:tblGrid>
      <w:tr>
        <w:trPr>
          <w:tblHeader w:val="true"/>
        </w:trPr>
        <w:tc>
          <w:tcPr>
            <w:tcW w:type="dxa" w:w="2300"/>
            <w:vAlign w:val="center"/>
            <w:shd w:fill="F2F4F7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8"/>
              </w:rPr>
              <w:t>运行状态</w:t>
            </w:r>
          </w:p>
        </w:tc>
        <w:tc>
          <w:tcPr>
            <w:tcW w:type="dxa" w:w="3600"/>
            <w:vAlign w:val="center"/>
            <w:shd w:fill="F2F4F7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8"/>
              </w:rPr>
              <w:t>3D 表达</w:t>
            </w:r>
          </w:p>
        </w:tc>
        <w:tc>
          <w:tcPr>
            <w:tcW w:type="dxa" w:w="3460"/>
            <w:vAlign w:val="center"/>
            <w:shd w:fill="F2F4F7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8"/>
              </w:rPr>
              <w:t>用户含义</w:t>
            </w:r>
          </w:p>
        </w:tc>
      </w:tr>
      <w:tr>
        <w:trPr/>
        <w:tc>
          <w:tcPr>
            <w:tcW w:type="dxa" w:w="23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Idle / 空闲</w:t>
            </w:r>
          </w:p>
        </w:tc>
        <w:tc>
          <w:tcPr>
            <w:tcW w:type="dxa" w:w="36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角色在工位或公共区待命</w:t>
            </w:r>
          </w:p>
        </w:tc>
        <w:tc>
          <w:tcPr>
            <w:tcW w:type="dxa" w:w="34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可接新任务</w:t>
            </w:r>
          </w:p>
        </w:tc>
      </w:tr>
      <w:tr>
        <w:trPr/>
        <w:tc>
          <w:tcPr>
            <w:tcW w:type="dxa" w:w="23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Planning / 规划</w:t>
            </w:r>
          </w:p>
        </w:tc>
        <w:tc>
          <w:tcPr>
            <w:tcW w:type="dxa" w:w="36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白板或会议桌</w:t>
            </w:r>
          </w:p>
        </w:tc>
        <w:tc>
          <w:tcPr>
            <w:tcW w:type="dxa" w:w="34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正在拆解任务，尚未修改外部状态</w:t>
            </w:r>
          </w:p>
        </w:tc>
      </w:tr>
      <w:tr>
        <w:trPr/>
        <w:tc>
          <w:tcPr>
            <w:tcW w:type="dxa" w:w="23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Running / 执行</w:t>
            </w:r>
          </w:p>
        </w:tc>
        <w:tc>
          <w:tcPr>
            <w:tcW w:type="dxa" w:w="36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在对应部门工位工作</w:t>
            </w:r>
          </w:p>
        </w:tc>
        <w:tc>
          <w:tcPr>
            <w:tcW w:type="dxa" w:w="34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正在调用工具、写文件或生成产物</w:t>
            </w:r>
          </w:p>
        </w:tc>
      </w:tr>
      <w:tr>
        <w:trPr/>
        <w:tc>
          <w:tcPr>
            <w:tcW w:type="dxa" w:w="23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Waiting approval / 待审批</w:t>
            </w:r>
          </w:p>
        </w:tc>
        <w:tc>
          <w:tcPr>
            <w:tcW w:type="dxa" w:w="36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走到用户办公室门口或亮起警示</w:t>
            </w:r>
          </w:p>
        </w:tc>
        <w:tc>
          <w:tcPr>
            <w:tcW w:type="dxa" w:w="34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需要人类决定，优先打断</w:t>
            </w:r>
          </w:p>
        </w:tc>
      </w:tr>
      <w:tr>
        <w:trPr/>
        <w:tc>
          <w:tcPr>
            <w:tcW w:type="dxa" w:w="23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Blocked / 阻塞</w:t>
            </w:r>
          </w:p>
        </w:tc>
        <w:tc>
          <w:tcPr>
            <w:tcW w:type="dxa" w:w="36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停在障碍物/维修区</w:t>
            </w:r>
          </w:p>
        </w:tc>
        <w:tc>
          <w:tcPr>
            <w:tcW w:type="dxa" w:w="34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依赖、认证、权限或测试失败</w:t>
            </w:r>
          </w:p>
        </w:tc>
      </w:tr>
      <w:tr>
        <w:trPr/>
        <w:tc>
          <w:tcPr>
            <w:tcW w:type="dxa" w:w="23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Reviewing / 审阅</w:t>
            </w:r>
          </w:p>
        </w:tc>
        <w:tc>
          <w:tcPr>
            <w:tcW w:type="dxa" w:w="36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进入评审室</w:t>
            </w:r>
          </w:p>
        </w:tc>
        <w:tc>
          <w:tcPr>
            <w:tcW w:type="dxa" w:w="34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检查其他 Agent 产物</w:t>
            </w:r>
          </w:p>
        </w:tc>
      </w:tr>
      <w:tr>
        <w:trPr/>
        <w:tc>
          <w:tcPr>
            <w:tcW w:type="dxa" w:w="23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Completed / 完成</w:t>
            </w:r>
          </w:p>
        </w:tc>
        <w:tc>
          <w:tcPr>
            <w:tcW w:type="dxa" w:w="36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把产物放入交付区</w:t>
            </w:r>
          </w:p>
        </w:tc>
        <w:tc>
          <w:tcPr>
            <w:tcW w:type="dxa" w:w="34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结果可验收并归档</w:t>
            </w:r>
          </w:p>
        </w:tc>
      </w:tr>
      <w:tr>
        <w:trPr/>
        <w:tc>
          <w:tcPr>
            <w:tcW w:type="dxa" w:w="23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Sleeping / 暂停</w:t>
            </w:r>
          </w:p>
        </w:tc>
        <w:tc>
          <w:tcPr>
            <w:tcW w:type="dxa" w:w="36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离开工位或进入休息区</w:t>
            </w:r>
          </w:p>
        </w:tc>
        <w:tc>
          <w:tcPr>
            <w:tcW w:type="dxa" w:w="34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任务已暂停，资源应释放</w:t>
            </w:r>
          </w:p>
        </w:tc>
      </w:tr>
    </w:tbl>
    <w:p>
      <w:pPr>
        <w:spacing w:after="40"/>
      </w:pPr>
    </w:p>
    <w:p>
      <w:pPr>
        <w:pStyle w:val="Heading2"/>
      </w:pPr>
      <w:r>
        <w:t>8.2 双层界面原则</w:t>
      </w:r>
    </w:p>
    <w:p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推荐把界面分成“世界视图”和“控制视图”。世界视图负责空间关系、情绪反馈、状态概览和传播；控制视图负责日志、diff、权限、成本、配置和精确操作。任何关键动作都必须能在 2D 模式完成，3D 模式可以关闭或切换为低功耗。</w:t>
      </w:r>
    </w:p>
    <w:p>
      <w:pPr>
        <w:pStyle w:val="Heading2"/>
      </w:pPr>
      <w:r>
        <w:t>8.3 游戏化不是积分堆叠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有意义的进度：项目里程碑、验收通过率、自动化节省时间、记忆复用次数。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可见的团队成长：角色技能由成功工作流和适配能力驱动，不虚构模型能力。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可分享的故事：每日/每周生成“数字团队今天完成了什么”的世界截图或短回放。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可控的奖励：主题、办公室皮肤、角色装扮可以商业化，但不能遮挡任务、权限与风险状态。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避免黑暗模式：不靠连续签到、虚假忙碌、无限心跳或制造焦虑来提升活跃。</w:t>
      </w:r>
    </w:p>
    <w:p>
      <w:pPr>
        <w:pStyle w:val="Heading2"/>
      </w:pPr>
      <w:r>
        <w:t>8.4 传播设计</w:t>
      </w:r>
    </w:p>
    <w:p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这个项目天然适合短视频传播，但传播素材应由真实工作生成：例如“3 个 Agent 用 18 分钟完成一份竞品分析”“一个 Agent 卡在测试，另一个进入评审室修复”。用户愿意分享的是自己的数字团队和成果，而不是一段预置动画。产品需要一键隐藏项目名、路径、代码和敏感文本，只保留角色、状态与统计。</w:t>
      </w:r>
    </w:p>
    <w:p>
      <w:r>
        <w:br w:type="page"/>
      </w:r>
    </w:p>
    <w:p>
      <w:pPr>
        <w:pStyle w:val="Heading1"/>
      </w:pPr>
      <w:r>
        <w:t>9. 技术架构与适配器策略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3629025"/>
            <wp:docPr id="2" name="Picture 2" descr="kruon 分层架构图：体验层、本地控制平面、适配器宿主、项目记忆、安全数据与外部 AI 工具。" title="kruon 建议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ruon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629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 Unicode MS" w:hAnsi="Arial Unicode MS" w:eastAsia="Arial Unicode MS"/>
          <w:b w:val="0"/>
          <w:i/>
          <w:color w:val="667085"/>
          <w:sz w:val="18"/>
        </w:rPr>
        <w:t>图 2  建议的分层架构。执行控制与视觉展示解耦，是控制工程量和安全风险的关键。</w:t>
      </w:r>
    </w:p>
    <w:p>
      <w:pPr>
        <w:pStyle w:val="Heading2"/>
      </w:pPr>
      <w:r>
        <w:t>9.1 桌面技术栈建议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50"/>
        <w:gridCol w:w="3150"/>
        <w:gridCol w:w="3160"/>
        <w:gridCol w:w="1200"/>
      </w:tblGrid>
      <w:tr>
        <w:trPr>
          <w:tblHeader w:val="true"/>
        </w:trPr>
        <w:tc>
          <w:tcPr>
            <w:tcW w:type="dxa" w:w="1850"/>
            <w:vAlign w:val="center"/>
            <w:shd w:fill="F2F4F7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7"/>
              </w:rPr>
              <w:t>方案</w:t>
            </w:r>
          </w:p>
        </w:tc>
        <w:tc>
          <w:tcPr>
            <w:tcW w:type="dxa" w:w="3150"/>
            <w:vAlign w:val="center"/>
            <w:shd w:fill="F2F4F7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7"/>
              </w:rPr>
              <w:t>优势</w:t>
            </w:r>
          </w:p>
        </w:tc>
        <w:tc>
          <w:tcPr>
            <w:tcW w:type="dxa" w:w="3160"/>
            <w:vAlign w:val="center"/>
            <w:shd w:fill="F2F4F7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7"/>
              </w:rPr>
              <w:t>主要代价</w:t>
            </w:r>
          </w:p>
        </w:tc>
        <w:tc>
          <w:tcPr>
            <w:tcW w:type="dxa" w:w="1200"/>
            <w:vAlign w:val="center"/>
            <w:shd w:fill="F2F4F7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7"/>
              </w:rPr>
              <w:t>建议</w:t>
            </w:r>
          </w:p>
        </w:tc>
      </w:tr>
      <w:tr>
        <w:trPr/>
        <w:tc>
          <w:tcPr>
            <w:tcW w:type="dxa" w:w="185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Tauri 2 + React</w:t>
            </w:r>
          </w:p>
        </w:tc>
        <w:tc>
          <w:tcPr>
            <w:tcW w:type="dxa" w:w="315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体积较小、系统 WebView、Rust 后端、能力权限配置</w:t>
            </w:r>
          </w:p>
        </w:tc>
        <w:tc>
          <w:tcPr>
            <w:tcW w:type="dxa" w:w="31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Rust 学习与插件成熟度；WebView 差异</w:t>
            </w:r>
          </w:p>
        </w:tc>
        <w:tc>
          <w:tcPr>
            <w:tcW w:type="dxa" w:w="12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推荐 MVP</w:t>
            </w:r>
          </w:p>
        </w:tc>
      </w:tr>
      <w:tr>
        <w:trPr/>
        <w:tc>
          <w:tcPr>
            <w:tcW w:type="dxa" w:w="185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Electron + React</w:t>
            </w:r>
          </w:p>
        </w:tc>
        <w:tc>
          <w:tcPr>
            <w:tcW w:type="dxa" w:w="315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生态成熟、PTY/Node 集成快、调试友好</w:t>
            </w:r>
          </w:p>
        </w:tc>
        <w:tc>
          <w:tcPr>
            <w:tcW w:type="dxa" w:w="31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包体和内存更大；需严格进程隔离</w:t>
            </w:r>
          </w:p>
        </w:tc>
        <w:tc>
          <w:tcPr>
            <w:tcW w:type="dxa" w:w="12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赶速度时备选</w:t>
            </w:r>
          </w:p>
        </w:tc>
      </w:tr>
      <w:tr>
        <w:trPr/>
        <w:tc>
          <w:tcPr>
            <w:tcW w:type="dxa" w:w="185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React Three Fiber</w:t>
            </w:r>
          </w:p>
        </w:tc>
        <w:tc>
          <w:tcPr>
            <w:tcW w:type="dxa" w:w="315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与 React 状态和组件体系一致，适合界面型 3D</w:t>
            </w:r>
          </w:p>
        </w:tc>
        <w:tc>
          <w:tcPr>
            <w:tcW w:type="dxa" w:w="31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大量角色/复杂模拟需性能治理</w:t>
            </w:r>
          </w:p>
        </w:tc>
        <w:tc>
          <w:tcPr>
            <w:tcW w:type="dxa" w:w="12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推荐 3D 层</w:t>
            </w:r>
          </w:p>
        </w:tc>
      </w:tr>
      <w:tr>
        <w:trPr/>
        <w:tc>
          <w:tcPr>
            <w:tcW w:type="dxa" w:w="185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Godot 客户端</w:t>
            </w:r>
          </w:p>
        </w:tc>
        <w:tc>
          <w:tcPr>
            <w:tcW w:type="dxa" w:w="315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更强的游戏工具链、动画和场景编辑</w:t>
            </w:r>
          </w:p>
        </w:tc>
        <w:tc>
          <w:tcPr>
            <w:tcW w:type="dxa" w:w="31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与桌面控制面、Web 生态和插件整合成本高</w:t>
            </w:r>
          </w:p>
        </w:tc>
        <w:tc>
          <w:tcPr>
            <w:tcW w:type="dxa" w:w="12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重度游戏化再评估</w:t>
            </w:r>
          </w:p>
        </w:tc>
      </w:tr>
    </w:tbl>
    <w:p>
      <w:pPr>
        <w:spacing w:after="40"/>
      </w:pPr>
    </w:p>
    <w:p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Tauri 使用系统 WebView，可显著减小包体，并通过 capability 文件约束前端可调用的系统能力；但安全取决于权限配置、Rust 核心和依赖整体，而不是框架自动保证。[12][13] Electron 的多进程模型和 renderer sandbox 成熟，适合快速处理 PTY/Node 生态，但必须保持 context isolation、最小化 preload 暴露，并把不可信工作放入受限子进程。[14] React Three Fiber 适合让 3D 和 React 业务状态共用数据模型。[15]</w:t>
      </w:r>
    </w:p>
    <w:p>
      <w:pPr>
        <w:pStyle w:val="Heading2"/>
      </w:pPr>
      <w:r>
        <w:t>9.2 建议模块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vAlign w:val="center"/>
            <w:shd w:fill="F2F4F7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8"/>
              </w:rPr>
              <w:t>模块</w:t>
            </w:r>
          </w:p>
        </w:tc>
        <w:tc>
          <w:tcPr>
            <w:tcW w:type="dxa" w:w="6960"/>
            <w:vAlign w:val="center"/>
            <w:shd w:fill="F2F4F7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8"/>
              </w:rPr>
              <w:t>职责</w:t>
            </w:r>
          </w:p>
        </w:tc>
      </w:tr>
      <w:tr>
        <w:trPr/>
        <w:tc>
          <w:tcPr>
            <w:tcW w:type="dxa" w:w="24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Desktop Shell</w:t>
            </w:r>
          </w:p>
        </w:tc>
        <w:tc>
          <w:tcPr>
            <w:tcW w:type="dxa" w:w="69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窗口、托盘、更新、深链、系统通知、低功耗模式</w:t>
            </w:r>
          </w:p>
        </w:tc>
      </w:tr>
      <w:tr>
        <w:trPr/>
        <w:tc>
          <w:tcPr>
            <w:tcW w:type="dxa" w:w="24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Control Plane</w:t>
            </w:r>
          </w:p>
        </w:tc>
        <w:tc>
          <w:tcPr>
            <w:tcW w:type="dxa" w:w="69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任务图、运行状态机、审批、预算、并发、取消与恢复</w:t>
            </w:r>
          </w:p>
        </w:tc>
      </w:tr>
      <w:tr>
        <w:trPr/>
        <w:tc>
          <w:tcPr>
            <w:tcW w:type="dxa" w:w="24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Adapter Host</w:t>
            </w:r>
          </w:p>
        </w:tc>
        <w:tc>
          <w:tcPr>
            <w:tcW w:type="dxa" w:w="69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启动外部进程、协议协商、事件归一化、版本探测和能力降级</w:t>
            </w:r>
          </w:p>
        </w:tc>
      </w:tr>
      <w:tr>
        <w:trPr/>
        <w:tc>
          <w:tcPr>
            <w:tcW w:type="dxa" w:w="24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Workspace Service</w:t>
            </w:r>
          </w:p>
        </w:tc>
        <w:tc>
          <w:tcPr>
            <w:tcW w:type="dxa" w:w="69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项目目录、仓库、文件边界、worktree/临时工作区策略</w:t>
            </w:r>
          </w:p>
        </w:tc>
      </w:tr>
      <w:tr>
        <w:trPr/>
        <w:tc>
          <w:tcPr>
            <w:tcW w:type="dxa" w:w="24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Memory Hub</w:t>
            </w:r>
          </w:p>
        </w:tc>
        <w:tc>
          <w:tcPr>
            <w:tcW w:type="dxa" w:w="69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记忆抽取、人工确认、作用域、来源、冲突和输出视图</w:t>
            </w:r>
          </w:p>
        </w:tc>
      </w:tr>
      <w:tr>
        <w:trPr/>
        <w:tc>
          <w:tcPr>
            <w:tcW w:type="dxa" w:w="24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Observability</w:t>
            </w:r>
          </w:p>
        </w:tc>
        <w:tc>
          <w:tcPr>
            <w:tcW w:type="dxa" w:w="69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日志、事件、工具调用、成本、产物、错误和性能</w:t>
            </w:r>
          </w:p>
        </w:tc>
      </w:tr>
      <w:tr>
        <w:trPr/>
        <w:tc>
          <w:tcPr>
            <w:tcW w:type="dxa" w:w="24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Policy Engine</w:t>
            </w:r>
          </w:p>
        </w:tc>
        <w:tc>
          <w:tcPr>
            <w:tcW w:type="dxa" w:w="69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权限策略、敏感路径、网络、命令、外部副作用与审批</w:t>
            </w:r>
          </w:p>
        </w:tc>
      </w:tr>
      <w:tr>
        <w:trPr/>
        <w:tc>
          <w:tcPr>
            <w:tcW w:type="dxa" w:w="24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World Renderer</w:t>
            </w:r>
          </w:p>
        </w:tc>
        <w:tc>
          <w:tcPr>
            <w:tcW w:type="dxa" w:w="69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将实体和事件投影为 3D 场景，不直接执行任务</w:t>
            </w:r>
          </w:p>
        </w:tc>
      </w:tr>
      <w:tr>
        <w:trPr/>
        <w:tc>
          <w:tcPr>
            <w:tcW w:type="dxa" w:w="24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Marketplace</w:t>
            </w:r>
          </w:p>
        </w:tc>
        <w:tc>
          <w:tcPr>
            <w:tcW w:type="dxa" w:w="69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适配器/工作流/角色/场景包与签名、版本、权限声明</w:t>
            </w:r>
          </w:p>
        </w:tc>
      </w:tr>
      <w:tr>
        <w:trPr/>
        <w:tc>
          <w:tcPr>
            <w:tcW w:type="dxa" w:w="24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Sponsor Surface</w:t>
            </w:r>
          </w:p>
        </w:tc>
        <w:tc>
          <w:tcPr>
            <w:tcW w:type="dxa" w:w="69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赞助位、归因、隐私保护和不干扰排序的展示规则</w:t>
            </w:r>
          </w:p>
        </w:tc>
      </w:tr>
    </w:tbl>
    <w:p>
      <w:pPr>
        <w:spacing w:after="40"/>
      </w:pPr>
    </w:p>
    <w:p>
      <w:pPr>
        <w:pStyle w:val="Heading2"/>
      </w:pPr>
      <w:r>
        <w:t>9.3 适配器分级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2650"/>
        <w:gridCol w:w="3600"/>
        <w:gridCol w:w="1410"/>
      </w:tblGrid>
      <w:tr>
        <w:trPr>
          <w:tblHeader w:val="true"/>
        </w:trPr>
        <w:tc>
          <w:tcPr>
            <w:tcW w:type="dxa" w:w="1700"/>
            <w:vAlign w:val="center"/>
            <w:shd w:fill="FFF6DF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8"/>
              </w:rPr>
              <w:t>等级</w:t>
            </w:r>
          </w:p>
        </w:tc>
        <w:tc>
          <w:tcPr>
            <w:tcW w:type="dxa" w:w="2650"/>
            <w:vAlign w:val="center"/>
            <w:shd w:fill="FFF6DF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8"/>
              </w:rPr>
              <w:t>接口</w:t>
            </w:r>
          </w:p>
        </w:tc>
        <w:tc>
          <w:tcPr>
            <w:tcW w:type="dxa" w:w="3600"/>
            <w:vAlign w:val="center"/>
            <w:shd w:fill="FFF6DF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8"/>
              </w:rPr>
              <w:t>可承诺能力</w:t>
            </w:r>
          </w:p>
        </w:tc>
        <w:tc>
          <w:tcPr>
            <w:tcW w:type="dxa" w:w="1410"/>
            <w:vAlign w:val="center"/>
            <w:shd w:fill="FFF6DF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8"/>
              </w:rPr>
              <w:t>产品标签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L1 结构化完整</w:t>
            </w:r>
          </w:p>
        </w:tc>
        <w:tc>
          <w:tcPr>
            <w:tcW w:type="dxa" w:w="265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ACP/A2A/官方 SDK/稳定 JSON-RPC</w:t>
            </w:r>
          </w:p>
        </w:tc>
        <w:tc>
          <w:tcPr>
            <w:tcW w:type="dxa" w:w="36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会话、流式消息、工具调用、权限、产物、取消</w:t>
            </w:r>
          </w:p>
        </w:tc>
        <w:tc>
          <w:tcPr>
            <w:tcW w:type="dxa" w:w="141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首选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L2 结构化 CLI</w:t>
            </w:r>
          </w:p>
        </w:tc>
        <w:tc>
          <w:tcPr>
            <w:tcW w:type="dxa" w:w="265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官方非交互命令 + JSON/NDJSON</w:t>
            </w:r>
          </w:p>
        </w:tc>
        <w:tc>
          <w:tcPr>
            <w:tcW w:type="dxa" w:w="36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运行、日志、结果、部分取消/用量</w:t>
            </w:r>
          </w:p>
        </w:tc>
        <w:tc>
          <w:tcPr>
            <w:tcW w:type="dxa" w:w="141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可稳定支持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L3 PTY 兼容</w:t>
            </w:r>
          </w:p>
        </w:tc>
        <w:tc>
          <w:tcPr>
            <w:tcW w:type="dxa" w:w="265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受控伪终端 + 文本解析</w:t>
            </w:r>
          </w:p>
        </w:tc>
        <w:tc>
          <w:tcPr>
            <w:tcW w:type="dxa" w:w="36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启动、输入、输出、粗粒度状态</w:t>
            </w:r>
          </w:p>
        </w:tc>
        <w:tc>
          <w:tcPr>
            <w:tcW w:type="dxa" w:w="141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明确标记实验性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L4 启动器</w:t>
            </w:r>
          </w:p>
        </w:tc>
        <w:tc>
          <w:tcPr>
            <w:tcW w:type="dxa" w:w="265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打开外部 App/终端并传入目录</w:t>
            </w:r>
          </w:p>
        </w:tc>
        <w:tc>
          <w:tcPr>
            <w:tcW w:type="dxa" w:w="36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只提供导航与项目上下文</w:t>
            </w:r>
          </w:p>
        </w:tc>
        <w:tc>
          <w:tcPr>
            <w:tcW w:type="dxa" w:w="141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保底</w:t>
            </w:r>
          </w:p>
        </w:tc>
      </w:tr>
    </w:tbl>
    <w:p>
      <w:pPr>
        <w:spacing w:after="40"/>
      </w:pPr>
    </w:p>
    <w:p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ACP 特别适合本地客户端：客户端按需启动 Agent 子进程，通过 stdin/stdout 的 JSON-RPC 支持并发会话、流式更新和权限请求；它与 MCP 类型复用，也更适合作为首选适配层。[10] A2A 更适合远端或彼此不透明的 Agent，MCP 则继续承担工具与资源连接。三者是互补关系，不应混成一个“万能协议”。</w:t>
      </w:r>
    </w:p>
    <w:p>
      <w:pPr>
        <w:pStyle w:val="Heading2"/>
      </w:pPr>
      <w:r>
        <w:t>9.4 统一事件模型</w:t>
      </w:r>
    </w:p>
    <w:p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UI 和 3D 世界不应解析每个工具的原始输出，而应消费统一事件。建议最小事件集合如下：</w:t>
      </w:r>
    </w:p>
    <w:p>
      <w:pPr>
        <w:pStyle w:val="CodeBlock"/>
        <w:shd w:fill="F6F8FA"/>
      </w:pPr>
      <w:r>
        <w:rPr>
          <w:rFonts w:ascii="Courier New" w:hAnsi="Courier New" w:eastAsia="Arial Unicode MS"/>
          <w:b w:val="0"/>
          <w:i w:val="0"/>
          <w:color w:val="000000"/>
          <w:sz w:val="17"/>
        </w:rPr>
        <w:t>run.created / run.started / run.paused / run.completed / run.failed</w:t>
        <w:br/>
        <w:t>message.delta / message.completed</w:t>
        <w:br/>
        <w:t>plan.updated / task.delegated / task.blocked</w:t>
        <w:br/>
        <w:t>tool.requested / tool.started / tool.completed / tool.failed</w:t>
        <w:br/>
        <w:t>permission.requested / permission.resolved</w:t>
        <w:br/>
        <w:t>artifact.created / file.changed / test.completed</w:t>
        <w:br/>
        <w:t>usage.updated / budget.warning</w:t>
        <w:br/>
        <w:t>memory.proposed / memory.approved / memory.rejected</w:t>
      </w:r>
    </w:p>
    <w:p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每条事件至少包含 run_id、adapter_id、workspace_id、时间、来源、风险级别、可展示摘要和原始载荷引用。原始日志可以按需保存，但世界视图只消费稳定字段。</w:t>
      </w:r>
    </w:p>
    <w:p>
      <w:pPr>
        <w:pStyle w:val="Heading2"/>
      </w:pPr>
      <w:r>
        <w:t>9.5 本地数据与进程模型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SQLite：任务、运行、事件索引、审批、成本、适配器状态和非敏感配置。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文件镜像：项目记忆、工作流和角色定义使用可读文本，便于 Git 管理与迁移。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OS Keychain：API Key、刷新令牌和本产品自有凭据；不把密钥写入记忆或日志。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Adapter 子进程：每个连接独立生命周期和资源限制；崩溃不能带走控制平面。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本地 Event Bus：控制平面发布统一事件，2D/3D/通知/日志分别订阅。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可选云服务：只承载更新、市场、匿名统计和合作归因；默认不上传任务正文与文件。</w:t>
      </w:r>
    </w:p>
    <w:p>
      <w:pPr>
        <w:pStyle w:val="Heading1"/>
      </w:pPr>
      <w:r>
        <w:t>10. 共享记忆、群聊脑暴与工作流语义</w:t>
      </w:r>
    </w:p>
    <w:p>
      <w:pPr>
        <w:pStyle w:val="Heading2"/>
      </w:pPr>
      <w:r>
        <w:t>10.1 共享记忆不是共享聊天记录</w:t>
      </w:r>
    </w:p>
    <w:p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把所有对话复制给所有 Agent 会产生三类问题：成本膨胀、敏感信息扩散、错误或提示注入被持久化。正确模型应是“一个规范记忆库 + 针对不同 Agent 生成的受控视图”。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3800"/>
        <w:gridCol w:w="3860"/>
      </w:tblGrid>
      <w:tr>
        <w:trPr>
          <w:tblHeader w:val="true"/>
        </w:trPr>
        <w:tc>
          <w:tcPr>
            <w:tcW w:type="dxa" w:w="1700"/>
            <w:vAlign w:val="center"/>
            <w:shd w:fill="F2F4F7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8"/>
              </w:rPr>
              <w:t>层级</w:t>
            </w:r>
          </w:p>
        </w:tc>
        <w:tc>
          <w:tcPr>
            <w:tcW w:type="dxa" w:w="3800"/>
            <w:vAlign w:val="center"/>
            <w:shd w:fill="F2F4F7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8"/>
              </w:rPr>
              <w:t>内容</w:t>
            </w:r>
          </w:p>
        </w:tc>
        <w:tc>
          <w:tcPr>
            <w:tcW w:type="dxa" w:w="3860"/>
            <w:vAlign w:val="center"/>
            <w:shd w:fill="F2F4F7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8"/>
              </w:rPr>
              <w:t>规则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用户级</w:t>
            </w:r>
          </w:p>
        </w:tc>
        <w:tc>
          <w:tcPr>
            <w:tcW w:type="dxa" w:w="38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长期偏好、常用格式、风险偏好</w:t>
            </w:r>
          </w:p>
        </w:tc>
        <w:tc>
          <w:tcPr>
            <w:tcW w:type="dxa" w:w="38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默认私有，可跨项目选择性启用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项目级</w:t>
            </w:r>
          </w:p>
        </w:tc>
        <w:tc>
          <w:tcPr>
            <w:tcW w:type="dxa" w:w="38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目标、约束、术语、架构、决策、里程碑</w:t>
            </w:r>
          </w:p>
        </w:tc>
        <w:tc>
          <w:tcPr>
            <w:tcW w:type="dxa" w:w="38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项目默认共享，敏感项可限制角色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任务级</w:t>
            </w:r>
          </w:p>
        </w:tc>
        <w:tc>
          <w:tcPr>
            <w:tcW w:type="dxa" w:w="38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本次上下文、验收标准、中间发现</w:t>
            </w:r>
          </w:p>
        </w:tc>
        <w:tc>
          <w:tcPr>
            <w:tcW w:type="dxa" w:w="38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任务结束后自动过期或提炼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Agent 私有</w:t>
            </w:r>
          </w:p>
        </w:tc>
        <w:tc>
          <w:tcPr>
            <w:tcW w:type="dxa" w:w="38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工具特定缓存、草稿、临时推理线索</w:t>
            </w:r>
          </w:p>
        </w:tc>
        <w:tc>
          <w:tcPr>
            <w:tcW w:type="dxa" w:w="38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默认不共享，不作为事实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组织/团队</w:t>
            </w:r>
          </w:p>
        </w:tc>
        <w:tc>
          <w:tcPr>
            <w:tcW w:type="dxa" w:w="38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流程、品牌、合规和公共知识</w:t>
            </w:r>
          </w:p>
        </w:tc>
        <w:tc>
          <w:tcPr>
            <w:tcW w:type="dxa" w:w="38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团队版，需管理员与版本治理</w:t>
            </w:r>
          </w:p>
        </w:tc>
      </w:tr>
    </w:tbl>
    <w:p>
      <w:pPr>
        <w:spacing w:after="40"/>
      </w:pPr>
    </w:p>
    <w:p>
      <w:pPr>
        <w:pStyle w:val="Heading2"/>
      </w:pPr>
      <w:r>
        <w:t>10.2 记忆写入流程</w:t>
      </w:r>
    </w:p>
    <w:p>
      <w:pPr>
        <w:numPr>
          <w:ilvl w:val="0"/>
          <w:numId w:val="14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Agent 或规则引擎提出 memory.proposed，必须附原始来源和用途。</w:t>
      </w:r>
    </w:p>
    <w:p>
      <w:pPr>
        <w:numPr>
          <w:ilvl w:val="0"/>
          <w:numId w:val="14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系统按敏感级别、冲突、重复和有效期做静态检查。</w:t>
      </w:r>
    </w:p>
    <w:p>
      <w:pPr>
        <w:numPr>
          <w:ilvl w:val="0"/>
          <w:numId w:val="14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高价值/高风险记忆由用户确认；低风险可设置为自动接受但可回滚。</w:t>
      </w:r>
    </w:p>
    <w:p>
      <w:pPr>
        <w:numPr>
          <w:ilvl w:val="0"/>
          <w:numId w:val="14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写入 canonical store，并生成面向不同 Agent 的最小视图。</w:t>
      </w:r>
    </w:p>
    <w:p>
      <w:pPr>
        <w:numPr>
          <w:ilvl w:val="0"/>
          <w:numId w:val="14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后续检索必须返回来源和版本；冲突时展示并存事实，而不是静默覆盖。</w:t>
      </w:r>
    </w:p>
    <w:p>
      <w:pPr>
        <w:pStyle w:val="Heading2"/>
      </w:pPr>
      <w:r>
        <w:t>10.3 群聊脑暴协议</w:t>
      </w:r>
    </w:p>
    <w:p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群聊的目标不是让多个模型轮流说话，而是通过流程设计获得“多样性 + 反驳 + 收敛”。推荐默认协议：</w:t>
      </w:r>
    </w:p>
    <w:p>
      <w:pPr>
        <w:numPr>
          <w:ilvl w:val="0"/>
          <w:numId w:val="15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独立阶段：每个 Agent 看相同问题但看不到其他答案，避免首答锚定。</w:t>
      </w:r>
    </w:p>
    <w:p>
      <w:pPr>
        <w:numPr>
          <w:ilvl w:val="0"/>
          <w:numId w:val="15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质疑阶段：随机或指定两两审阅，要求指出假设、证据缺口和反例。</w:t>
      </w:r>
    </w:p>
    <w:p>
      <w:pPr>
        <w:numPr>
          <w:ilvl w:val="0"/>
          <w:numId w:val="15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修订阶段：原作者吸收意见，明确保留与放弃的观点。</w:t>
      </w:r>
    </w:p>
    <w:p>
      <w:pPr>
        <w:numPr>
          <w:ilvl w:val="0"/>
          <w:numId w:val="15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裁判阶段：用户或指定 Agent 根据事先定义的标准做综合；裁判不能隐藏少数意见。</w:t>
      </w:r>
    </w:p>
    <w:p>
      <w:pPr>
        <w:numPr>
          <w:ilvl w:val="0"/>
          <w:numId w:val="15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产出阶段：保存共识、分歧、证据、未决问题和下一步任务，而不只保存总结。</w:t>
      </w:r>
    </w:p>
    <w:p>
      <w:pPr>
        <w:pStyle w:val="Callout"/>
        <w:shd w:fill="FFF6DF"/>
      </w:pPr>
      <w:r>
        <w:rPr>
          <w:rFonts w:ascii="Arial Unicode MS" w:hAnsi="Arial Unicode MS" w:eastAsia="Arial Unicode MS"/>
          <w:b/>
          <w:i w:val="0"/>
          <w:color w:val="102A43"/>
          <w:sz w:val="22"/>
        </w:rPr>
        <w:t xml:space="preserve">成本控制  </w:t>
      </w:r>
      <w:r>
        <w:rPr>
          <w:rFonts w:ascii="Arial Unicode MS" w:hAnsi="Arial Unicode MS" w:eastAsia="Arial Unicode MS"/>
          <w:b w:val="0"/>
          <w:i w:val="0"/>
          <w:color w:val="172B4D"/>
          <w:sz w:val="22"/>
        </w:rPr>
        <w:t>每次脑暴必须预设参与者数量、每轮 token/时间上限和最大轮数。默认 2-3 个 Agent、2 轮足够；“更多 Agent”并不自动提高质量。</w:t>
      </w:r>
    </w:p>
    <w:p>
      <w:pPr>
        <w:pStyle w:val="Heading2"/>
      </w:pPr>
      <w:r>
        <w:t>10.4 工作流模板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3450"/>
        <w:gridCol w:w="4110"/>
      </w:tblGrid>
      <w:tr>
        <w:trPr>
          <w:tblHeader w:val="true"/>
        </w:trPr>
        <w:tc>
          <w:tcPr>
            <w:tcW w:type="dxa" w:w="1800"/>
            <w:vAlign w:val="center"/>
            <w:shd w:fill="F2F4F7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8"/>
              </w:rPr>
              <w:t>模板</w:t>
            </w:r>
          </w:p>
        </w:tc>
        <w:tc>
          <w:tcPr>
            <w:tcW w:type="dxa" w:w="3450"/>
            <w:vAlign w:val="center"/>
            <w:shd w:fill="F2F4F7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8"/>
              </w:rPr>
              <w:t>角色链</w:t>
            </w:r>
          </w:p>
        </w:tc>
        <w:tc>
          <w:tcPr>
            <w:tcW w:type="dxa" w:w="4110"/>
            <w:vAlign w:val="center"/>
            <w:shd w:fill="F2F4F7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8"/>
              </w:rPr>
              <w:t>关键控制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研究-验证</w:t>
            </w:r>
          </w:p>
        </w:tc>
        <w:tc>
          <w:tcPr>
            <w:tcW w:type="dxa" w:w="345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研究员→质疑者→综合者</w:t>
            </w:r>
          </w:p>
        </w:tc>
        <w:tc>
          <w:tcPr>
            <w:tcW w:type="dxa" w:w="411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来源可追溯、分歧保留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实现-审阅</w:t>
            </w:r>
          </w:p>
        </w:tc>
        <w:tc>
          <w:tcPr>
            <w:tcW w:type="dxa" w:w="345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实现者→测试者→审阅者</w:t>
            </w:r>
          </w:p>
        </w:tc>
        <w:tc>
          <w:tcPr>
            <w:tcW w:type="dxa" w:w="411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隔离工作区、测试门、diff 验收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内容生产</w:t>
            </w:r>
          </w:p>
        </w:tc>
        <w:tc>
          <w:tcPr>
            <w:tcW w:type="dxa" w:w="345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策划→撰写→事实核验→发布</w:t>
            </w:r>
          </w:p>
        </w:tc>
        <w:tc>
          <w:tcPr>
            <w:tcW w:type="dxa" w:w="411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品牌记忆、来源、发布审批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故障诊断</w:t>
            </w:r>
          </w:p>
        </w:tc>
        <w:tc>
          <w:tcPr>
            <w:tcW w:type="dxa" w:w="345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诊断→独立复核→修复建议</w:t>
            </w:r>
          </w:p>
        </w:tc>
        <w:tc>
          <w:tcPr>
            <w:tcW w:type="dxa" w:w="411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只读优先、修复需授权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每日运营</w:t>
            </w:r>
          </w:p>
        </w:tc>
        <w:tc>
          <w:tcPr>
            <w:tcW w:type="dxa" w:w="345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收集→优先级→执行→复盘</w:t>
            </w:r>
          </w:p>
        </w:tc>
        <w:tc>
          <w:tcPr>
            <w:tcW w:type="dxa" w:w="411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预算、日程、重复任务</w:t>
            </w:r>
          </w:p>
        </w:tc>
      </w:tr>
    </w:tbl>
    <w:p>
      <w:pPr>
        <w:spacing w:after="40"/>
      </w:pPr>
    </w:p>
    <w:p>
      <w:pPr>
        <w:pStyle w:val="Heading1"/>
      </w:pPr>
      <w:r>
        <w:t>11. 安全、权限、隐私与合规边界</w:t>
      </w:r>
    </w:p>
    <w:p>
      <w:pPr>
        <w:pStyle w:val="Callout"/>
        <w:shd w:fill="FDECEC"/>
      </w:pPr>
      <w:r>
        <w:rPr>
          <w:rFonts w:ascii="Arial Unicode MS" w:hAnsi="Arial Unicode MS" w:eastAsia="Arial Unicode MS"/>
          <w:b/>
          <w:i w:val="0"/>
          <w:color w:val="102A43"/>
          <w:sz w:val="22"/>
        </w:rPr>
        <w:t xml:space="preserve">安全定位  </w:t>
      </w:r>
      <w:r>
        <w:rPr>
          <w:rFonts w:ascii="Arial Unicode MS" w:hAnsi="Arial Unicode MS" w:eastAsia="Arial Unicode MS"/>
          <w:b w:val="0"/>
          <w:i w:val="0"/>
          <w:color w:val="172B4D"/>
          <w:sz w:val="22"/>
        </w:rPr>
        <w:t>用户不会因为产品是“本地客户端”就天然信任它。kruon 将同时接触本机文件、终端、订阅凭据、网络与多个 Agent；它必须把安全能力做成核心产品体验。</w:t>
      </w:r>
    </w:p>
    <w:p>
      <w:pPr>
        <w:pStyle w:val="Heading2"/>
      </w:pPr>
      <w:r>
        <w:t>11.1 权限模型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4200"/>
        <w:gridCol w:w="3460"/>
      </w:tblGrid>
      <w:tr>
        <w:trPr>
          <w:tblHeader w:val="true"/>
        </w:trPr>
        <w:tc>
          <w:tcPr>
            <w:tcW w:type="dxa" w:w="1700"/>
            <w:vAlign w:val="center"/>
            <w:shd w:fill="F2F4F7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8"/>
              </w:rPr>
              <w:t>权限域</w:t>
            </w:r>
          </w:p>
        </w:tc>
        <w:tc>
          <w:tcPr>
            <w:tcW w:type="dxa" w:w="4200"/>
            <w:vAlign w:val="center"/>
            <w:shd w:fill="F2F4F7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8"/>
              </w:rPr>
              <w:t>分级</w:t>
            </w:r>
          </w:p>
        </w:tc>
        <w:tc>
          <w:tcPr>
            <w:tcW w:type="dxa" w:w="3460"/>
            <w:vAlign w:val="center"/>
            <w:shd w:fill="F2F4F7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8"/>
              </w:rPr>
              <w:t>建议默认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文件</w:t>
            </w:r>
          </w:p>
        </w:tc>
        <w:tc>
          <w:tcPr>
            <w:tcW w:type="dxa" w:w="42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只读 / 指定目录写 / 全工作区写 / 工作区外写</w:t>
            </w:r>
          </w:p>
        </w:tc>
        <w:tc>
          <w:tcPr>
            <w:tcW w:type="dxa" w:w="34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默认只读或工作区写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命令</w:t>
            </w:r>
          </w:p>
        </w:tc>
        <w:tc>
          <w:tcPr>
            <w:tcW w:type="dxa" w:w="42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白名单 / 审批 / 沙箱 / 禁止</w:t>
            </w:r>
          </w:p>
        </w:tc>
        <w:tc>
          <w:tcPr>
            <w:tcW w:type="dxa" w:w="34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危险命令必须逐次确认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网络</w:t>
            </w:r>
          </w:p>
        </w:tc>
        <w:tc>
          <w:tcPr>
            <w:tcW w:type="dxa" w:w="42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关闭 / 域名白名单 / 全部</w:t>
            </w:r>
          </w:p>
        </w:tc>
        <w:tc>
          <w:tcPr>
            <w:tcW w:type="dxa" w:w="34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外部上传与下载单独提示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外部副作用</w:t>
            </w:r>
          </w:p>
        </w:tc>
        <w:tc>
          <w:tcPr>
            <w:tcW w:type="dxa" w:w="42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邮件、消息、发布、支付、删除远端资源</w:t>
            </w:r>
          </w:p>
        </w:tc>
        <w:tc>
          <w:tcPr>
            <w:tcW w:type="dxa" w:w="34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默认逐次审批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记忆</w:t>
            </w:r>
          </w:p>
        </w:tc>
        <w:tc>
          <w:tcPr>
            <w:tcW w:type="dxa" w:w="42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读取范围 / 写入提案 / 自动写入</w:t>
            </w:r>
          </w:p>
        </w:tc>
        <w:tc>
          <w:tcPr>
            <w:tcW w:type="dxa" w:w="34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敏感级别与来源可见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预算</w:t>
            </w:r>
          </w:p>
        </w:tc>
        <w:tc>
          <w:tcPr>
            <w:tcW w:type="dxa" w:w="42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token、金额、时间、步骤、并发</w:t>
            </w:r>
          </w:p>
        </w:tc>
        <w:tc>
          <w:tcPr>
            <w:tcW w:type="dxa" w:w="34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硬上限优先于 Agent 判断</w:t>
            </w:r>
          </w:p>
        </w:tc>
      </w:tr>
    </w:tbl>
    <w:p>
      <w:pPr>
        <w:spacing w:after="40"/>
      </w:pPr>
    </w:p>
    <w:p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NIST 将 Agent 工具风险按只读/受限写/写入与可信/不可信环境区分，强调权限和环境共同决定风险；OWASP 建议最小权限、人类参与高风险动作、隔离记忆、结构化验证、成本上限和完整审计。[16][17] 这些原则应直接映射为产品状态和审批 UI，而不是藏在设置页。</w:t>
      </w:r>
    </w:p>
    <w:p>
      <w:pPr>
        <w:pStyle w:val="Heading2"/>
      </w:pPr>
      <w:r>
        <w:t>11.2 关键威胁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3700"/>
        <w:gridCol w:w="3860"/>
      </w:tblGrid>
      <w:tr>
        <w:trPr>
          <w:tblHeader w:val="true"/>
        </w:trPr>
        <w:tc>
          <w:tcPr>
            <w:tcW w:type="dxa" w:w="1800"/>
            <w:vAlign w:val="center"/>
            <w:shd w:fill="FDECEC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8"/>
              </w:rPr>
              <w:t>威胁</w:t>
            </w:r>
          </w:p>
        </w:tc>
        <w:tc>
          <w:tcPr>
            <w:tcW w:type="dxa" w:w="3700"/>
            <w:vAlign w:val="center"/>
            <w:shd w:fill="FDECEC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8"/>
              </w:rPr>
              <w:t>场景</w:t>
            </w:r>
          </w:p>
        </w:tc>
        <w:tc>
          <w:tcPr>
            <w:tcW w:type="dxa" w:w="3860"/>
            <w:vAlign w:val="center"/>
            <w:shd w:fill="FDECEC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8"/>
              </w:rPr>
              <w:t>最低控制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间接提示注入</w:t>
            </w:r>
          </w:p>
        </w:tc>
        <w:tc>
          <w:tcPr>
            <w:tcW w:type="dxa" w:w="37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网页/邮件/文档诱导 Agent 泄露或执行</w:t>
            </w:r>
          </w:p>
        </w:tc>
        <w:tc>
          <w:tcPr>
            <w:tcW w:type="dxa" w:w="38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外部内容标记为不可信；工具调用做策略验证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过度授权</w:t>
            </w:r>
          </w:p>
        </w:tc>
        <w:tc>
          <w:tcPr>
            <w:tcW w:type="dxa" w:w="37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一个插件或 Agent 获得过宽文件/网络/命令权限</w:t>
            </w:r>
          </w:p>
        </w:tc>
        <w:tc>
          <w:tcPr>
            <w:tcW w:type="dxa" w:w="38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逐工具 capability manifest + 最小权限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记忆污染</w:t>
            </w:r>
          </w:p>
        </w:tc>
        <w:tc>
          <w:tcPr>
            <w:tcW w:type="dxa" w:w="37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恶意或错误内容跨会话持续影响</w:t>
            </w:r>
          </w:p>
        </w:tc>
        <w:tc>
          <w:tcPr>
            <w:tcW w:type="dxa" w:w="38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写入提案、来源、隔离、过期和回滚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供应链</w:t>
            </w:r>
          </w:p>
        </w:tc>
        <w:tc>
          <w:tcPr>
            <w:tcW w:type="dxa" w:w="37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适配器/技能/主题包包含恶意代码</w:t>
            </w:r>
          </w:p>
        </w:tc>
        <w:tc>
          <w:tcPr>
            <w:tcW w:type="dxa" w:w="38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签名、权限声明、版本锁、审核和沙箱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凭据泄露</w:t>
            </w:r>
          </w:p>
        </w:tc>
        <w:tc>
          <w:tcPr>
            <w:tcW w:type="dxa" w:w="37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日志、崩溃报告、记忆或广告统计带出密钥</w:t>
            </w:r>
          </w:p>
        </w:tc>
        <w:tc>
          <w:tcPr>
            <w:tcW w:type="dxa" w:w="38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Keychain、结构化脱敏、本地日志默认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跨 Agent 放大</w:t>
            </w:r>
          </w:p>
        </w:tc>
        <w:tc>
          <w:tcPr>
            <w:tcW w:type="dxa" w:w="37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错误任务被多个 Agent 并发传播</w:t>
            </w:r>
          </w:p>
        </w:tc>
        <w:tc>
          <w:tcPr>
            <w:tcW w:type="dxa" w:w="38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任务图预算、暂停总闸、消息完整性和审批</w:t>
            </w:r>
          </w:p>
        </w:tc>
      </w:tr>
    </w:tbl>
    <w:p>
      <w:pPr>
        <w:spacing w:after="40"/>
      </w:pPr>
    </w:p>
    <w:p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OWASP 对提示注入的描述包括数据泄漏、权限升级和未经授权的命令执行；多 Agent 系统还可能通过同伴 Agent 传播被操纵的输出。[18] OpenClaw 的安全基线也采用本地 loopback、工具拒绝列表、工作区文件边界、执行需审批和禁用 elevated 权限等做法。[19] kruon 应将这些做法抽象为跨适配器一致策略。</w:t>
      </w:r>
    </w:p>
    <w:p>
      <w:pPr>
        <w:pStyle w:val="Heading2"/>
      </w:pPr>
      <w:r>
        <w:t>11.3 广告与隐私的特殊冲突</w:t>
      </w:r>
    </w:p>
    <w:p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广告系统通常希望收集用户画像、任务内容和转化路径，而本地 AI 控制中心的核心品牌资产恰恰是“不窥视工作内容”。建议商业统计只允许产品级事件：安装来源、适配器是否连接、赞助卡曝光/点击、匿名版本与平台；禁止上传 prompt、文件名、项目名、模型回复、命令和 API Key。合作方不得购买默认路由权。</w:t>
      </w:r>
    </w:p>
    <w:p>
      <w:pPr>
        <w:pStyle w:val="Heading1"/>
      </w:pPr>
      <w:r>
        <w:t>12. 商业化：广告能否成为主收入</w:t>
      </w:r>
    </w:p>
    <w:p>
      <w:pPr>
        <w:pStyle w:val="Heading2"/>
      </w:pPr>
      <w:r>
        <w:t>12.1 CC Switch 说明了什么</w:t>
      </w:r>
    </w:p>
    <w:p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CC Switch 是重要先例：它免费开源，支持 Claude Code、Codex、Gemini CLI、OpenCode、OpenClaw、Hermes 等工具，并在 README 与产品生态中展示多个 API 中转/模型服务赞助商和专属优惠。[6][7] 这说明当工具处于“选择供应商、配置模型、查询额度、切换路由”的高意图位置时，赞助商愿意付费。</w:t>
      </w:r>
    </w:p>
    <w:p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但 kruon 的核心使用场景更靠近任务调度和工作内容，若把普通 banner 塞进日常控制面，既破坏体验，也可能让用户怀疑路由是否受商业影响。因此，“广告主收入”应设计为受约束的生态商业，而不是传统展示广告。</w:t>
      </w:r>
    </w:p>
    <w:p>
      <w:pPr>
        <w:pStyle w:val="Heading2"/>
      </w:pPr>
      <w:r>
        <w:t>12.2 可售卖的高意图位置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700"/>
        <w:gridCol w:w="2800"/>
        <w:gridCol w:w="3500"/>
        <w:gridCol w:w="1360"/>
      </w:tblGrid>
      <w:tr>
        <w:trPr>
          <w:tblHeader w:val="true"/>
        </w:trPr>
        <w:tc>
          <w:tcPr>
            <w:tcW w:type="dxa" w:w="1700"/>
            <w:vAlign w:val="center"/>
            <w:shd w:fill="FFF6DF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8"/>
              </w:rPr>
              <w:t>位置</w:t>
            </w:r>
          </w:p>
        </w:tc>
        <w:tc>
          <w:tcPr>
            <w:tcW w:type="dxa" w:w="2800"/>
            <w:vAlign w:val="center"/>
            <w:shd w:fill="FFF6DF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8"/>
              </w:rPr>
              <w:t>触发时机</w:t>
            </w:r>
          </w:p>
        </w:tc>
        <w:tc>
          <w:tcPr>
            <w:tcW w:type="dxa" w:w="3500"/>
            <w:vAlign w:val="center"/>
            <w:shd w:fill="FFF6DF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8"/>
              </w:rPr>
              <w:t>形式</w:t>
            </w:r>
          </w:p>
        </w:tc>
        <w:tc>
          <w:tcPr>
            <w:tcW w:type="dxa" w:w="1360"/>
            <w:vAlign w:val="center"/>
            <w:shd w:fill="FFF6DF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8"/>
              </w:rPr>
              <w:t>价值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供应商发现</w:t>
            </w:r>
          </w:p>
        </w:tc>
        <w:tc>
          <w:tcPr>
            <w:tcW w:type="dxa" w:w="28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用户新增 API/模型服务时</w:t>
            </w:r>
          </w:p>
        </w:tc>
        <w:tc>
          <w:tcPr>
            <w:tcW w:type="dxa" w:w="35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赞助卡 + 明确标识 + 同类比较</w:t>
            </w:r>
          </w:p>
        </w:tc>
        <w:tc>
          <w:tcPr>
            <w:tcW w:type="dxa" w:w="13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高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额度/成本提醒</w:t>
            </w:r>
          </w:p>
        </w:tc>
        <w:tc>
          <w:tcPr>
            <w:tcW w:type="dxa" w:w="28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官方额度不足或成本超阈值</w:t>
            </w:r>
          </w:p>
        </w:tc>
        <w:tc>
          <w:tcPr>
            <w:tcW w:type="dxa" w:w="35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可选替代方案，不自动切换</w:t>
            </w:r>
          </w:p>
        </w:tc>
        <w:tc>
          <w:tcPr>
            <w:tcW w:type="dxa" w:w="13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高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适配器市场</w:t>
            </w:r>
          </w:p>
        </w:tc>
        <w:tc>
          <w:tcPr>
            <w:tcW w:type="dxa" w:w="28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安装新工具/插件/工作流</w:t>
            </w:r>
          </w:p>
        </w:tc>
        <w:tc>
          <w:tcPr>
            <w:tcW w:type="dxa" w:w="35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置顶赞助、认证开发者</w:t>
            </w:r>
          </w:p>
        </w:tc>
        <w:tc>
          <w:tcPr>
            <w:tcW w:type="dxa" w:w="13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中高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模型路由建议</w:t>
            </w:r>
          </w:p>
        </w:tc>
        <w:tc>
          <w:tcPr>
            <w:tcW w:type="dxa" w:w="28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用户主动请求成本/速度优化</w:t>
            </w:r>
          </w:p>
        </w:tc>
        <w:tc>
          <w:tcPr>
            <w:tcW w:type="dxa" w:w="35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赞助不进入默认算法；单独展示</w:t>
            </w:r>
          </w:p>
        </w:tc>
        <w:tc>
          <w:tcPr>
            <w:tcW w:type="dxa" w:w="13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中高但敏感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主题与场景</w:t>
            </w:r>
          </w:p>
        </w:tc>
        <w:tc>
          <w:tcPr>
            <w:tcW w:type="dxa" w:w="28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更换 3D 办公室、角色皮肤</w:t>
            </w:r>
          </w:p>
        </w:tc>
        <w:tc>
          <w:tcPr>
            <w:tcW w:type="dxa" w:w="35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品牌联名和内容赞助</w:t>
            </w:r>
          </w:p>
        </w:tc>
        <w:tc>
          <w:tcPr>
            <w:tcW w:type="dxa" w:w="13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中</w:t>
            </w:r>
          </w:p>
        </w:tc>
      </w:tr>
      <w:tr>
        <w:trPr/>
        <w:tc>
          <w:tcPr>
            <w:tcW w:type="dxa" w:w="17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学习中心</w:t>
            </w:r>
          </w:p>
        </w:tc>
        <w:tc>
          <w:tcPr>
            <w:tcW w:type="dxa" w:w="28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新手配置、案例和教程</w:t>
            </w:r>
          </w:p>
        </w:tc>
        <w:tc>
          <w:tcPr>
            <w:tcW w:type="dxa" w:w="35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合作教程、优惠码、联合活动</w:t>
            </w:r>
          </w:p>
        </w:tc>
        <w:tc>
          <w:tcPr>
            <w:tcW w:type="dxa" w:w="13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中</w:t>
            </w:r>
          </w:p>
        </w:tc>
      </w:tr>
    </w:tbl>
    <w:p>
      <w:pPr>
        <w:spacing w:after="40"/>
      </w:pPr>
    </w:p>
    <w:p>
      <w:pPr>
        <w:pStyle w:val="Heading2"/>
      </w:pPr>
      <w:r>
        <w:t>12.3 建议收入结构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4200"/>
        <w:gridCol w:w="3360"/>
      </w:tblGrid>
      <w:tr>
        <w:trPr>
          <w:tblHeader w:val="true"/>
        </w:trPr>
        <w:tc>
          <w:tcPr>
            <w:tcW w:type="dxa" w:w="1800"/>
            <w:vAlign w:val="center"/>
            <w:shd w:fill="F2F4F7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8"/>
              </w:rPr>
              <w:t>收入线</w:t>
            </w:r>
          </w:p>
        </w:tc>
        <w:tc>
          <w:tcPr>
            <w:tcW w:type="dxa" w:w="4200"/>
            <w:vAlign w:val="center"/>
            <w:shd w:fill="F2F4F7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8"/>
              </w:rPr>
              <w:t>产品</w:t>
            </w:r>
          </w:p>
        </w:tc>
        <w:tc>
          <w:tcPr>
            <w:tcW w:type="dxa" w:w="3360"/>
            <w:vAlign w:val="center"/>
            <w:shd w:fill="F2F4F7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8"/>
              </w:rPr>
              <w:t>判断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赞助与联盟</w:t>
            </w:r>
          </w:p>
        </w:tc>
        <w:tc>
          <w:tcPr>
            <w:tcW w:type="dxa" w:w="42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供应商、API、云环境、开发工具</w:t>
            </w:r>
          </w:p>
        </w:tc>
        <w:tc>
          <w:tcPr>
            <w:tcW w:type="dxa" w:w="33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可成为免费版主收入；依赖活跃规模和高意图流量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Pro 订阅</w:t>
            </w:r>
          </w:p>
        </w:tc>
        <w:tc>
          <w:tcPr>
            <w:tcW w:type="dxa" w:w="42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高级工作流、无限历史、自动化、跨设备备份、专业报表</w:t>
            </w:r>
          </w:p>
        </w:tc>
        <w:tc>
          <w:tcPr>
            <w:tcW w:type="dxa" w:w="33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降低广告依赖，服务重度用户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Team 订阅</w:t>
            </w:r>
          </w:p>
        </w:tc>
        <w:tc>
          <w:tcPr>
            <w:tcW w:type="dxa" w:w="42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共享项目、权限、预算、审计、团队记忆</w:t>
            </w:r>
          </w:p>
        </w:tc>
        <w:tc>
          <w:tcPr>
            <w:tcW w:type="dxa" w:w="33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高客单价，需更晚进入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市场分成</w:t>
            </w:r>
          </w:p>
        </w:tc>
        <w:tc>
          <w:tcPr>
            <w:tcW w:type="dxa" w:w="42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付费工作流、角色包、主题、适配器</w:t>
            </w:r>
          </w:p>
        </w:tc>
        <w:tc>
          <w:tcPr>
            <w:tcW w:type="dxa" w:w="33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生态形成后有复利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品牌联名</w:t>
            </w:r>
          </w:p>
        </w:tc>
        <w:tc>
          <w:tcPr>
            <w:tcW w:type="dxa" w:w="42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3D 主题、虚拟办公室、活动场景</w:t>
            </w:r>
          </w:p>
        </w:tc>
        <w:tc>
          <w:tcPr>
            <w:tcW w:type="dxa" w:w="33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传播性高但不稳定</w:t>
            </w:r>
          </w:p>
        </w:tc>
      </w:tr>
    </w:tbl>
    <w:p>
      <w:pPr>
        <w:spacing w:after="40"/>
      </w:pPr>
    </w:p>
    <w:p>
      <w:pPr>
        <w:pStyle w:val="Callout"/>
        <w:shd w:fill="FFF6DF"/>
      </w:pPr>
      <w:r>
        <w:rPr>
          <w:rFonts w:ascii="Arial Unicode MS" w:hAnsi="Arial Unicode MS" w:eastAsia="Arial Unicode MS"/>
          <w:b/>
          <w:i w:val="0"/>
          <w:color w:val="102A43"/>
          <w:sz w:val="22"/>
        </w:rPr>
        <w:t xml:space="preserve">商业建议  </w:t>
      </w:r>
      <w:r>
        <w:rPr>
          <w:rFonts w:ascii="Arial Unicode MS" w:hAnsi="Arial Unicode MS" w:eastAsia="Arial Unicode MS"/>
          <w:b w:val="0"/>
          <w:i w:val="0"/>
          <w:color w:val="172B4D"/>
          <w:sz w:val="22"/>
        </w:rPr>
        <w:t>可以把赞助/联盟设为免费版的第一收入来源，但不建议在公司层面承诺“最终只靠广告”。更稳妥的目标是：免费用户由赞助补贴，重度用户用 Pro 付费，团队和市场分成提供上限。</w:t>
      </w:r>
    </w:p>
    <w:p>
      <w:pPr>
        <w:pStyle w:val="Heading2"/>
      </w:pPr>
      <w:r>
        <w:t>12.4 商业信任公约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所有商业内容必须标注“赞助/合作/联盟链接”，并提供为什么出现。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付费不得改变默认 Agent、模型路由、权限策略或安全提示。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用户可以关闭个性化推荐；关闭后仍可使用完整核心功能。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不向赞助商发送任务内容、项目元数据、文件名或密钥。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供应商卡应同时显示稳定性、隐私、协议兼容和用户评价，不只显示价格。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合作收入和排序原则至少按季度公开一次，形成开源项目级透明度。</w:t>
      </w:r>
    </w:p>
    <w:p>
      <w:pPr>
        <w:pStyle w:val="Heading1"/>
      </w:pPr>
      <w:r>
        <w:t>13. 开源策略、品牌与增长飞轮</w:t>
      </w:r>
    </w:p>
    <w:p>
      <w:pPr>
        <w:pStyle w:val="Heading2"/>
      </w:pPr>
      <w:r>
        <w:t>13.1 为什么建议 open-core</w:t>
      </w:r>
    </w:p>
    <w:p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本地控制中心会接触敏感权限和凭据，开源能降低信任门槛，也能让社区贡献适配器。完全闭源会让“读取其他工具配置、启动本地进程、显示供应商广告”显得尤其可疑。另一方面，完全 MIT 且所有云和市场能力都开源，可能增加被快速复制的风险。建议采用 open-core：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开源：本地控制平面核心、适配器 SDK、事件模型、权限清单格式、基础 2D/3D 客户端。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可选云服务：账号同步、托管市场、团队协作、商业归因、远程通知。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付费内容：高级场景、团队治理、云历史、企业策略和经过认证的商业适配器。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许可证：先由法律与社区目标决定。若担心闭源托管分叉，可评估 AGPL；若更看重生态采用，Apache-2.0/MIT 更顺畅。</w:t>
      </w:r>
    </w:p>
    <w:p>
      <w:pPr>
        <w:pStyle w:val="Heading2"/>
      </w:pPr>
      <w:r>
        <w:t>13.2 品牌叙事</w:t>
      </w:r>
    </w:p>
    <w:p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不要把品牌叙事写成“我做了一个更酷的 Agent”。更有力的叙事是：“你已经雇了很多聪明工具，但没人替你排班、开会、交接和记住项目。kruon 给你的 AI 工具一间共同工作的办公室。”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vAlign w:val="center"/>
            <w:shd w:fill="EAF2F8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9"/>
              </w:rPr>
              <w:t>层面</w:t>
            </w:r>
          </w:p>
        </w:tc>
        <w:tc>
          <w:tcPr>
            <w:tcW w:type="dxa" w:w="7260"/>
            <w:vAlign w:val="center"/>
            <w:shd w:fill="EAF2F8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9"/>
              </w:rPr>
              <w:t>建议表达</w:t>
            </w:r>
          </w:p>
        </w:tc>
      </w:tr>
      <w:tr>
        <w:trPr/>
        <w:tc>
          <w:tcPr>
            <w:tcW w:type="dxa" w:w="21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功能定位</w:t>
            </w:r>
          </w:p>
        </w:tc>
        <w:tc>
          <w:tcPr>
            <w:tcW w:type="dxa" w:w="72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Local AI Command Center</w:t>
            </w:r>
          </w:p>
        </w:tc>
      </w:tr>
      <w:tr>
        <w:trPr/>
        <w:tc>
          <w:tcPr>
            <w:tcW w:type="dxa" w:w="21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情绪定位</w:t>
            </w:r>
          </w:p>
        </w:tc>
        <w:tc>
          <w:tcPr>
            <w:tcW w:type="dxa" w:w="72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管理自己的数字团队，而不是被多个聊天窗口管理</w:t>
            </w:r>
          </w:p>
        </w:tc>
      </w:tr>
      <w:tr>
        <w:trPr/>
        <w:tc>
          <w:tcPr>
            <w:tcW w:type="dxa" w:w="21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视觉符号</w:t>
            </w:r>
          </w:p>
        </w:tc>
        <w:tc>
          <w:tcPr>
            <w:tcW w:type="dxa" w:w="72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有生命的办公室、房间、角色和可见产物</w:t>
            </w:r>
          </w:p>
        </w:tc>
      </w:tr>
      <w:tr>
        <w:trPr/>
        <w:tc>
          <w:tcPr>
            <w:tcW w:type="dxa" w:w="21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信任承诺</w:t>
            </w:r>
          </w:p>
        </w:tc>
        <w:tc>
          <w:tcPr>
            <w:tcW w:type="dxa" w:w="72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本地优先、权限可见、商业推荐不影响执行</w:t>
            </w:r>
          </w:p>
        </w:tc>
      </w:tr>
      <w:tr>
        <w:trPr/>
        <w:tc>
          <w:tcPr>
            <w:tcW w:type="dxa" w:w="21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社区口号</w:t>
            </w:r>
          </w:p>
        </w:tc>
        <w:tc>
          <w:tcPr>
            <w:tcW w:type="dxa" w:w="72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Bring your own agents. Build your own team.</w:t>
            </w:r>
          </w:p>
        </w:tc>
      </w:tr>
    </w:tbl>
    <w:p>
      <w:pPr>
        <w:spacing w:after="40"/>
      </w:pPr>
    </w:p>
    <w:p>
      <w:pPr>
        <w:pStyle w:val="Heading2"/>
      </w:pPr>
      <w:r>
        <w:t>13.3 增长飞轮</w:t>
      </w:r>
    </w:p>
    <w:p>
      <w:pPr>
        <w:numPr>
          <w:ilvl w:val="0"/>
          <w:numId w:val="16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用户因跨工具控制与 3D 视觉进入产品。</w:t>
      </w:r>
    </w:p>
    <w:p>
      <w:pPr>
        <w:numPr>
          <w:ilvl w:val="0"/>
          <w:numId w:val="16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真实项目产生可分享的工作回顾和世界截图。</w:t>
      </w:r>
    </w:p>
    <w:p>
      <w:pPr>
        <w:numPr>
          <w:ilvl w:val="0"/>
          <w:numId w:val="16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内容带来更多重度 AI 用户安装。</w:t>
      </w:r>
    </w:p>
    <w:p>
      <w:pPr>
        <w:numPr>
          <w:ilvl w:val="0"/>
          <w:numId w:val="16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更多安装吸引适配器作者、场景作者和供应商合作。</w:t>
      </w:r>
    </w:p>
    <w:p>
      <w:pPr>
        <w:numPr>
          <w:ilvl w:val="0"/>
          <w:numId w:val="16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更丰富的生态提高连接成功率和工作流覆盖。</w:t>
      </w:r>
    </w:p>
    <w:p>
      <w:pPr>
        <w:numPr>
          <w:ilvl w:val="0"/>
          <w:numId w:val="16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更高活跃又增加赞助价值与社区贡献。</w:t>
      </w:r>
    </w:p>
    <w:p>
      <w:pPr>
        <w:pStyle w:val="Heading2"/>
      </w:pPr>
      <w:r>
        <w:t>13.4 首发内容策略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一条 60 秒视频：把同一个真实项目分别交给 Codex、Claude Code 和 OpenClaw，展示办公室状态与最终产物。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一篇技术文章：为什么 MCP 不等于 Agent 编排，以及 kruon 如何用 ACP/CLI 适配器分层。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一个开源适配器挑战：社区提交新工具适配器，公开兼容测试和权限清单。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一组“数字团队配置”模板：独立开发者、研究团队、内容工作室、开源维护者。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一个透明成本看板：展示多工具运行的时间、token/额度和失败率，建立专业可信度。</w:t>
      </w:r>
    </w:p>
    <w:p>
      <w:pPr>
        <w:pStyle w:val="Heading1"/>
      </w:pPr>
      <w:r>
        <w:t>14. 指标体系与单位经济模型</w:t>
      </w:r>
    </w:p>
    <w:p>
      <w:pPr>
        <w:pStyle w:val="Heading2"/>
      </w:pPr>
      <w:r>
        <w:t>14.1 北极星指标</w:t>
      </w:r>
    </w:p>
    <w:p>
      <w:pPr>
        <w:pStyle w:val="Callout"/>
        <w:shd w:fill="EAF7F0"/>
      </w:pPr>
      <w:r>
        <w:rPr>
          <w:rFonts w:ascii="Arial Unicode MS" w:hAnsi="Arial Unicode MS" w:eastAsia="Arial Unicode MS"/>
          <w:b/>
          <w:i w:val="0"/>
          <w:color w:val="102A43"/>
          <w:sz w:val="22"/>
        </w:rPr>
        <w:t xml:space="preserve">建议北极星  </w:t>
      </w:r>
      <w:r>
        <w:rPr>
          <w:rFonts w:ascii="Arial Unicode MS" w:hAnsi="Arial Unicode MS" w:eastAsia="Arial Unicode MS"/>
          <w:b w:val="0"/>
          <w:i w:val="0"/>
          <w:color w:val="172B4D"/>
          <w:sz w:val="22"/>
        </w:rPr>
        <w:t>每周通过 kruon 完成并被用户验收的跨工具任务数（Accepted Cross-tool Tasks / WAU）。它同时要求连接、执行、观察、产物和验收成立，比打开次数或 Agent 在线时长更有意义。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450"/>
        <w:gridCol w:w="4400"/>
        <w:gridCol w:w="3510"/>
      </w:tblGrid>
      <w:tr>
        <w:trPr>
          <w:tblHeader w:val="true"/>
        </w:trPr>
        <w:tc>
          <w:tcPr>
            <w:tcW w:type="dxa" w:w="1450"/>
            <w:vAlign w:val="center"/>
            <w:shd w:fill="F2F4F7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8"/>
              </w:rPr>
              <w:t>层级</w:t>
            </w:r>
          </w:p>
        </w:tc>
        <w:tc>
          <w:tcPr>
            <w:tcW w:type="dxa" w:w="4400"/>
            <w:vAlign w:val="center"/>
            <w:shd w:fill="F2F4F7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8"/>
              </w:rPr>
              <w:t>指标</w:t>
            </w:r>
          </w:p>
        </w:tc>
        <w:tc>
          <w:tcPr>
            <w:tcW w:type="dxa" w:w="3510"/>
            <w:vAlign w:val="center"/>
            <w:shd w:fill="F2F4F7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8"/>
              </w:rPr>
              <w:t>意义</w:t>
            </w:r>
          </w:p>
        </w:tc>
      </w:tr>
      <w:tr>
        <w:trPr/>
        <w:tc>
          <w:tcPr>
            <w:tcW w:type="dxa" w:w="145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激活</w:t>
            </w:r>
          </w:p>
        </w:tc>
        <w:tc>
          <w:tcPr>
            <w:tcW w:type="dxa" w:w="44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24 小时内连接 ≥2 个工具并完成首个任务</w:t>
            </w:r>
          </w:p>
        </w:tc>
        <w:tc>
          <w:tcPr>
            <w:tcW w:type="dxa" w:w="351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首日价值是否成立</w:t>
            </w:r>
          </w:p>
        </w:tc>
      </w:tr>
      <w:tr>
        <w:trPr/>
        <w:tc>
          <w:tcPr>
            <w:tcW w:type="dxa" w:w="145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核心使用</w:t>
            </w:r>
          </w:p>
        </w:tc>
        <w:tc>
          <w:tcPr>
            <w:tcW w:type="dxa" w:w="44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每周已验收任务数、跨工具任务占比</w:t>
            </w:r>
          </w:p>
        </w:tc>
        <w:tc>
          <w:tcPr>
            <w:tcW w:type="dxa" w:w="351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控制中心是否真的被使用</w:t>
            </w:r>
          </w:p>
        </w:tc>
      </w:tr>
      <w:tr>
        <w:trPr/>
        <w:tc>
          <w:tcPr>
            <w:tcW w:type="dxa" w:w="145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可靠性</w:t>
            </w:r>
          </w:p>
        </w:tc>
        <w:tc>
          <w:tcPr>
            <w:tcW w:type="dxa" w:w="44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启动成功率、事件完整率、取消成功率、崩溃率</w:t>
            </w:r>
          </w:p>
        </w:tc>
        <w:tc>
          <w:tcPr>
            <w:tcW w:type="dxa" w:w="351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适配器质量</w:t>
            </w:r>
          </w:p>
        </w:tc>
      </w:tr>
      <w:tr>
        <w:trPr/>
        <w:tc>
          <w:tcPr>
            <w:tcW w:type="dxa" w:w="145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效率</w:t>
            </w:r>
          </w:p>
        </w:tc>
        <w:tc>
          <w:tcPr>
            <w:tcW w:type="dxa" w:w="44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用户介入次数、平均等待审批时间、复用记忆节省时间</w:t>
            </w:r>
          </w:p>
        </w:tc>
        <w:tc>
          <w:tcPr>
            <w:tcW w:type="dxa" w:w="351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是否减少管理负担</w:t>
            </w:r>
          </w:p>
        </w:tc>
      </w:tr>
      <w:tr>
        <w:trPr/>
        <w:tc>
          <w:tcPr>
            <w:tcW w:type="dxa" w:w="145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留存</w:t>
            </w:r>
          </w:p>
        </w:tc>
        <w:tc>
          <w:tcPr>
            <w:tcW w:type="dxa" w:w="44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D7/W4 留存、每周活跃项目数</w:t>
            </w:r>
          </w:p>
        </w:tc>
        <w:tc>
          <w:tcPr>
            <w:tcW w:type="dxa" w:w="351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是否成为工作入口</w:t>
            </w:r>
          </w:p>
        </w:tc>
      </w:tr>
      <w:tr>
        <w:trPr/>
        <w:tc>
          <w:tcPr>
            <w:tcW w:type="dxa" w:w="145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传播</w:t>
            </w:r>
          </w:p>
        </w:tc>
        <w:tc>
          <w:tcPr>
            <w:tcW w:type="dxa" w:w="44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分享回顾生成率、分享后安装转化</w:t>
            </w:r>
          </w:p>
        </w:tc>
        <w:tc>
          <w:tcPr>
            <w:tcW w:type="dxa" w:w="351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3D 是否带来增长</w:t>
            </w:r>
          </w:p>
        </w:tc>
      </w:tr>
      <w:tr>
        <w:trPr/>
        <w:tc>
          <w:tcPr>
            <w:tcW w:type="dxa" w:w="145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商业</w:t>
            </w:r>
          </w:p>
        </w:tc>
        <w:tc>
          <w:tcPr>
            <w:tcW w:type="dxa" w:w="44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赞助卡 CTR、注册/充值归因、每千活跃用户收入</w:t>
            </w:r>
          </w:p>
        </w:tc>
        <w:tc>
          <w:tcPr>
            <w:tcW w:type="dxa" w:w="351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广告模型能否成立</w:t>
            </w:r>
          </w:p>
        </w:tc>
      </w:tr>
      <w:tr>
        <w:trPr/>
        <w:tc>
          <w:tcPr>
            <w:tcW w:type="dxa" w:w="145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信任</w:t>
            </w:r>
          </w:p>
        </w:tc>
        <w:tc>
          <w:tcPr>
            <w:tcW w:type="dxa" w:w="44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隐私设置关闭率、权限拒绝率、误导投诉、安全事件</w:t>
            </w:r>
          </w:p>
        </w:tc>
        <w:tc>
          <w:tcPr>
            <w:tcW w:type="dxa" w:w="351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是否透支品牌</w:t>
            </w:r>
          </w:p>
        </w:tc>
      </w:tr>
    </w:tbl>
    <w:p>
      <w:pPr>
        <w:spacing w:after="40"/>
      </w:pPr>
    </w:p>
    <w:p>
      <w:pPr>
        <w:pStyle w:val="Heading2"/>
      </w:pPr>
      <w:r>
        <w:t>14.2 早期单位经济不应只看 DAU</w:t>
      </w:r>
    </w:p>
    <w:p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广告主更关心“高意图动作”而不是日常停留：新增供应商、额度告警、模型迁移、适配器安装、团队扩容。早期应记录每 1000 名月活用户产生多少次这些动作，并分别估算赞助价值。若用户只把产品当漂亮监控屏，赞助转化可能很低；若它参与配置、路由和成本决策，商业价值会更高。</w:t>
      </w:r>
    </w:p>
    <w:p>
      <w:pPr>
        <w:pStyle w:val="Heading2"/>
      </w:pPr>
      <w:r>
        <w:t>14.3 建议的早期目标（不是承诺）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vAlign w:val="center"/>
            <w:shd w:fill="FFF6DF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8"/>
              </w:rPr>
              <w:t>维度</w:t>
            </w:r>
          </w:p>
        </w:tc>
        <w:tc>
          <w:tcPr>
            <w:tcW w:type="dxa" w:w="7460"/>
            <w:vAlign w:val="center"/>
            <w:shd w:fill="FFF6DF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8"/>
              </w:rPr>
              <w:t>验证阈值</w:t>
            </w:r>
          </w:p>
        </w:tc>
      </w:tr>
      <w:tr>
        <w:trPr/>
        <w:tc>
          <w:tcPr>
            <w:tcW w:type="dxa" w:w="19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连接</w:t>
            </w:r>
          </w:p>
        </w:tc>
        <w:tc>
          <w:tcPr>
            <w:tcW w:type="dxa" w:w="74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受访重度用户中 70% 能在 15 分钟连接两个工具</w:t>
            </w:r>
          </w:p>
        </w:tc>
      </w:tr>
      <w:tr>
        <w:trPr/>
        <w:tc>
          <w:tcPr>
            <w:tcW w:type="dxa" w:w="19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任务</w:t>
            </w:r>
          </w:p>
        </w:tc>
        <w:tc>
          <w:tcPr>
            <w:tcW w:type="dxa" w:w="74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Alpha 用户首周中位数完成 ≥3 个可验收任务</w:t>
            </w:r>
          </w:p>
        </w:tc>
      </w:tr>
      <w:tr>
        <w:trPr/>
        <w:tc>
          <w:tcPr>
            <w:tcW w:type="dxa" w:w="19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可靠性</w:t>
            </w:r>
          </w:p>
        </w:tc>
        <w:tc>
          <w:tcPr>
            <w:tcW w:type="dxa" w:w="74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两款深适配器任务启动成功率 ≥95%，状态终态一致率 ≥99%</w:t>
            </w:r>
          </w:p>
        </w:tc>
      </w:tr>
      <w:tr>
        <w:trPr/>
        <w:tc>
          <w:tcPr>
            <w:tcW w:type="dxa" w:w="19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留存</w:t>
            </w:r>
          </w:p>
        </w:tc>
        <w:tc>
          <w:tcPr>
            <w:tcW w:type="dxa" w:w="74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邀请制 Alpha 的第 4 周留存 ≥35%</w:t>
            </w:r>
          </w:p>
        </w:tc>
      </w:tr>
      <w:tr>
        <w:trPr/>
        <w:tc>
          <w:tcPr>
            <w:tcW w:type="dxa" w:w="19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3D 价值</w:t>
            </w:r>
          </w:p>
        </w:tc>
        <w:tc>
          <w:tcPr>
            <w:tcW w:type="dxa" w:w="74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至少 30% 活跃用户每周主动打开世界视图，且不是被默认强制</w:t>
            </w:r>
          </w:p>
        </w:tc>
      </w:tr>
      <w:tr>
        <w:trPr/>
        <w:tc>
          <w:tcPr>
            <w:tcW w:type="dxa" w:w="19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商业</w:t>
            </w:r>
          </w:p>
        </w:tc>
        <w:tc>
          <w:tcPr>
            <w:tcW w:type="dxa" w:w="74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赞助位点击后注册可归因；商业内容投诉率接近零</w:t>
            </w:r>
          </w:p>
        </w:tc>
      </w:tr>
    </w:tbl>
    <w:p>
      <w:pPr>
        <w:spacing w:after="40"/>
      </w:pPr>
    </w:p>
    <w:p>
      <w:pPr>
        <w:pStyle w:val="Heading1"/>
      </w:pPr>
      <w:r>
        <w:t>15. 路线图、团队配置与工程量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000"/>
        <w:gridCol w:w="1300"/>
        <w:gridCol w:w="3800"/>
        <w:gridCol w:w="2260"/>
      </w:tblGrid>
      <w:tr>
        <w:trPr>
          <w:tblHeader w:val="true"/>
        </w:trPr>
        <w:tc>
          <w:tcPr>
            <w:tcW w:type="dxa" w:w="2000"/>
            <w:vAlign w:val="center"/>
            <w:shd w:fill="EAF2F8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7"/>
              </w:rPr>
              <w:t>阶段</w:t>
            </w:r>
          </w:p>
        </w:tc>
        <w:tc>
          <w:tcPr>
            <w:tcW w:type="dxa" w:w="1300"/>
            <w:vAlign w:val="center"/>
            <w:shd w:fill="EAF2F8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7"/>
              </w:rPr>
              <w:t>时间</w:t>
            </w:r>
          </w:p>
        </w:tc>
        <w:tc>
          <w:tcPr>
            <w:tcW w:type="dxa" w:w="3800"/>
            <w:vAlign w:val="center"/>
            <w:shd w:fill="EAF2F8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7"/>
              </w:rPr>
              <w:t>主要产出</w:t>
            </w:r>
          </w:p>
        </w:tc>
        <w:tc>
          <w:tcPr>
            <w:tcW w:type="dxa" w:w="2260"/>
            <w:vAlign w:val="center"/>
            <w:shd w:fill="EAF2F8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7"/>
              </w:rPr>
              <w:t>退出标准</w:t>
            </w:r>
          </w:p>
        </w:tc>
      </w:tr>
      <w:tr>
        <w:trPr/>
        <w:tc>
          <w:tcPr>
            <w:tcW w:type="dxa" w:w="20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阶段 0：问题验证</w:t>
            </w:r>
          </w:p>
        </w:tc>
        <w:tc>
          <w:tcPr>
            <w:tcW w:type="dxa" w:w="13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第 1-2 周</w:t>
            </w:r>
          </w:p>
        </w:tc>
        <w:tc>
          <w:tcPr>
            <w:tcW w:type="dxa" w:w="38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15-20 次访谈、现有工作流录屏、竞品深测、适配可行性 spike</w:t>
            </w:r>
          </w:p>
        </w:tc>
        <w:tc>
          <w:tcPr>
            <w:tcW w:type="dxa" w:w="22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确认首发用户和 2 个深适配器</w:t>
            </w:r>
          </w:p>
        </w:tc>
      </w:tr>
      <w:tr>
        <w:trPr/>
        <w:tc>
          <w:tcPr>
            <w:tcW w:type="dxa" w:w="20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阶段 1：控制平面原型</w:t>
            </w:r>
          </w:p>
        </w:tc>
        <w:tc>
          <w:tcPr>
            <w:tcW w:type="dxa" w:w="13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第 3-6 周</w:t>
            </w:r>
          </w:p>
        </w:tc>
        <w:tc>
          <w:tcPr>
            <w:tcW w:type="dxa" w:w="38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项目/任务/运行模型、2D 控制台、Codex/Claude Code、事件流、取消</w:t>
            </w:r>
          </w:p>
        </w:tc>
        <w:tc>
          <w:tcPr>
            <w:tcW w:type="dxa" w:w="22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完成真实双工具任务</w:t>
            </w:r>
          </w:p>
        </w:tc>
      </w:tr>
      <w:tr>
        <w:trPr/>
        <w:tc>
          <w:tcPr>
            <w:tcW w:type="dxa" w:w="20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阶段 2：可视化 Alpha</w:t>
            </w:r>
          </w:p>
        </w:tc>
        <w:tc>
          <w:tcPr>
            <w:tcW w:type="dxa" w:w="13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第 7-10 周</w:t>
            </w:r>
          </w:p>
        </w:tc>
        <w:tc>
          <w:tcPr>
            <w:tcW w:type="dxa" w:w="38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最小 3D 世界、权限中心、产物归档、项目记忆提案</w:t>
            </w:r>
          </w:p>
        </w:tc>
        <w:tc>
          <w:tcPr>
            <w:tcW w:type="dxa" w:w="22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20-50 名邀请用户</w:t>
            </w:r>
          </w:p>
        </w:tc>
      </w:tr>
      <w:tr>
        <w:trPr/>
        <w:tc>
          <w:tcPr>
            <w:tcW w:type="dxa" w:w="20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阶段 3：协作 Beta</w:t>
            </w:r>
          </w:p>
        </w:tc>
        <w:tc>
          <w:tcPr>
            <w:tcW w:type="dxa" w:w="13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第 11-16 周</w:t>
            </w:r>
          </w:p>
        </w:tc>
        <w:tc>
          <w:tcPr>
            <w:tcW w:type="dxa" w:w="38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脑暴协议、工作流模板、OpenClaw/Hermes、用量/成本、分享回顾</w:t>
            </w:r>
          </w:p>
        </w:tc>
        <w:tc>
          <w:tcPr>
            <w:tcW w:type="dxa" w:w="22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证明 W4 留存和传播</w:t>
            </w:r>
          </w:p>
        </w:tc>
      </w:tr>
      <w:tr>
        <w:trPr/>
        <w:tc>
          <w:tcPr>
            <w:tcW w:type="dxa" w:w="20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阶段 4：生态商业</w:t>
            </w:r>
          </w:p>
        </w:tc>
        <w:tc>
          <w:tcPr>
            <w:tcW w:type="dxa" w:w="13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第 5-9 月</w:t>
            </w:r>
          </w:p>
        </w:tc>
        <w:tc>
          <w:tcPr>
            <w:tcW w:type="dxa" w:w="38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适配器 SDK、市场、签名/审核、赞助卡、Pro、Windows</w:t>
            </w:r>
          </w:p>
        </w:tc>
        <w:tc>
          <w:tcPr>
            <w:tcW w:type="dxa" w:w="22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收入与生态同时验证</w:t>
            </w:r>
          </w:p>
        </w:tc>
      </w:tr>
      <w:tr>
        <w:trPr/>
        <w:tc>
          <w:tcPr>
            <w:tcW w:type="dxa" w:w="20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阶段 5：团队版</w:t>
            </w:r>
          </w:p>
        </w:tc>
        <w:tc>
          <w:tcPr>
            <w:tcW w:type="dxa" w:w="13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第 9-15 月</w:t>
            </w:r>
          </w:p>
        </w:tc>
        <w:tc>
          <w:tcPr>
            <w:tcW w:type="dxa" w:w="38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多用户、共享项目、预算、审计、远程 Agent</w:t>
            </w:r>
          </w:p>
        </w:tc>
        <w:tc>
          <w:tcPr>
            <w:tcW w:type="dxa" w:w="22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只在个人产品稳定后进入</w:t>
            </w:r>
          </w:p>
        </w:tc>
      </w:tr>
    </w:tbl>
    <w:p>
      <w:pPr>
        <w:spacing w:after="40"/>
      </w:pPr>
    </w:p>
    <w:p>
      <w:pPr>
        <w:pStyle w:val="Heading2"/>
      </w:pPr>
      <w:r>
        <w:t>15.1 团队配置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600"/>
        <w:gridCol w:w="4800"/>
        <w:gridCol w:w="1960"/>
      </w:tblGrid>
      <w:tr>
        <w:trPr>
          <w:tblHeader w:val="true"/>
        </w:trPr>
        <w:tc>
          <w:tcPr>
            <w:tcW w:type="dxa" w:w="2600"/>
            <w:vAlign w:val="center"/>
            <w:shd w:fill="F2F4F7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8"/>
              </w:rPr>
              <w:t>角色</w:t>
            </w:r>
          </w:p>
        </w:tc>
        <w:tc>
          <w:tcPr>
            <w:tcW w:type="dxa" w:w="4800"/>
            <w:vAlign w:val="center"/>
            <w:shd w:fill="F2F4F7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8"/>
              </w:rPr>
              <w:t>主要职责</w:t>
            </w:r>
          </w:p>
        </w:tc>
        <w:tc>
          <w:tcPr>
            <w:tcW w:type="dxa" w:w="1960"/>
            <w:vAlign w:val="center"/>
            <w:shd w:fill="F2F4F7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8"/>
              </w:rPr>
              <w:t>时机</w:t>
            </w:r>
          </w:p>
        </w:tc>
      </w:tr>
      <w:tr>
        <w:trPr/>
        <w:tc>
          <w:tcPr>
            <w:tcW w:type="dxa" w:w="26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1 名产品型全栈/客户端工程师</w:t>
            </w:r>
          </w:p>
        </w:tc>
        <w:tc>
          <w:tcPr>
            <w:tcW w:type="dxa" w:w="48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控制平面、Tauri/Electron、React、SQLite、打包更新</w:t>
            </w:r>
          </w:p>
        </w:tc>
        <w:tc>
          <w:tcPr>
            <w:tcW w:type="dxa" w:w="19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核心全程</w:t>
            </w:r>
          </w:p>
        </w:tc>
      </w:tr>
      <w:tr>
        <w:trPr/>
        <w:tc>
          <w:tcPr>
            <w:tcW w:type="dxa" w:w="26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1 名系统/适配工程师</w:t>
            </w:r>
          </w:p>
        </w:tc>
        <w:tc>
          <w:tcPr>
            <w:tcW w:type="dxa" w:w="48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PTY、进程、协议、跨平台、权限与兼容测试</w:t>
            </w:r>
          </w:p>
        </w:tc>
        <w:tc>
          <w:tcPr>
            <w:tcW w:type="dxa" w:w="19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阶段 1 起强烈建议</w:t>
            </w:r>
          </w:p>
        </w:tc>
      </w:tr>
      <w:tr>
        <w:trPr/>
        <w:tc>
          <w:tcPr>
            <w:tcW w:type="dxa" w:w="26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0.5-1 名 3D/交互工程师</w:t>
            </w:r>
          </w:p>
        </w:tc>
        <w:tc>
          <w:tcPr>
            <w:tcW w:type="dxa" w:w="48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R3F、动画、性能、场景资产管线</w:t>
            </w:r>
          </w:p>
        </w:tc>
        <w:tc>
          <w:tcPr>
            <w:tcW w:type="dxa" w:w="19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阶段 2 起</w:t>
            </w:r>
          </w:p>
        </w:tc>
      </w:tr>
      <w:tr>
        <w:trPr/>
        <w:tc>
          <w:tcPr>
            <w:tcW w:type="dxa" w:w="26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产品/设计</w:t>
            </w:r>
          </w:p>
        </w:tc>
        <w:tc>
          <w:tcPr>
            <w:tcW w:type="dxa" w:w="48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用户研究、信息架构、权限 UX、品牌与增长素材</w:t>
            </w:r>
          </w:p>
        </w:tc>
        <w:tc>
          <w:tcPr>
            <w:tcW w:type="dxa" w:w="19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创始人可兼任但不能缺失</w:t>
            </w:r>
          </w:p>
        </w:tc>
      </w:tr>
      <w:tr>
        <w:trPr/>
        <w:tc>
          <w:tcPr>
            <w:tcW w:type="dxa" w:w="26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安全顾问/审计</w:t>
            </w:r>
          </w:p>
        </w:tc>
        <w:tc>
          <w:tcPr>
            <w:tcW w:type="dxa" w:w="48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威胁建模、插件/适配器沙箱、更新与签名</w:t>
            </w:r>
          </w:p>
        </w:tc>
        <w:tc>
          <w:tcPr>
            <w:tcW w:type="dxa" w:w="19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Alpha 前一次，市场开放前再一次</w:t>
            </w:r>
          </w:p>
        </w:tc>
      </w:tr>
    </w:tbl>
    <w:p>
      <w:pPr>
        <w:spacing w:after="40"/>
      </w:pPr>
    </w:p>
    <w:p>
      <w:pPr>
        <w:pStyle w:val="Heading2"/>
      </w:pPr>
      <w:r>
        <w:t>15.2 工程量判断</w:t>
      </w:r>
    </w:p>
    <w:p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若目标是 macOS 优先、两款深适配器、一个通用 CLI 层、基础权限和最小 3D，2 名强工程师可在 8-12 周做出可用 Alpha。若同时要求 Windows/Linux、6 个深适配器、完整记忆同步、插件市场、云团队协作和高质量 3D 场景，工程量会快速上升到 6-12 人月以上，并且后续兼容维护是持续成本。最大的长期成本不是首版 UI，而是外部工具更新导致的适配回归。</w:t>
      </w:r>
    </w:p>
    <w:p>
      <w:pPr>
        <w:pStyle w:val="Heading2"/>
      </w:pPr>
      <w:r>
        <w:t>15.3 兼容测试基础设施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每个适配器维护 fixture：成功、权限请求、工具调用、取消、超时、崩溃、乱码、长输出。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按工具版本建立兼容矩阵，启动时识别版本并给出能力降级，而不是静默失败。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录制脱敏事件流用于 UI/3D 回放测试，避免每次都真实消耗模型额度。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提供 adapter doctor：检查二进制、版本、登录态、工作目录、协议和最低权限。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发布前运行跨平台 smoke，核心终态和取消必须 fail-closed。</w:t>
      </w:r>
    </w:p>
    <w:p>
      <w:pPr>
        <w:pStyle w:val="Heading1"/>
      </w:pPr>
      <w:r>
        <w:t>16. 风险矩阵与应对方案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800"/>
        <w:gridCol w:w="1400"/>
        <w:gridCol w:w="2760"/>
        <w:gridCol w:w="3400"/>
      </w:tblGrid>
      <w:tr>
        <w:trPr>
          <w:tblHeader w:val="true"/>
        </w:trPr>
        <w:tc>
          <w:tcPr>
            <w:tcW w:type="dxa" w:w="1800"/>
            <w:vAlign w:val="center"/>
            <w:shd w:fill="FDECEC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7"/>
              </w:rPr>
              <w:t>风险</w:t>
            </w:r>
          </w:p>
        </w:tc>
        <w:tc>
          <w:tcPr>
            <w:tcW w:type="dxa" w:w="1400"/>
            <w:vAlign w:val="center"/>
            <w:shd w:fill="FDECEC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7"/>
              </w:rPr>
              <w:t>概率/影响</w:t>
            </w:r>
          </w:p>
        </w:tc>
        <w:tc>
          <w:tcPr>
            <w:tcW w:type="dxa" w:w="2760"/>
            <w:vAlign w:val="center"/>
            <w:shd w:fill="FDECEC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7"/>
              </w:rPr>
              <w:t>触发原因</w:t>
            </w:r>
          </w:p>
        </w:tc>
        <w:tc>
          <w:tcPr>
            <w:tcW w:type="dxa" w:w="3400"/>
            <w:vAlign w:val="center"/>
            <w:shd w:fill="FDECEC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7"/>
              </w:rPr>
              <w:t>缓解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适配器脆弱</w:t>
            </w:r>
          </w:p>
        </w:tc>
        <w:tc>
          <w:tcPr>
            <w:tcW w:type="dxa" w:w="14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高/高</w:t>
            </w:r>
          </w:p>
        </w:tc>
        <w:tc>
          <w:tcPr>
            <w:tcW w:type="dxa" w:w="27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外部 CLI 输出、配置和认证变化</w:t>
            </w:r>
          </w:p>
        </w:tc>
        <w:tc>
          <w:tcPr>
            <w:tcW w:type="dxa" w:w="34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协议优先、分级能力、兼容矩阵、快速发布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3D 成为噱头</w:t>
            </w:r>
          </w:p>
        </w:tc>
        <w:tc>
          <w:tcPr>
            <w:tcW w:type="dxa" w:w="14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高/中</w:t>
            </w:r>
          </w:p>
        </w:tc>
        <w:tc>
          <w:tcPr>
            <w:tcW w:type="dxa" w:w="27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漂亮但不减少工作负担</w:t>
            </w:r>
          </w:p>
        </w:tc>
        <w:tc>
          <w:tcPr>
            <w:tcW w:type="dxa" w:w="34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先做控制层；用世界视图使用率和留存验证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安全事故</w:t>
            </w:r>
          </w:p>
        </w:tc>
        <w:tc>
          <w:tcPr>
            <w:tcW w:type="dxa" w:w="14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中/极高</w:t>
            </w:r>
          </w:p>
        </w:tc>
        <w:tc>
          <w:tcPr>
            <w:tcW w:type="dxa" w:w="27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广权限、插件、提示注入、凭据</w:t>
            </w:r>
          </w:p>
        </w:tc>
        <w:tc>
          <w:tcPr>
            <w:tcW w:type="dxa" w:w="34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最小权限、审批、沙箱、签名、审计、红队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平台方吸收功能</w:t>
            </w:r>
          </w:p>
        </w:tc>
        <w:tc>
          <w:tcPr>
            <w:tcW w:type="dxa" w:w="14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高/高</w:t>
            </w:r>
          </w:p>
        </w:tc>
        <w:tc>
          <w:tcPr>
            <w:tcW w:type="dxa" w:w="27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Codex/Claude/WorkBuddy 增加多 Agent</w:t>
            </w:r>
          </w:p>
        </w:tc>
        <w:tc>
          <w:tcPr>
            <w:tcW w:type="dxa" w:w="34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坚持跨厂商中立与生态适配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共享记忆污染</w:t>
            </w:r>
          </w:p>
        </w:tc>
        <w:tc>
          <w:tcPr>
            <w:tcW w:type="dxa" w:w="14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中/高</w:t>
            </w:r>
          </w:p>
        </w:tc>
        <w:tc>
          <w:tcPr>
            <w:tcW w:type="dxa" w:w="27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错误/恶意信息持续传播</w:t>
            </w:r>
          </w:p>
        </w:tc>
        <w:tc>
          <w:tcPr>
            <w:tcW w:type="dxa" w:w="34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提案式写入、来源、隔离、过期和回滚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广告损害信任</w:t>
            </w:r>
          </w:p>
        </w:tc>
        <w:tc>
          <w:tcPr>
            <w:tcW w:type="dxa" w:w="14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中/高</w:t>
            </w:r>
          </w:p>
        </w:tc>
        <w:tc>
          <w:tcPr>
            <w:tcW w:type="dxa" w:w="27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推荐影响路由或收集工作内容</w:t>
            </w:r>
          </w:p>
        </w:tc>
        <w:tc>
          <w:tcPr>
            <w:tcW w:type="dxa" w:w="34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商业公约、明确标识、零内容上传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成本失控</w:t>
            </w:r>
          </w:p>
        </w:tc>
        <w:tc>
          <w:tcPr>
            <w:tcW w:type="dxa" w:w="14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中/中高</w:t>
            </w:r>
          </w:p>
        </w:tc>
        <w:tc>
          <w:tcPr>
            <w:tcW w:type="dxa" w:w="27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脑暴/心跳/循环消耗额度</w:t>
            </w:r>
          </w:p>
        </w:tc>
        <w:tc>
          <w:tcPr>
            <w:tcW w:type="dxa" w:w="34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预算硬上限、默认少 Agent、按事件唤醒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跨平台拖慢</w:t>
            </w:r>
          </w:p>
        </w:tc>
        <w:tc>
          <w:tcPr>
            <w:tcW w:type="dxa" w:w="14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高/中</w:t>
            </w:r>
          </w:p>
        </w:tc>
        <w:tc>
          <w:tcPr>
            <w:tcW w:type="dxa" w:w="27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PTY、WebView、权限、签名差异</w:t>
            </w:r>
          </w:p>
        </w:tc>
        <w:tc>
          <w:tcPr>
            <w:tcW w:type="dxa" w:w="34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macOS 先行；抽象进程层；延后 Linux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定位过宽</w:t>
            </w:r>
          </w:p>
        </w:tc>
        <w:tc>
          <w:tcPr>
            <w:tcW w:type="dxa" w:w="14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高/高</w:t>
            </w:r>
          </w:p>
        </w:tc>
        <w:tc>
          <w:tcPr>
            <w:tcW w:type="dxa" w:w="27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开发者、知识工作、团队同时服务</w:t>
            </w:r>
          </w:p>
        </w:tc>
        <w:tc>
          <w:tcPr>
            <w:tcW w:type="dxa" w:w="34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首发只服务 AI 重度个人开发者</w:t>
            </w:r>
          </w:p>
        </w:tc>
      </w:tr>
      <w:tr>
        <w:trPr/>
        <w:tc>
          <w:tcPr>
            <w:tcW w:type="dxa" w:w="18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开源分叉</w:t>
            </w:r>
          </w:p>
        </w:tc>
        <w:tc>
          <w:tcPr>
            <w:tcW w:type="dxa" w:w="14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低中/中</w:t>
            </w:r>
          </w:p>
        </w:tc>
        <w:tc>
          <w:tcPr>
            <w:tcW w:type="dxa" w:w="27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商业价值被复制</w:t>
            </w:r>
          </w:p>
        </w:tc>
        <w:tc>
          <w:tcPr>
            <w:tcW w:type="dxa" w:w="34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7"/>
              </w:rPr>
              <w:t>品牌、市场、签名服务、社区治理与云能力</w:t>
            </w:r>
          </w:p>
        </w:tc>
      </w:tr>
    </w:tbl>
    <w:p>
      <w:pPr>
        <w:spacing w:after="40"/>
      </w:pPr>
    </w:p>
    <w:p>
      <w:pPr>
        <w:pStyle w:val="Heading2"/>
      </w:pPr>
      <w:r>
        <w:t>16.1 最大的产品风险</w:t>
      </w:r>
    </w:p>
    <w:p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最大风险不是“做不出 3D”，而是控制中心没有足够高频、足够稳定的控制权：如果大多数工具只能被启动，无法可靠返回状态、权限、产物和取消，用户仍然要回到各自 App，kruon 就会退化为漂亮的启动器。最早的技术 spike 必须验证两款工具的完整运行闭环。</w:t>
      </w:r>
    </w:p>
    <w:p>
      <w:pPr>
        <w:pStyle w:val="Heading1"/>
      </w:pPr>
      <w:r>
        <w:t>17. 验证计划、Go/No-Go 标准与下一步</w:t>
      </w:r>
    </w:p>
    <w:p>
      <w:pPr>
        <w:pStyle w:val="Heading2"/>
      </w:pPr>
      <w:r>
        <w:t>17.1 四周验证计划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5200"/>
        <w:gridCol w:w="2660"/>
      </w:tblGrid>
      <w:tr>
        <w:trPr>
          <w:tblHeader w:val="true"/>
        </w:trPr>
        <w:tc>
          <w:tcPr>
            <w:tcW w:type="dxa" w:w="1500"/>
            <w:vAlign w:val="center"/>
            <w:shd w:fill="EAF2F8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8"/>
              </w:rPr>
              <w:t>时间</w:t>
            </w:r>
          </w:p>
        </w:tc>
        <w:tc>
          <w:tcPr>
            <w:tcW w:type="dxa" w:w="5200"/>
            <w:vAlign w:val="center"/>
            <w:shd w:fill="EAF2F8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8"/>
              </w:rPr>
              <w:t>行动</w:t>
            </w:r>
          </w:p>
        </w:tc>
        <w:tc>
          <w:tcPr>
            <w:tcW w:type="dxa" w:w="2660"/>
            <w:vAlign w:val="center"/>
            <w:shd w:fill="EAF2F8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8"/>
              </w:rPr>
              <w:t>输出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第 1 周</w:t>
            </w:r>
          </w:p>
        </w:tc>
        <w:tc>
          <w:tcPr>
            <w:tcW w:type="dxa" w:w="52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10-12 名重度用户访谈；要求现场展示一天内的工具切换和上下文搬运</w:t>
            </w:r>
          </w:p>
        </w:tc>
        <w:tc>
          <w:tcPr>
            <w:tcW w:type="dxa" w:w="26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痛点按频率和损失排序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第 2 周</w:t>
            </w:r>
          </w:p>
        </w:tc>
        <w:tc>
          <w:tcPr>
            <w:tcW w:type="dxa" w:w="52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Codex/Claude Code/OpenClaw 接口 spike；验证启动、流式事件、取消、权限和产物</w:t>
            </w:r>
          </w:p>
        </w:tc>
        <w:tc>
          <w:tcPr>
            <w:tcW w:type="dxa" w:w="26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适配器可行性矩阵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第 3 周</w:t>
            </w:r>
          </w:p>
        </w:tc>
        <w:tc>
          <w:tcPr>
            <w:tcW w:type="dxa" w:w="52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Figma/网页交互原型：2D 控制台 + 最小 3D；完成任务派发和审批测试</w:t>
            </w:r>
          </w:p>
        </w:tc>
        <w:tc>
          <w:tcPr>
            <w:tcW w:type="dxa" w:w="26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5-8 名用户可用性结果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第 4 周</w:t>
            </w:r>
          </w:p>
        </w:tc>
        <w:tc>
          <w:tcPr>
            <w:tcW w:type="dxa" w:w="52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Concierge 测试：后台可半人工，但用户真实用两个工具完成项目任务</w:t>
            </w:r>
          </w:p>
        </w:tc>
        <w:tc>
          <w:tcPr>
            <w:tcW w:type="dxa" w:w="26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节省时间、留存意愿、付费/分享意愿</w:t>
            </w:r>
          </w:p>
        </w:tc>
      </w:tr>
    </w:tbl>
    <w:p>
      <w:pPr>
        <w:spacing w:after="40"/>
      </w:pPr>
    </w:p>
    <w:p>
      <w:pPr>
        <w:pStyle w:val="Heading2"/>
      </w:pPr>
      <w:r>
        <w:t>17.2 必须得到答案的访谈问题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你过去一周同时用了哪些 Agent/CLI/订阅？在哪些任务上切换？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哪一次你最想知道 Agent 到底在做什么？你当时怎么判断是否卡住？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你重复给不同工具解释过哪些项目背景？哪些内容绝不愿意共享？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如果一个控制中心可以读取项目、启动命令和展示广告，你最担心什么？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群聊脑暴中，你更需要多样观点、事实核验、投票，还是任务自动拆分？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3D 视图在什么情况下会让你更想使用/分享？什么时候会妨碍工作？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你愿意为哪些能力付费？愿意接受哪类赞助？哪些推荐会让你卸载？</w:t>
      </w:r>
    </w:p>
    <w:p>
      <w:pPr>
        <w:pStyle w:val="Heading2"/>
      </w:pPr>
      <w:r>
        <w:t>17.3 Go/No-Go 标准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500"/>
        <w:gridCol w:w="7860"/>
      </w:tblGrid>
      <w:tr>
        <w:trPr>
          <w:tblHeader w:val="true"/>
        </w:trPr>
        <w:tc>
          <w:tcPr>
            <w:tcW w:type="dxa" w:w="1500"/>
            <w:vAlign w:val="center"/>
            <w:shd w:fill="FFF6DF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8"/>
              </w:rPr>
              <w:t>判断</w:t>
            </w:r>
          </w:p>
        </w:tc>
        <w:tc>
          <w:tcPr>
            <w:tcW w:type="dxa" w:w="7860"/>
            <w:vAlign w:val="center"/>
            <w:shd w:fill="FFF6DF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8"/>
              </w:rPr>
              <w:t>标准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GO</w:t>
            </w:r>
          </w:p>
        </w:tc>
        <w:tc>
          <w:tcPr>
            <w:tcW w:type="dxa" w:w="78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至少 8/12 名受访者每周使用 ≥2 个工具，且状态/上下文/权限至少一项是高频痛点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GO</w:t>
            </w:r>
          </w:p>
        </w:tc>
        <w:tc>
          <w:tcPr>
            <w:tcW w:type="dxa" w:w="78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两款首发工具可通过稳定接口完成启动、状态、终止和产物闭环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GO</w:t>
            </w:r>
          </w:p>
        </w:tc>
        <w:tc>
          <w:tcPr>
            <w:tcW w:type="dxa" w:w="78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Concierge 用户在第二周仍主动回来使用，而不是只称赞 3D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PIVOT</w:t>
            </w:r>
          </w:p>
        </w:tc>
        <w:tc>
          <w:tcPr>
            <w:tcW w:type="dxa" w:w="78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用户只需要配置切换和额度查看 → 更接近 CC Switch 增强版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PIVOT</w:t>
            </w:r>
          </w:p>
        </w:tc>
        <w:tc>
          <w:tcPr>
            <w:tcW w:type="dxa" w:w="78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用户主要需要单一 Agent 的桌面执行 → 更接近 WorkBuddy/QoderWork 类产品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NO-GO</w:t>
            </w:r>
          </w:p>
        </w:tc>
        <w:tc>
          <w:tcPr>
            <w:tcW w:type="dxa" w:w="78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深适配只能长期依赖不稳定 UI/终端解析，且用户不接受频繁回到原生工具</w:t>
            </w:r>
          </w:p>
        </w:tc>
      </w:tr>
      <w:tr>
        <w:trPr/>
        <w:tc>
          <w:tcPr>
            <w:tcW w:type="dxa" w:w="15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NO-GO</w:t>
            </w:r>
          </w:p>
        </w:tc>
        <w:tc>
          <w:tcPr>
            <w:tcW w:type="dxa" w:w="78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赞助需求要求收集工作内容或操纵默认路由，违背本地信任定位</w:t>
            </w:r>
          </w:p>
        </w:tc>
      </w:tr>
    </w:tbl>
    <w:p>
      <w:pPr>
        <w:spacing w:after="40"/>
      </w:pPr>
    </w:p>
    <w:p>
      <w:pPr>
        <w:pStyle w:val="Heading2"/>
      </w:pPr>
      <w:r>
        <w:t>17.4 建议立即执行的十项动作</w:t>
      </w:r>
    </w:p>
    <w:p>
      <w:pPr>
        <w:numPr>
          <w:ilvl w:val="0"/>
          <w:numId w:val="17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将首发用户锁定为“同时使用 2 个以上 AI 工具的个人开发者”，暂不扩大。</w:t>
      </w:r>
    </w:p>
    <w:p>
      <w:pPr>
        <w:numPr>
          <w:ilvl w:val="0"/>
          <w:numId w:val="17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拆解 Codex、Claude Code、OpenClaw、Hermes 的结构化控制接口和许可边界。</w:t>
      </w:r>
    </w:p>
    <w:p>
      <w:pPr>
        <w:numPr>
          <w:ilvl w:val="0"/>
          <w:numId w:val="17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定义 adapter capability manifest 与统一事件模型 v0.1。</w:t>
      </w:r>
    </w:p>
    <w:p>
      <w:pPr>
        <w:numPr>
          <w:ilvl w:val="0"/>
          <w:numId w:val="17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做一个无 3D 的双工具任务控制原型，先证明启动、状态、权限、取消、产物。</w:t>
      </w:r>
    </w:p>
    <w:p>
      <w:pPr>
        <w:numPr>
          <w:ilvl w:val="0"/>
          <w:numId w:val="17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再把同一事件流接入最小 3D 场景，验证视图层解耦。</w:t>
      </w:r>
    </w:p>
    <w:p>
      <w:pPr>
        <w:numPr>
          <w:ilvl w:val="0"/>
          <w:numId w:val="17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完成 12 次用户访谈和 3 次真实项目 concierge 测试。</w:t>
      </w:r>
    </w:p>
    <w:p>
      <w:pPr>
        <w:numPr>
          <w:ilvl w:val="0"/>
          <w:numId w:val="17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起草隐私承诺与商业推荐公约，把“不上传工作内容”写成产品要求。</w:t>
      </w:r>
    </w:p>
    <w:p>
      <w:pPr>
        <w:numPr>
          <w:ilvl w:val="0"/>
          <w:numId w:val="17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联系 3-5 家 API/模型/云服务商，只验证赞助意愿与计费方式，不先承诺流量。</w:t>
      </w:r>
    </w:p>
    <w:p>
      <w:pPr>
        <w:numPr>
          <w:ilvl w:val="0"/>
          <w:numId w:val="17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决定开源边界和许可证，至少保证本地控制核心可审计。</w:t>
      </w:r>
    </w:p>
    <w:p>
      <w:pPr>
        <w:numPr>
          <w:ilvl w:val="0"/>
          <w:numId w:val="17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在 6-8 周后按 Go/No-Go 指标决定是否投入完整 3D、美术资产和更多适配器。</w:t>
      </w:r>
    </w:p>
    <w:p>
      <w:pPr>
        <w:pStyle w:val="Heading1"/>
      </w:pPr>
      <w:r>
        <w:t>最终建议</w:t>
      </w:r>
    </w:p>
    <w:p>
      <w:pPr>
        <w:pStyle w:val="Callout"/>
        <w:shd w:fill="EAF7F0"/>
      </w:pPr>
      <w:r>
        <w:rPr>
          <w:rFonts w:ascii="Arial Unicode MS" w:hAnsi="Arial Unicode MS" w:eastAsia="Arial Unicode MS"/>
          <w:b/>
          <w:i w:val="0"/>
          <w:color w:val="102A43"/>
          <w:sz w:val="22"/>
        </w:rPr>
        <w:t xml:space="preserve">建议立项，但按“控制层优先、3D 放大、商业克制”的顺序推进。  </w:t>
      </w:r>
      <w:r>
        <w:rPr>
          <w:rFonts w:ascii="Arial Unicode MS" w:hAnsi="Arial Unicode MS" w:eastAsia="Arial Unicode MS"/>
          <w:b w:val="0"/>
          <w:i w:val="0"/>
          <w:color w:val="172B4D"/>
          <w:sz w:val="22"/>
        </w:rPr>
        <w:t>这个项目最有希望的形态不是一间只会播放动画的 AI 办公室，也不是另一个大而全 Agent，而是用户机器上的中立工作操作系统：它尊重每个工具的原生能力和订阅，把碎片化变成可运营的团队。若能先把两款工具的任务闭环做得稳定，再把真实状态变成具有生命感的 3D 世界，产品既有实用价值，也有非常强的品牌和传播潜力。</w:t>
      </w:r>
    </w:p>
    <w:p>
      <w:r>
        <w:br w:type="page"/>
      </w:r>
    </w:p>
    <w:p>
      <w:pPr>
        <w:pStyle w:val="Heading1"/>
      </w:pPr>
      <w:r>
        <w:t>附录 A：适配器清单 v0.1（概念示例）</w:t>
      </w:r>
    </w:p>
    <w:p>
      <w:pPr>
        <w:pStyle w:val="CodeBlock"/>
        <w:shd w:fill="F6F8FA"/>
      </w:pPr>
      <w:r>
        <w:rPr>
          <w:rFonts w:ascii="Courier New" w:hAnsi="Courier New" w:eastAsia="Arial Unicode MS"/>
          <w:b w:val="0"/>
          <w:i w:val="0"/>
          <w:color w:val="000000"/>
          <w:sz w:val="16"/>
        </w:rPr>
        <w:t>{</w:t>
        <w:br/>
        <w:t xml:space="preserve">  "id": "codex-local",</w:t>
        <w:br/>
        <w:t xml:space="preserve">  "display_name": "Codex",</w:t>
        <w:br/>
        <w:t xml:space="preserve">  "transport": "acp|jsonrpc|ndjson-cli|pty|launcher",</w:t>
        <w:br/>
        <w:t xml:space="preserve">  "version_range": "&gt;=x.y",</w:t>
        <w:br/>
        <w:t xml:space="preserve">  "capabilities": {</w:t>
        <w:br/>
        <w:t xml:space="preserve">    "sessions": true,</w:t>
        <w:br/>
        <w:t xml:space="preserve">    "streaming": true,</w:t>
        <w:br/>
        <w:t xml:space="preserve">    "tool_events": true,</w:t>
        <w:br/>
        <w:t xml:space="preserve">    "permission_requests": true,</w:t>
        <w:br/>
        <w:t xml:space="preserve">    "cancel": true,</w:t>
        <w:br/>
        <w:t xml:space="preserve">    "artifacts": ["diff", "files", "tests"],</w:t>
        <w:br/>
        <w:t xml:space="preserve">    "usage": "exact|estimated|unavailable"</w:t>
        <w:br/>
        <w:t xml:space="preserve">  },</w:t>
        <w:br/>
        <w:t xml:space="preserve">  "permissions": {</w:t>
        <w:br/>
        <w:t xml:space="preserve">    "filesystem": "workspace",</w:t>
        <w:br/>
        <w:t xml:space="preserve">    "network": "ask",</w:t>
        <w:br/>
        <w:t xml:space="preserve">    "commands": "ask",</w:t>
        <w:br/>
        <w:t xml:space="preserve">    "external_side_effects": "deny"</w:t>
        <w:br/>
        <w:t xml:space="preserve">  },</w:t>
        <w:br/>
        <w:t xml:space="preserve">  "healthcheck": ["binary", "version", "auth", "workspace"],</w:t>
        <w:br/>
        <w:t xml:space="preserve">  "fallback": "pty"</w:t>
        <w:br/>
        <w:t>}</w:t>
      </w:r>
    </w:p>
    <w:p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manifest 只声明 kruon 能可靠承诺的能力。运行时探测若发现版本不兼容，应降级或阻止高风险功能，而不是继续猜测输出。</w:t>
      </w:r>
    </w:p>
    <w:p>
      <w:pPr>
        <w:pStyle w:val="Heading1"/>
      </w:pPr>
      <w:r>
        <w:t>附录 B：核心实体关系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1900"/>
        <w:gridCol w:w="1100"/>
        <w:gridCol w:w="3200"/>
        <w:gridCol w:w="3160"/>
      </w:tblGrid>
      <w:tr>
        <w:trPr>
          <w:tblHeader w:val="true"/>
        </w:trPr>
        <w:tc>
          <w:tcPr>
            <w:tcW w:type="dxa" w:w="1900"/>
            <w:vAlign w:val="center"/>
            <w:shd w:fill="F2F4F7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8"/>
              </w:rPr>
              <w:t>实体</w:t>
            </w:r>
          </w:p>
        </w:tc>
        <w:tc>
          <w:tcPr>
            <w:tcW w:type="dxa" w:w="1100"/>
            <w:vAlign w:val="center"/>
            <w:shd w:fill="F2F4F7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8"/>
              </w:rPr>
              <w:t>关系</w:t>
            </w:r>
          </w:p>
        </w:tc>
        <w:tc>
          <w:tcPr>
            <w:tcW w:type="dxa" w:w="3200"/>
            <w:vAlign w:val="center"/>
            <w:shd w:fill="F2F4F7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8"/>
              </w:rPr>
              <w:t>关联对象</w:t>
            </w:r>
          </w:p>
        </w:tc>
        <w:tc>
          <w:tcPr>
            <w:tcW w:type="dxa" w:w="3160"/>
            <w:vAlign w:val="center"/>
            <w:shd w:fill="F2F4F7" w:val="clea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rial Unicode MS" w:hAnsi="Arial Unicode MS" w:eastAsia="Arial Unicode MS"/>
                <w:b/>
                <w:i w:val="0"/>
                <w:color w:val="102A43"/>
                <w:sz w:val="18"/>
              </w:rPr>
              <w:t>说明</w:t>
            </w:r>
          </w:p>
        </w:tc>
      </w:tr>
      <w:tr>
        <w:trPr/>
        <w:tc>
          <w:tcPr>
            <w:tcW w:type="dxa" w:w="19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Workspace</w:t>
            </w:r>
          </w:p>
        </w:tc>
        <w:tc>
          <w:tcPr>
            <w:tcW w:type="dxa" w:w="11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1:N</w:t>
            </w:r>
          </w:p>
        </w:tc>
        <w:tc>
          <w:tcPr>
            <w:tcW w:type="dxa" w:w="32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Task / Memory / Policy / Artifact</w:t>
            </w:r>
          </w:p>
        </w:tc>
        <w:tc>
          <w:tcPr>
            <w:tcW w:type="dxa" w:w="31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项目安全与上下文边界</w:t>
            </w:r>
          </w:p>
        </w:tc>
      </w:tr>
      <w:tr>
        <w:trPr/>
        <w:tc>
          <w:tcPr>
            <w:tcW w:type="dxa" w:w="19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AgentConnection</w:t>
            </w:r>
          </w:p>
        </w:tc>
        <w:tc>
          <w:tcPr>
            <w:tcW w:type="dxa" w:w="11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N:M</w:t>
            </w:r>
          </w:p>
        </w:tc>
        <w:tc>
          <w:tcPr>
            <w:tcW w:type="dxa" w:w="32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Workspace / Role</w:t>
            </w:r>
          </w:p>
        </w:tc>
        <w:tc>
          <w:tcPr>
            <w:tcW w:type="dxa" w:w="31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一个工具身份可服务多个项目</w:t>
            </w:r>
          </w:p>
        </w:tc>
      </w:tr>
      <w:tr>
        <w:trPr/>
        <w:tc>
          <w:tcPr>
            <w:tcW w:type="dxa" w:w="19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Role</w:t>
            </w:r>
          </w:p>
        </w:tc>
        <w:tc>
          <w:tcPr>
            <w:tcW w:type="dxa" w:w="11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N:M</w:t>
            </w:r>
          </w:p>
        </w:tc>
        <w:tc>
          <w:tcPr>
            <w:tcW w:type="dxa" w:w="32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AgentConnection / Workflow</w:t>
            </w:r>
          </w:p>
        </w:tc>
        <w:tc>
          <w:tcPr>
            <w:tcW w:type="dxa" w:w="31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职责与具体工具解耦</w:t>
            </w:r>
          </w:p>
        </w:tc>
      </w:tr>
      <w:tr>
        <w:trPr/>
        <w:tc>
          <w:tcPr>
            <w:tcW w:type="dxa" w:w="19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Task</w:t>
            </w:r>
          </w:p>
        </w:tc>
        <w:tc>
          <w:tcPr>
            <w:tcW w:type="dxa" w:w="11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1:N</w:t>
            </w:r>
          </w:p>
        </w:tc>
        <w:tc>
          <w:tcPr>
            <w:tcW w:type="dxa" w:w="32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Run</w:t>
            </w:r>
          </w:p>
        </w:tc>
        <w:tc>
          <w:tcPr>
            <w:tcW w:type="dxa" w:w="31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允许重试、并行、对照和接力</w:t>
            </w:r>
          </w:p>
        </w:tc>
      </w:tr>
      <w:tr>
        <w:trPr/>
        <w:tc>
          <w:tcPr>
            <w:tcW w:type="dxa" w:w="19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Run</w:t>
            </w:r>
          </w:p>
        </w:tc>
        <w:tc>
          <w:tcPr>
            <w:tcW w:type="dxa" w:w="11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1:N</w:t>
            </w:r>
          </w:p>
        </w:tc>
        <w:tc>
          <w:tcPr>
            <w:tcW w:type="dxa" w:w="32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Event / Artifact / Approval</w:t>
            </w:r>
          </w:p>
        </w:tc>
        <w:tc>
          <w:tcPr>
            <w:tcW w:type="dxa" w:w="31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可观察的最小执行单元</w:t>
            </w:r>
          </w:p>
        </w:tc>
      </w:tr>
      <w:tr>
        <w:trPr/>
        <w:tc>
          <w:tcPr>
            <w:tcW w:type="dxa" w:w="19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MemoryCapsule</w:t>
            </w:r>
          </w:p>
        </w:tc>
        <w:tc>
          <w:tcPr>
            <w:tcW w:type="dxa" w:w="11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N:M</w:t>
            </w:r>
          </w:p>
        </w:tc>
        <w:tc>
          <w:tcPr>
            <w:tcW w:type="dxa" w:w="32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Workspace / AgentView</w:t>
            </w:r>
          </w:p>
        </w:tc>
        <w:tc>
          <w:tcPr>
            <w:tcW w:type="dxa" w:w="31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带来源、作用域与版本</w:t>
            </w:r>
          </w:p>
        </w:tc>
      </w:tr>
      <w:tr>
        <w:trPr/>
        <w:tc>
          <w:tcPr>
            <w:tcW w:type="dxa" w:w="19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Workflow</w:t>
            </w:r>
          </w:p>
        </w:tc>
        <w:tc>
          <w:tcPr>
            <w:tcW w:type="dxa" w:w="11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1:N</w:t>
            </w:r>
          </w:p>
        </w:tc>
        <w:tc>
          <w:tcPr>
            <w:tcW w:type="dxa" w:w="32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Task template / Gate</w:t>
            </w:r>
          </w:p>
        </w:tc>
        <w:tc>
          <w:tcPr>
            <w:tcW w:type="dxa" w:w="31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编排模板，不包含模型秘密</w:t>
            </w:r>
          </w:p>
        </w:tc>
      </w:tr>
      <w:tr>
        <w:trPr/>
        <w:tc>
          <w:tcPr>
            <w:tcW w:type="dxa" w:w="19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SponsorOffer</w:t>
            </w:r>
          </w:p>
        </w:tc>
        <w:tc>
          <w:tcPr>
            <w:tcW w:type="dxa" w:w="11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N:M</w:t>
            </w:r>
          </w:p>
        </w:tc>
        <w:tc>
          <w:tcPr>
            <w:tcW w:type="dxa" w:w="320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Surface / Campaign</w:t>
            </w:r>
          </w:p>
        </w:tc>
        <w:tc>
          <w:tcPr>
            <w:tcW w:type="dxa" w:w="3160"/>
            <w:vAlign w:val="center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  <w:insideH w:val="single" w:sz="6" w:space="0" w:color="D0D5DD"/>
              <w:insideV w:val="single" w:sz="6" w:space="0" w:color="D0D5DD"/>
            </w:tcBorders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spacing w:before="0" w:after="0" w:line="259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000000"/>
                <w:sz w:val="18"/>
              </w:rPr>
              <w:t>与执行路由和权限完全隔离</w:t>
            </w:r>
          </w:p>
        </w:tc>
      </w:tr>
    </w:tbl>
    <w:p>
      <w:pPr>
        <w:spacing w:after="40"/>
      </w:pPr>
    </w:p>
    <w:p>
      <w:pPr>
        <w:pStyle w:val="Heading1"/>
      </w:pPr>
      <w:r>
        <w:t>附录 C：待决策问题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首发平台仅 macOS，还是 macOS + Windows 同时？建议前者。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第二个深适配器选择 Claude Code、OpenClaw 还是 Hermes？取决于首批 20 名用户的真实栈。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kruon 是否作为最终品牌名？需要域名、商标、发音和视觉测试。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开源许可证采用 MIT/Apache-2.0、AGPL，还是双许可证？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项目记忆默认是 SQLite 规范库 + Markdown 镜像，还是 Markdown 为规范源？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是否允许本地代理/协议转换？这会显著提高兼容性，也增加合规与账号风险。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赞助商能否进入模型路由界面？若进入，如何做到商业内容与独立排序完全分离？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3D 美术采用低多边形、像素、微缩办公室还是可换主题？首版建议低多边形微缩风格。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是否支持远端 Agent/VPS？建议在本地闭环稳定后，通过 A2A/SSH 安全桥接。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i w:val="0"/>
          <w:color w:val="000000"/>
          <w:sz w:val="22"/>
        </w:rPr>
        <w:t>用户分享回顾时，默认需要隐藏哪些信息？建议默认全部脱敏，只选择性公开。</w:t>
      </w:r>
    </w:p>
    <w:p>
      <w:pPr>
        <w:pStyle w:val="Heading1"/>
      </w:pPr>
      <w:r>
        <w:t>附录 D：资料来源</w:t>
      </w:r>
    </w:p>
    <w:p>
      <w:r>
        <w:rPr>
          <w:rFonts w:ascii="Arial Unicode MS" w:hAnsi="Arial Unicode MS" w:eastAsia="Arial Unicode MS"/>
          <w:b w:val="0"/>
          <w:i w:val="0"/>
          <w:color w:val="667085"/>
          <w:sz w:val="22"/>
        </w:rPr>
        <w:t>以下资料以官方产品页、官方文档、官方仓库或权威安全机构为主；市场状态和功能会持续变化，正式 PRD 前应再次核验。</w:t>
      </w:r>
    </w:p>
    <w:p>
      <w:pPr>
        <w:spacing w:after="100"/>
        <w:ind w:left="317" w:hanging="317"/>
      </w:pPr>
      <w:r>
        <w:rPr>
          <w:rFonts w:ascii="Arial Unicode MS" w:hAnsi="Arial Unicode MS" w:eastAsia="Arial Unicode MS"/>
          <w:b/>
          <w:i w:val="0"/>
          <w:color w:val="172B4D"/>
          <w:sz w:val="19"/>
        </w:rPr>
        <w:t xml:space="preserve">[1] OpenAI — Introducing the Codex app. </w:t>
      </w:r>
      <w:hyperlink r:id="rId13">
        <w:r>
          <w:rPr>
            <w:color w:val="2E74B5"/>
            <w:u w:val="single"/>
            <w:rFonts w:ascii="Arial Unicode MS" w:hAnsi="Arial Unicode MS" w:eastAsia="Arial Unicode MS"/>
          </w:rPr>
          <w:t>https://openai.com/index/introducing-the-codex-app/</w:t>
        </w:r>
      </w:hyperlink>
      <w:r>
        <w:rPr>
          <w:rFonts w:ascii="Arial Unicode MS" w:hAnsi="Arial Unicode MS" w:eastAsia="Arial Unicode MS"/>
          <w:b w:val="0"/>
          <w:i w:val="0"/>
          <w:color w:val="667085"/>
          <w:sz w:val="19"/>
        </w:rPr>
        <w:t>；多 Agent、并行任务、worktree 与 command center 定位</w:t>
      </w:r>
    </w:p>
    <w:p>
      <w:pPr>
        <w:spacing w:after="100"/>
        <w:ind w:left="317" w:hanging="317"/>
      </w:pPr>
      <w:r>
        <w:rPr>
          <w:rFonts w:ascii="Arial Unicode MS" w:hAnsi="Arial Unicode MS" w:eastAsia="Arial Unicode MS"/>
          <w:b/>
          <w:i w:val="0"/>
          <w:color w:val="172B4D"/>
          <w:sz w:val="19"/>
        </w:rPr>
        <w:t xml:space="preserve">[2] OpenClaw — Official site. </w:t>
      </w:r>
      <w:hyperlink r:id="rId14">
        <w:r>
          <w:rPr>
            <w:color w:val="2E74B5"/>
            <w:u w:val="single"/>
            <w:rFonts w:ascii="Arial Unicode MS" w:hAnsi="Arial Unicode MS" w:eastAsia="Arial Unicode MS"/>
          </w:rPr>
          <w:t>https://openclaw.ai/</w:t>
        </w:r>
      </w:hyperlink>
      <w:r>
        <w:rPr>
          <w:rFonts w:ascii="Arial Unicode MS" w:hAnsi="Arial Unicode MS" w:eastAsia="Arial Unicode MS"/>
          <w:b w:val="0"/>
          <w:i w:val="0"/>
          <w:color w:val="667085"/>
          <w:sz w:val="19"/>
        </w:rPr>
        <w:t>；开源、本地运行、个人 AI 助手与多平台能力</w:t>
      </w:r>
    </w:p>
    <w:p>
      <w:pPr>
        <w:spacing w:after="100"/>
        <w:ind w:left="317" w:hanging="317"/>
      </w:pPr>
      <w:r>
        <w:rPr>
          <w:rFonts w:ascii="Arial Unicode MS" w:hAnsi="Arial Unicode MS" w:eastAsia="Arial Unicode MS"/>
          <w:b/>
          <w:i w:val="0"/>
          <w:color w:val="172B4D"/>
          <w:sz w:val="19"/>
        </w:rPr>
        <w:t xml:space="preserve">[3] Nous Research — Hermes Agent. </w:t>
      </w:r>
      <w:hyperlink r:id="rId15">
        <w:r>
          <w:rPr>
            <w:color w:val="2E74B5"/>
            <w:u w:val="single"/>
            <w:rFonts w:ascii="Arial Unicode MS" w:hAnsi="Arial Unicode MS" w:eastAsia="Arial Unicode MS"/>
          </w:rPr>
          <w:t>https://github.com/NousResearch/hermes-agent</w:t>
        </w:r>
      </w:hyperlink>
      <w:r>
        <w:rPr>
          <w:rFonts w:ascii="Arial Unicode MS" w:hAnsi="Arial Unicode MS" w:eastAsia="Arial Unicode MS"/>
          <w:b w:val="0"/>
          <w:i w:val="0"/>
          <w:color w:val="667085"/>
          <w:sz w:val="19"/>
        </w:rPr>
        <w:t>；自改进、记忆、跨模型与 MIT 开源</w:t>
      </w:r>
    </w:p>
    <w:p>
      <w:pPr>
        <w:spacing w:after="100"/>
        <w:ind w:left="317" w:hanging="317"/>
      </w:pPr>
      <w:r>
        <w:rPr>
          <w:rFonts w:ascii="Arial Unicode MS" w:hAnsi="Arial Unicode MS" w:eastAsia="Arial Unicode MS"/>
          <w:b/>
          <w:i w:val="0"/>
          <w:color w:val="172B4D"/>
          <w:sz w:val="19"/>
        </w:rPr>
        <w:t xml:space="preserve">[4] Qoder — QoderWork Introduction. </w:t>
      </w:r>
      <w:hyperlink r:id="rId16">
        <w:r>
          <w:rPr>
            <w:color w:val="2E74B5"/>
            <w:u w:val="single"/>
            <w:rFonts w:ascii="Arial Unicode MS" w:hAnsi="Arial Unicode MS" w:eastAsia="Arial Unicode MS"/>
          </w:rPr>
          <w:t>https://docs.qoder.com/qoderwork/introduction</w:t>
        </w:r>
      </w:hyperlink>
      <w:r>
        <w:rPr>
          <w:rFonts w:ascii="Arial Unicode MS" w:hAnsi="Arial Unicode MS" w:eastAsia="Arial Unicode MS"/>
          <w:b w:val="0"/>
          <w:i w:val="0"/>
          <w:color w:val="667085"/>
          <w:sz w:val="19"/>
        </w:rPr>
        <w:t>；桌面 AI 助手、本地文件与自主执行</w:t>
      </w:r>
    </w:p>
    <w:p>
      <w:pPr>
        <w:spacing w:after="100"/>
        <w:ind w:left="317" w:hanging="317"/>
      </w:pPr>
      <w:r>
        <w:rPr>
          <w:rFonts w:ascii="Arial Unicode MS" w:hAnsi="Arial Unicode MS" w:eastAsia="Arial Unicode MS"/>
          <w:b/>
          <w:i w:val="0"/>
          <w:color w:val="172B4D"/>
          <w:sz w:val="19"/>
        </w:rPr>
        <w:t xml:space="preserve">[5] Tencent WorkBuddy Overview. </w:t>
      </w:r>
      <w:hyperlink r:id="rId17">
        <w:r>
          <w:rPr>
            <w:color w:val="2E74B5"/>
            <w:u w:val="single"/>
            <w:rFonts w:ascii="Arial Unicode MS" w:hAnsi="Arial Unicode MS" w:eastAsia="Arial Unicode MS"/>
          </w:rPr>
          <w:t>https://www.workbuddy.ai/docs/workbuddy/</w:t>
        </w:r>
      </w:hyperlink>
      <w:r>
        <w:rPr>
          <w:rFonts w:ascii="Arial Unicode MS" w:hAnsi="Arial Unicode MS" w:eastAsia="Arial Unicode MS"/>
          <w:b w:val="0"/>
          <w:i w:val="0"/>
          <w:color w:val="667085"/>
          <w:sz w:val="19"/>
        </w:rPr>
        <w:t>；全场景 AI Agent 桌面工作站与本地文件操作</w:t>
      </w:r>
    </w:p>
    <w:p>
      <w:pPr>
        <w:spacing w:after="100"/>
        <w:ind w:left="317" w:hanging="317"/>
      </w:pPr>
      <w:r>
        <w:rPr>
          <w:rFonts w:ascii="Arial Unicode MS" w:hAnsi="Arial Unicode MS" w:eastAsia="Arial Unicode MS"/>
          <w:b/>
          <w:i w:val="0"/>
          <w:color w:val="172B4D"/>
          <w:sz w:val="19"/>
        </w:rPr>
        <w:t xml:space="preserve">[6] CC Switch — Official GitHub repository. </w:t>
      </w:r>
      <w:hyperlink r:id="rId18">
        <w:r>
          <w:rPr>
            <w:color w:val="2E74B5"/>
            <w:u w:val="single"/>
            <w:rFonts w:ascii="Arial Unicode MS" w:hAnsi="Arial Unicode MS" w:eastAsia="Arial Unicode MS"/>
          </w:rPr>
          <w:t>https://github.com/farion1231/cc-switch</w:t>
        </w:r>
      </w:hyperlink>
      <w:r>
        <w:rPr>
          <w:rFonts w:ascii="Arial Unicode MS" w:hAnsi="Arial Unicode MS" w:eastAsia="Arial Unicode MS"/>
          <w:b w:val="0"/>
          <w:i w:val="0"/>
          <w:color w:val="667085"/>
          <w:sz w:val="19"/>
        </w:rPr>
        <w:t>；跨工具配置、会话、用量与供应商管理</w:t>
      </w:r>
    </w:p>
    <w:p>
      <w:pPr>
        <w:spacing w:after="100"/>
        <w:ind w:left="317" w:hanging="317"/>
      </w:pPr>
      <w:r>
        <w:rPr>
          <w:rFonts w:ascii="Arial Unicode MS" w:hAnsi="Arial Unicode MS" w:eastAsia="Arial Unicode MS"/>
          <w:b/>
          <w:i w:val="0"/>
          <w:color w:val="172B4D"/>
          <w:sz w:val="19"/>
        </w:rPr>
        <w:t xml:space="preserve">[7] CC Switch — Releases / sponsor ecosystem. </w:t>
      </w:r>
      <w:hyperlink r:id="rId19">
        <w:r>
          <w:rPr>
            <w:color w:val="2E74B5"/>
            <w:u w:val="single"/>
            <w:rFonts w:ascii="Arial Unicode MS" w:hAnsi="Arial Unicode MS" w:eastAsia="Arial Unicode MS"/>
          </w:rPr>
          <w:t>https://github.com/farion1231/cc-switch/releases</w:t>
        </w:r>
      </w:hyperlink>
      <w:r>
        <w:rPr>
          <w:rFonts w:ascii="Arial Unicode MS" w:hAnsi="Arial Unicode MS" w:eastAsia="Arial Unicode MS"/>
          <w:b w:val="0"/>
          <w:i w:val="0"/>
          <w:color w:val="667085"/>
          <w:sz w:val="19"/>
        </w:rPr>
        <w:t>；赞助商、合作供应商和免费开源定位</w:t>
      </w:r>
    </w:p>
    <w:p>
      <w:pPr>
        <w:spacing w:after="100"/>
        <w:ind w:left="317" w:hanging="317"/>
      </w:pPr>
      <w:r>
        <w:rPr>
          <w:rFonts w:ascii="Arial Unicode MS" w:hAnsi="Arial Unicode MS" w:eastAsia="Arial Unicode MS"/>
          <w:b/>
          <w:i w:val="0"/>
          <w:color w:val="172B4D"/>
          <w:sz w:val="19"/>
        </w:rPr>
        <w:t xml:space="preserve">[8] Paperclip — Official GitHub repository. </w:t>
      </w:r>
      <w:hyperlink r:id="rId20">
        <w:r>
          <w:rPr>
            <w:color w:val="2E74B5"/>
            <w:u w:val="single"/>
            <w:rFonts w:ascii="Arial Unicode MS" w:hAnsi="Arial Unicode MS" w:eastAsia="Arial Unicode MS"/>
          </w:rPr>
          <w:t>https://github.com/paperclipai/paperclip</w:t>
        </w:r>
      </w:hyperlink>
      <w:r>
        <w:rPr>
          <w:rFonts w:ascii="Arial Unicode MS" w:hAnsi="Arial Unicode MS" w:eastAsia="Arial Unicode MS"/>
          <w:b w:val="0"/>
          <w:i w:val="0"/>
          <w:color w:val="667085"/>
          <w:sz w:val="19"/>
        </w:rPr>
        <w:t>；运行时无关的 Agent 组织、目标、预算与治理</w:t>
      </w:r>
    </w:p>
    <w:p>
      <w:pPr>
        <w:spacing w:after="100"/>
        <w:ind w:left="317" w:hanging="317"/>
      </w:pPr>
      <w:r>
        <w:rPr>
          <w:rFonts w:ascii="Arial Unicode MS" w:hAnsi="Arial Unicode MS" w:eastAsia="Arial Unicode MS"/>
          <w:b/>
          <w:i w:val="0"/>
          <w:color w:val="172B4D"/>
          <w:sz w:val="19"/>
        </w:rPr>
        <w:t xml:space="preserve">[9] Model Context Protocol — Architecture Overview. </w:t>
      </w:r>
      <w:hyperlink r:id="rId21">
        <w:r>
          <w:rPr>
            <w:color w:val="2E74B5"/>
            <w:u w:val="single"/>
            <w:rFonts w:ascii="Arial Unicode MS" w:hAnsi="Arial Unicode MS" w:eastAsia="Arial Unicode MS"/>
          </w:rPr>
          <w:t>https://modelcontextprotocol.io/docs/learn/architecture</w:t>
        </w:r>
      </w:hyperlink>
      <w:r>
        <w:rPr>
          <w:rFonts w:ascii="Arial Unicode MS" w:hAnsi="Arial Unicode MS" w:eastAsia="Arial Unicode MS"/>
          <w:b w:val="0"/>
          <w:i w:val="0"/>
          <w:color w:val="667085"/>
          <w:sz w:val="19"/>
        </w:rPr>
        <w:t>；工具、资源、提示与客户端/服务端架构</w:t>
      </w:r>
    </w:p>
    <w:p>
      <w:pPr>
        <w:spacing w:after="100"/>
        <w:ind w:left="317" w:hanging="317"/>
      </w:pPr>
      <w:r>
        <w:rPr>
          <w:rFonts w:ascii="Arial Unicode MS" w:hAnsi="Arial Unicode MS" w:eastAsia="Arial Unicode MS"/>
          <w:b/>
          <w:i w:val="0"/>
          <w:color w:val="172B4D"/>
          <w:sz w:val="19"/>
        </w:rPr>
        <w:t xml:space="preserve">[10] Agent Client Protocol — Architecture. </w:t>
      </w:r>
      <w:hyperlink r:id="rId22">
        <w:r>
          <w:rPr>
            <w:color w:val="2E74B5"/>
            <w:u w:val="single"/>
            <w:rFonts w:ascii="Arial Unicode MS" w:hAnsi="Arial Unicode MS" w:eastAsia="Arial Unicode MS"/>
          </w:rPr>
          <w:t>https://agentclientprotocol.com/get-started/architecture</w:t>
        </w:r>
      </w:hyperlink>
      <w:r>
        <w:rPr>
          <w:rFonts w:ascii="Arial Unicode MS" w:hAnsi="Arial Unicode MS" w:eastAsia="Arial Unicode MS"/>
          <w:b w:val="0"/>
          <w:i w:val="0"/>
          <w:color w:val="667085"/>
          <w:sz w:val="19"/>
        </w:rPr>
        <w:t>；JSON-RPC/stdio、并发会话、流式更新与权限请求</w:t>
      </w:r>
    </w:p>
    <w:p>
      <w:pPr>
        <w:spacing w:after="100"/>
        <w:ind w:left="317" w:hanging="317"/>
      </w:pPr>
      <w:r>
        <w:rPr>
          <w:rFonts w:ascii="Arial Unicode MS" w:hAnsi="Arial Unicode MS" w:eastAsia="Arial Unicode MS"/>
          <w:b/>
          <w:i w:val="0"/>
          <w:color w:val="172B4D"/>
          <w:sz w:val="19"/>
        </w:rPr>
        <w:t xml:space="preserve">[11] A2A Protocol — Specification. </w:t>
      </w:r>
      <w:hyperlink r:id="rId23">
        <w:r>
          <w:rPr>
            <w:color w:val="2E74B5"/>
            <w:u w:val="single"/>
            <w:rFonts w:ascii="Arial Unicode MS" w:hAnsi="Arial Unicode MS" w:eastAsia="Arial Unicode MS"/>
          </w:rPr>
          <w:t>https://github.com/a2aproject/A2A/blob/main/docs/specification.md</w:t>
        </w:r>
      </w:hyperlink>
      <w:r>
        <w:rPr>
          <w:rFonts w:ascii="Arial Unicode MS" w:hAnsi="Arial Unicode MS" w:eastAsia="Arial Unicode MS"/>
          <w:b w:val="0"/>
          <w:i w:val="0"/>
          <w:color w:val="667085"/>
          <w:sz w:val="19"/>
        </w:rPr>
        <w:t>；独立 Agent 之间的发现、协作和长任务协议</w:t>
      </w:r>
    </w:p>
    <w:p>
      <w:pPr>
        <w:spacing w:after="100"/>
        <w:ind w:left="317" w:hanging="317"/>
      </w:pPr>
      <w:r>
        <w:rPr>
          <w:rFonts w:ascii="Arial Unicode MS" w:hAnsi="Arial Unicode MS" w:eastAsia="Arial Unicode MS"/>
          <w:b/>
          <w:i w:val="0"/>
          <w:color w:val="172B4D"/>
          <w:sz w:val="19"/>
        </w:rPr>
        <w:t xml:space="preserve">[12] Tauri — What is Tauri?. </w:t>
      </w:r>
      <w:hyperlink r:id="rId24">
        <w:r>
          <w:rPr>
            <w:color w:val="2E74B5"/>
            <w:u w:val="single"/>
            <w:rFonts w:ascii="Arial Unicode MS" w:hAnsi="Arial Unicode MS" w:eastAsia="Arial Unicode MS"/>
          </w:rPr>
          <w:t>https://v2.tauri.app/start/</w:t>
        </w:r>
      </w:hyperlink>
      <w:r>
        <w:rPr>
          <w:rFonts w:ascii="Arial Unicode MS" w:hAnsi="Arial Unicode MS" w:eastAsia="Arial Unicode MS"/>
          <w:b w:val="0"/>
          <w:i w:val="0"/>
          <w:color w:val="667085"/>
          <w:sz w:val="19"/>
        </w:rPr>
        <w:t>；系统 WebView、较小包体、Rust 与前端灵活架构</w:t>
      </w:r>
    </w:p>
    <w:p>
      <w:pPr>
        <w:spacing w:after="100"/>
        <w:ind w:left="317" w:hanging="317"/>
      </w:pPr>
      <w:r>
        <w:rPr>
          <w:rFonts w:ascii="Arial Unicode MS" w:hAnsi="Arial Unicode MS" w:eastAsia="Arial Unicode MS"/>
          <w:b/>
          <w:i w:val="0"/>
          <w:color w:val="172B4D"/>
          <w:sz w:val="19"/>
        </w:rPr>
        <w:t xml:space="preserve">[13] Tauri — Capabilities. </w:t>
      </w:r>
      <w:hyperlink r:id="rId25">
        <w:r>
          <w:rPr>
            <w:color w:val="2E74B5"/>
            <w:u w:val="single"/>
            <w:rFonts w:ascii="Arial Unicode MS" w:hAnsi="Arial Unicode MS" w:eastAsia="Arial Unicode MS"/>
          </w:rPr>
          <w:t>https://v2.tauri.app/security/capabilities/</w:t>
        </w:r>
      </w:hyperlink>
      <w:r>
        <w:rPr>
          <w:rFonts w:ascii="Arial Unicode MS" w:hAnsi="Arial Unicode MS" w:eastAsia="Arial Unicode MS"/>
          <w:b w:val="0"/>
          <w:i w:val="0"/>
          <w:color w:val="667085"/>
          <w:sz w:val="19"/>
        </w:rPr>
        <w:t>；WebView 对系统能力的细粒度权限约束</w:t>
      </w:r>
    </w:p>
    <w:p>
      <w:pPr>
        <w:spacing w:after="100"/>
        <w:ind w:left="317" w:hanging="317"/>
      </w:pPr>
      <w:r>
        <w:rPr>
          <w:rFonts w:ascii="Arial Unicode MS" w:hAnsi="Arial Unicode MS" w:eastAsia="Arial Unicode MS"/>
          <w:b/>
          <w:i w:val="0"/>
          <w:color w:val="172B4D"/>
          <w:sz w:val="19"/>
        </w:rPr>
        <w:t xml:space="preserve">[14] Electron — Process Model. </w:t>
      </w:r>
      <w:hyperlink r:id="rId26">
        <w:r>
          <w:rPr>
            <w:color w:val="2E74B5"/>
            <w:u w:val="single"/>
            <w:rFonts w:ascii="Arial Unicode MS" w:hAnsi="Arial Unicode MS" w:eastAsia="Arial Unicode MS"/>
          </w:rPr>
          <w:t>https://www.electronjs.org/docs/latest/tutorial/process-model</w:t>
        </w:r>
      </w:hyperlink>
      <w:r>
        <w:rPr>
          <w:rFonts w:ascii="Arial Unicode MS" w:hAnsi="Arial Unicode MS" w:eastAsia="Arial Unicode MS"/>
          <w:b w:val="0"/>
          <w:i w:val="0"/>
          <w:color w:val="667085"/>
          <w:sz w:val="19"/>
        </w:rPr>
        <w:t>；主进程、渲染进程、preload 与进程隔离</w:t>
      </w:r>
    </w:p>
    <w:p>
      <w:pPr>
        <w:spacing w:after="100"/>
        <w:ind w:left="317" w:hanging="317"/>
      </w:pPr>
      <w:r>
        <w:rPr>
          <w:rFonts w:ascii="Arial Unicode MS" w:hAnsi="Arial Unicode MS" w:eastAsia="Arial Unicode MS"/>
          <w:b/>
          <w:i w:val="0"/>
          <w:color w:val="172B4D"/>
          <w:sz w:val="19"/>
        </w:rPr>
        <w:t xml:space="preserve">[15] React Three Fiber — Introduction. </w:t>
      </w:r>
      <w:hyperlink r:id="rId27">
        <w:r>
          <w:rPr>
            <w:color w:val="2E74B5"/>
            <w:u w:val="single"/>
            <w:rFonts w:ascii="Arial Unicode MS" w:hAnsi="Arial Unicode MS" w:eastAsia="Arial Unicode MS"/>
          </w:rPr>
          <w:t>https://r3f.docs.pmnd.rs/</w:t>
        </w:r>
      </w:hyperlink>
      <w:r>
        <w:rPr>
          <w:rFonts w:ascii="Arial Unicode MS" w:hAnsi="Arial Unicode MS" w:eastAsia="Arial Unicode MS"/>
          <w:b w:val="0"/>
          <w:i w:val="0"/>
          <w:color w:val="667085"/>
          <w:sz w:val="19"/>
        </w:rPr>
        <w:t>；React 的 Three.js renderer</w:t>
      </w:r>
    </w:p>
    <w:p>
      <w:pPr>
        <w:spacing w:after="100"/>
        <w:ind w:left="317" w:hanging="317"/>
      </w:pPr>
      <w:r>
        <w:rPr>
          <w:rFonts w:ascii="Arial Unicode MS" w:hAnsi="Arial Unicode MS" w:eastAsia="Arial Unicode MS"/>
          <w:b/>
          <w:i w:val="0"/>
          <w:color w:val="172B4D"/>
          <w:sz w:val="19"/>
        </w:rPr>
        <w:t xml:space="preserve">[16] NIST — Tool Use in Agent Systems. </w:t>
      </w:r>
      <w:hyperlink r:id="rId28">
        <w:r>
          <w:rPr>
            <w:color w:val="2E74B5"/>
            <w:u w:val="single"/>
            <w:rFonts w:ascii="Arial Unicode MS" w:hAnsi="Arial Unicode MS" w:eastAsia="Arial Unicode MS"/>
          </w:rPr>
          <w:t>https://www.nist.gov/news-events/news/2025/08/lessons-learned-consortium-tool-use-agent-systems</w:t>
        </w:r>
      </w:hyperlink>
      <w:r>
        <w:rPr>
          <w:rFonts w:ascii="Arial Unicode MS" w:hAnsi="Arial Unicode MS" w:eastAsia="Arial Unicode MS"/>
          <w:b w:val="0"/>
          <w:i w:val="0"/>
          <w:color w:val="667085"/>
          <w:sz w:val="19"/>
        </w:rPr>
        <w:t>；权限、环境、写入范围和工具风险分类</w:t>
      </w:r>
    </w:p>
    <w:p>
      <w:pPr>
        <w:spacing w:after="100"/>
        <w:ind w:left="317" w:hanging="317"/>
      </w:pPr>
      <w:r>
        <w:rPr>
          <w:rFonts w:ascii="Arial Unicode MS" w:hAnsi="Arial Unicode MS" w:eastAsia="Arial Unicode MS"/>
          <w:b/>
          <w:i w:val="0"/>
          <w:color w:val="172B4D"/>
          <w:sz w:val="19"/>
        </w:rPr>
        <w:t xml:space="preserve">[17] OWASP — AI Agent Security Cheat Sheet. </w:t>
      </w:r>
      <w:hyperlink r:id="rId29">
        <w:r>
          <w:rPr>
            <w:color w:val="2E74B5"/>
            <w:u w:val="single"/>
            <w:rFonts w:ascii="Arial Unicode MS" w:hAnsi="Arial Unicode MS" w:eastAsia="Arial Unicode MS"/>
          </w:rPr>
          <w:t>https://cheatsheetseries.owasp.org/cheatsheets/AI_Agent_Security_Cheat_Sheet.html</w:t>
        </w:r>
      </w:hyperlink>
      <w:r>
        <w:rPr>
          <w:rFonts w:ascii="Arial Unicode MS" w:hAnsi="Arial Unicode MS" w:eastAsia="Arial Unicode MS"/>
          <w:b w:val="0"/>
          <w:i w:val="0"/>
          <w:color w:val="667085"/>
          <w:sz w:val="19"/>
        </w:rPr>
        <w:t>；最小权限、HITL、记忆隔离、成本限制与审计</w:t>
      </w:r>
    </w:p>
    <w:p>
      <w:pPr>
        <w:spacing w:after="100"/>
        <w:ind w:left="317" w:hanging="317"/>
      </w:pPr>
      <w:r>
        <w:rPr>
          <w:rFonts w:ascii="Arial Unicode MS" w:hAnsi="Arial Unicode MS" w:eastAsia="Arial Unicode MS"/>
          <w:b/>
          <w:i w:val="0"/>
          <w:color w:val="172B4D"/>
          <w:sz w:val="19"/>
        </w:rPr>
        <w:t xml:space="preserve">[18] OWASP — Prompt Injection. </w:t>
      </w:r>
      <w:hyperlink r:id="rId30">
        <w:r>
          <w:rPr>
            <w:color w:val="2E74B5"/>
            <w:u w:val="single"/>
            <w:rFonts w:ascii="Arial Unicode MS" w:hAnsi="Arial Unicode MS" w:eastAsia="Arial Unicode MS"/>
          </w:rPr>
          <w:t>https://owasp.org/www-community/attacks/PromptInjection</w:t>
        </w:r>
      </w:hyperlink>
      <w:r>
        <w:rPr>
          <w:rFonts w:ascii="Arial Unicode MS" w:hAnsi="Arial Unicode MS" w:eastAsia="Arial Unicode MS"/>
          <w:b w:val="0"/>
          <w:i w:val="0"/>
          <w:color w:val="667085"/>
          <w:sz w:val="19"/>
        </w:rPr>
        <w:t>；直接/间接提示注入与未授权动作风险</w:t>
      </w:r>
    </w:p>
    <w:p>
      <w:pPr>
        <w:spacing w:after="100"/>
        <w:ind w:left="317" w:hanging="317"/>
      </w:pPr>
      <w:r>
        <w:rPr>
          <w:rFonts w:ascii="Arial Unicode MS" w:hAnsi="Arial Unicode MS" w:eastAsia="Arial Unicode MS"/>
          <w:b/>
          <w:i w:val="0"/>
          <w:color w:val="172B4D"/>
          <w:sz w:val="19"/>
        </w:rPr>
        <w:t xml:space="preserve">[19] OpenClaw — Gateway Security. </w:t>
      </w:r>
      <w:hyperlink r:id="rId31">
        <w:r>
          <w:rPr>
            <w:color w:val="2E74B5"/>
            <w:u w:val="single"/>
            <w:rFonts w:ascii="Arial Unicode MS" w:hAnsi="Arial Unicode MS" w:eastAsia="Arial Unicode MS"/>
          </w:rPr>
          <w:t>https://docs.openclaw.ai/gateway/security</w:t>
        </w:r>
      </w:hyperlink>
      <w:r>
        <w:rPr>
          <w:rFonts w:ascii="Arial Unicode MS" w:hAnsi="Arial Unicode MS" w:eastAsia="Arial Unicode MS"/>
          <w:b w:val="0"/>
          <w:i w:val="0"/>
          <w:color w:val="667085"/>
          <w:sz w:val="19"/>
        </w:rPr>
        <w:t>；本地 loopback、工具拒绝、工作区边界与执行审批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Arial Unicode MS" w:hAnsi="Arial Unicode MS" w:eastAsia="Arial Unicode MS"/>
        <w:b w:val="0"/>
        <w:i w:val="0"/>
        <w:color w:val="667085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Arial Unicode MS" w:hAnsi="Arial Unicode MS" w:eastAsia="Arial Unicode MS"/>
        <w:b w:val="0"/>
        <w:i w:val="0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  <w:r>
      <w:rPr>
        <w:rFonts w:ascii="Arial Unicode MS" w:hAnsi="Arial Unicode MS" w:eastAsia="Arial Unicode MS"/>
        <w:b/>
        <w:i w:val="0"/>
        <w:color w:val="667085"/>
        <w:sz w:val="17"/>
      </w:rPr>
      <w:t>KRUON  |  本地 AI 控制中心 + 3D 游戏化工作台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Arial Unicode MS" w:hAnsi="Arial Unicode MS" w:eastAsia="Arial Unicode M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100" w:after="160" w:line="276" w:lineRule="auto"/>
      <w:ind w:left="216" w:right="216"/>
    </w:pPr>
    <w:rPr>
      <w:rFonts w:ascii="Arial Unicode MS" w:hAnsi="Arial Unicode MS" w:eastAsia="Arial Unicode MS"/>
      <w:color w:val="172B4D"/>
      <w:sz w:val="22"/>
    </w:rPr>
  </w:style>
  <w:style w:type="paragraph" w:customStyle="1" w:styleId="CodeBlock">
    <w:name w:val="Code Block"/>
    <w:pPr>
      <w:spacing w:before="100" w:after="160" w:line="252" w:lineRule="auto"/>
      <w:ind w:left="259" w:right="259"/>
    </w:pPr>
    <w:rPr>
      <w:rFonts w:ascii="Courier New" w:hAnsi="Courier New" w:eastAsia="Arial Unicode M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png"/><Relationship Id="rId13" Type="http://schemas.openxmlformats.org/officeDocument/2006/relationships/hyperlink" Target="https://openai.com/index/introducing-the-codex-app/" TargetMode="External"/><Relationship Id="rId14" Type="http://schemas.openxmlformats.org/officeDocument/2006/relationships/hyperlink" Target="https://openclaw.ai/" TargetMode="External"/><Relationship Id="rId15" Type="http://schemas.openxmlformats.org/officeDocument/2006/relationships/hyperlink" Target="https://github.com/NousResearch/hermes-agent" TargetMode="External"/><Relationship Id="rId16" Type="http://schemas.openxmlformats.org/officeDocument/2006/relationships/hyperlink" Target="https://docs.qoder.com/qoderwork/introduction" TargetMode="External"/><Relationship Id="rId17" Type="http://schemas.openxmlformats.org/officeDocument/2006/relationships/hyperlink" Target="https://www.workbuddy.ai/docs/workbuddy/" TargetMode="External"/><Relationship Id="rId18" Type="http://schemas.openxmlformats.org/officeDocument/2006/relationships/hyperlink" Target="https://github.com/farion1231/cc-switch" TargetMode="External"/><Relationship Id="rId19" Type="http://schemas.openxmlformats.org/officeDocument/2006/relationships/hyperlink" Target="https://github.com/farion1231/cc-switch/releases" TargetMode="External"/><Relationship Id="rId20" Type="http://schemas.openxmlformats.org/officeDocument/2006/relationships/hyperlink" Target="https://github.com/paperclipai/paperclip" TargetMode="External"/><Relationship Id="rId21" Type="http://schemas.openxmlformats.org/officeDocument/2006/relationships/hyperlink" Target="https://modelcontextprotocol.io/docs/learn/architecture" TargetMode="External"/><Relationship Id="rId22" Type="http://schemas.openxmlformats.org/officeDocument/2006/relationships/hyperlink" Target="https://agentclientprotocol.com/get-started/architecture" TargetMode="External"/><Relationship Id="rId23" Type="http://schemas.openxmlformats.org/officeDocument/2006/relationships/hyperlink" Target="https://github.com/a2aproject/A2A/blob/main/docs/specification.md" TargetMode="External"/><Relationship Id="rId24" Type="http://schemas.openxmlformats.org/officeDocument/2006/relationships/hyperlink" Target="https://v2.tauri.app/start/" TargetMode="External"/><Relationship Id="rId25" Type="http://schemas.openxmlformats.org/officeDocument/2006/relationships/hyperlink" Target="https://v2.tauri.app/security/capabilities/" TargetMode="External"/><Relationship Id="rId26" Type="http://schemas.openxmlformats.org/officeDocument/2006/relationships/hyperlink" Target="https://www.electronjs.org/docs/latest/tutorial/process-model" TargetMode="External"/><Relationship Id="rId27" Type="http://schemas.openxmlformats.org/officeDocument/2006/relationships/hyperlink" Target="https://r3f.docs.pmnd.rs/" TargetMode="External"/><Relationship Id="rId28" Type="http://schemas.openxmlformats.org/officeDocument/2006/relationships/hyperlink" Target="https://www.nist.gov/news-events/news/2025/08/lessons-learned-consortium-tool-use-agent-systems" TargetMode="External"/><Relationship Id="rId29" Type="http://schemas.openxmlformats.org/officeDocument/2006/relationships/hyperlink" Target="https://cheatsheetseries.owasp.org/cheatsheets/AI_Agent_Security_Cheat_Sheet.html" TargetMode="External"/><Relationship Id="rId30" Type="http://schemas.openxmlformats.org/officeDocument/2006/relationships/hyperlink" Target="https://owasp.org/www-community/attacks/PromptInjection" TargetMode="External"/><Relationship Id="rId31" Type="http://schemas.openxmlformats.org/officeDocument/2006/relationships/hyperlink" Target="https://docs.openclaw.ai/gateway/secur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kruon 本地 AI 控制中心 + 3D 游戏化工作台：项目分析与路线图</dc:title>
  <dc:subject>产品战略、竞品、技术架构、商业化、安全与路线图</dc:subject>
  <dc:creator>kruon 项目组</dc:creator>
  <cp:keywords>AI Agent, desktop, control plane, 3D, gamification, orchestration</cp:keywords>
  <dc:description>基于 2026-07-11 可核验公开资料形成的前期分析。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