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5.png" ContentType="image/png"/>
  <Override PartName="/word/media/rId25.png" ContentType="image/png"/>
  <Override PartName="/word/media/rId19.png" ContentType="image/png"/>
  <Override PartName="/word/media/rId29.png" ContentType="image/png"/>
  <Override PartName="/word/media/rId22.png" ContentType="image/png"/>
  <Override PartName="/word/media/rId54.png" ContentType="image/png"/>
  <Override PartName="/word/media/rId48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Phase-separation predictors systematically misread membrane proteins: a topology-resolved benchmark of eighteen tools</w:t>
      </w:r>
    </w:p>
    <w:p>
      <w:pPr>
        <w:pStyle w:val="Subtitle"/>
      </w:pPr>
      <w:r>
        <w:t xml:space="preserve">DRAFT — bullet outline for internal review</w:t>
      </w:r>
    </w:p>
    <w:p>
      <w:pPr>
        <w:pStyle w:val="Date"/>
      </w:pPr>
      <w:r>
        <w:t xml:space="preserve">2026</w:t>
      </w:r>
    </w:p>
    <w:p>
      <w:pPr>
        <w:pStyle w:val="BlockText"/>
      </w:pPr>
      <w:r>
        <w:rPr>
          <w:b/>
          <w:bCs/>
        </w:rPr>
        <w:t xml:space="preserve">Status: working draft (bullet form).</w:t>
      </w:r>
      <w:r>
        <w:t xml:space="preserve"> </w:t>
      </w:r>
      <w:r>
        <w:t xml:space="preserve">Numbers are final and trace to</w:t>
      </w:r>
      <w:r>
        <w:t xml:space="preserve"> </w:t>
      </w:r>
      <w:r>
        <w:rPr>
          <w:rStyle w:val="VerbatimChar"/>
        </w:rPr>
        <w:t xml:space="preserve">output/results_digest.json</w:t>
      </w:r>
      <w:r>
        <w:t xml:space="preserve">; prose to be expanded at submission. Figures</w:t>
      </w:r>
      <w:r>
        <w:t xml:space="preserve"> </w:t>
      </w:r>
      <w:r>
        <w:t xml:space="preserve">embedded inline.</w:t>
      </w:r>
    </w:p>
    <w:bookmarkStart w:id="9" w:name="abstract-draft-points"/>
    <w:p>
      <w:pPr>
        <w:pStyle w:val="Heading1"/>
      </w:pPr>
      <w:r>
        <w:t xml:space="preserve">Abstract (draft points)</w:t>
      </w:r>
    </w:p>
    <w:p>
      <w:pPr>
        <w:pStyle w:val="Compact"/>
        <w:numPr>
          <w:ilvl w:val="0"/>
          <w:numId w:val="1001"/>
        </w:numPr>
      </w:pPr>
      <w:r>
        <w:t xml:space="preserve">LLPS predictors are trained almost entirely on</w:t>
      </w:r>
      <w:r>
        <w:t xml:space="preserve"> </w:t>
      </w:r>
      <w:r>
        <w:rPr>
          <w:b/>
          <w:bCs/>
        </w:rPr>
        <w:t xml:space="preserve">soluble</w:t>
      </w:r>
      <w:r>
        <w:t xml:space="preserve"> </w:t>
      </w:r>
      <w:r>
        <w:t xml:space="preserve">proteins but are</w:t>
      </w:r>
      <w:r>
        <w:t xml:space="preserve"> </w:t>
      </w:r>
      <w:r>
        <w:t xml:space="preserve">increasingly applied to</w:t>
      </w:r>
      <w:r>
        <w:t xml:space="preserve"> </w:t>
      </w:r>
      <w:r>
        <w:rPr>
          <w:b/>
          <w:bCs/>
        </w:rPr>
        <w:t xml:space="preserve">membrane</w:t>
      </w:r>
      <w:r>
        <w:t xml:space="preserve"> </w:t>
      </w:r>
      <w:r>
        <w:t xml:space="preserve">proteins, whose TM segments and</w:t>
      </w:r>
      <w:r>
        <w:t xml:space="preserve"> </w:t>
      </w:r>
      <w:r>
        <w:t xml:space="preserve">constrained cytoplasmic domains violate their assumptions.</w:t>
      </w:r>
    </w:p>
    <w:p>
      <w:pPr>
        <w:pStyle w:val="Compact"/>
        <w:numPr>
          <w:ilvl w:val="0"/>
          <w:numId w:val="1001"/>
        </w:numPr>
      </w:pPr>
      <w:r>
        <w:t xml:space="preserve">We benchmarked</w:t>
      </w:r>
      <w:r>
        <w:t xml:space="preserve"> </w:t>
      </w:r>
      <w:r>
        <w:rPr>
          <w:b/>
          <w:bCs/>
        </w:rPr>
        <w:t xml:space="preserve">18 predictors</w:t>
      </w:r>
      <w:r>
        <w:t xml:space="preserve"> </w:t>
      </w:r>
      <w:r>
        <w:t xml:space="preserve">against</w:t>
      </w:r>
      <w:r>
        <w:t xml:space="preserve"> </w:t>
      </w:r>
      <w:r>
        <w:rPr>
          <w:b/>
          <w:bCs/>
        </w:rPr>
        <w:t xml:space="preserve">60 human membrane proteins</w:t>
      </w:r>
      <w:r>
        <w:t xml:space="preserve"> </w:t>
      </w:r>
      <w:r>
        <w:t xml:space="preserve">with</w:t>
      </w:r>
      <w:r>
        <w:t xml:space="preserve"> </w:t>
      </w:r>
      <w:r>
        <w:t xml:space="preserve">curated experimental LLPS evidence, scoring against a</w:t>
      </w:r>
      <w:r>
        <w:t xml:space="preserve"> </w:t>
      </w:r>
      <w:r>
        <w:rPr>
          <w:b/>
          <w:bCs/>
        </w:rPr>
        <w:t xml:space="preserve">same-class</w:t>
      </w:r>
      <w:r>
        <w:rPr>
          <w:b/>
          <w:bCs/>
        </w:rPr>
        <w:t xml:space="preserve"> </w:t>
      </w:r>
      <w:r>
        <w:rPr>
          <w:b/>
          <w:bCs/>
        </w:rPr>
        <w:t xml:space="preserve">(membrane-vs-membrane) background</w:t>
      </w:r>
      <w:r>
        <w:t xml:space="preserve"> </w:t>
      </w:r>
      <w:r>
        <w:t xml:space="preserve">to remove the trivial soluble-vs-membrane</w:t>
      </w:r>
      <w:r>
        <w:t xml:space="preserve"> </w:t>
      </w:r>
      <w:r>
        <w:t xml:space="preserve">signal.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Structure-aware models led</w:t>
      </w:r>
      <w:r>
        <w:t xml:space="preserve">: PSPHunter AUROC 0.80 (0.90 leakage-corrected);</w:t>
      </w:r>
      <w:r>
        <w:t xml:space="preserve"> </w:t>
      </w:r>
      <w:r>
        <w:t xml:space="preserve">PSPire and PdPS ≈ 0.81.</w:t>
      </w:r>
      <w:r>
        <w:t xml:space="preserve"> </w:t>
      </w:r>
      <w:r>
        <w:rPr>
          <w:b/>
          <w:bCs/>
        </w:rPr>
        <w:t xml:space="preserve">LLPhyScore</w:t>
      </w:r>
      <w:r>
        <w:t xml:space="preserve">, tuned on soluble IDRs, was at</w:t>
      </w:r>
      <w:r>
        <w:t xml:space="preserve"> </w:t>
      </w:r>
      <w:r>
        <w:rPr>
          <w:b/>
          <w:bCs/>
        </w:rPr>
        <w:t xml:space="preserve">chance (0.49)</w:t>
      </w:r>
      <w:r>
        <w:t xml:space="preserve">, even sign-flipped.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Topology-resolved scoring</w:t>
      </w:r>
      <w:r>
        <w:t xml:space="preserve">: 7/8 position-aware tools score cytoplasmic</w:t>
      </w:r>
      <w:r>
        <w:t xml:space="preserve"> </w:t>
      </w:r>
      <w:r>
        <w:t xml:space="preserve">regions &gt; TM segments (all FDR &lt; 0.05);</w:t>
      </w:r>
      <w:r>
        <w:t xml:space="preserve"> </w:t>
      </w:r>
      <w:r>
        <w:rPr>
          <w:b/>
          <w:bCs/>
        </w:rPr>
        <w:t xml:space="preserve">SEG</w:t>
      </w:r>
      <w:r>
        <w:t xml:space="preserve"> </w:t>
      </w:r>
      <w:r>
        <w:t xml:space="preserve">(low-complexity masker) is</w:t>
      </w:r>
      <w:r>
        <w:t xml:space="preserve"> </w:t>
      </w:r>
      <w:r>
        <w:t xml:space="preserve">the lone reversal.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Cross-predictor consensus tracks the soluble-IDR signature, not curated</w:t>
      </w:r>
      <w:r>
        <w:rPr>
          <w:b/>
          <w:bCs/>
        </w:rPr>
        <w:t xml:space="preserve"> </w:t>
      </w:r>
      <w:r>
        <w:rPr>
          <w:b/>
          <w:bCs/>
        </w:rPr>
        <w:t xml:space="preserve">LLPS mechanism</w:t>
      </w:r>
      <w:r>
        <w:t xml:space="preserve">: it is dominated by</w:t>
      </w:r>
      <w:r>
        <w:t xml:space="preserve"> </w:t>
      </w:r>
      <w:r>
        <w:rPr>
          <w:b/>
          <w:bCs/>
        </w:rPr>
        <w:t xml:space="preserve">hydrophobicity</w:t>
      </w:r>
      <w:r>
        <w:t xml:space="preserve"> </w:t>
      </w:r>
      <w:r>
        <w:t xml:space="preserve">(ρ = −0.69, strongest</w:t>
      </w:r>
      <w:r>
        <w:t xml:space="preserve"> </w:t>
      </w:r>
      <w:r>
        <w:t xml:space="preserve">correlate), rises with</w:t>
      </w:r>
      <w:r>
        <w:t xml:space="preserve"> </w:t>
      </w:r>
      <w:r>
        <w:rPr>
          <w:b/>
          <w:bCs/>
        </w:rPr>
        <w:t xml:space="preserve">chain length</w:t>
      </w:r>
      <w:r>
        <w:t xml:space="preserve"> </w:t>
      </w:r>
      <w:r>
        <w:t xml:space="preserve">(ρ = +0.56) and</w:t>
      </w:r>
      <w:r>
        <w:t xml:space="preserve"> </w:t>
      </w:r>
      <w:r>
        <w:rPr>
          <w:b/>
          <w:bCs/>
        </w:rPr>
        <w:t xml:space="preserve">disorder</w:t>
      </w:r>
      <w:r>
        <w:t xml:space="preserve"> </w:t>
      </w:r>
      <w:r>
        <w:t xml:space="preserve">(ρ = +0.33), and falls with</w:t>
      </w:r>
      <w:r>
        <w:t xml:space="preserve"> </w:t>
      </w:r>
      <w:r>
        <w:rPr>
          <w:b/>
          <w:bCs/>
        </w:rPr>
        <w:t xml:space="preserve">TMD count</w:t>
      </w:r>
      <w:r>
        <w:t xml:space="preserve"> </w:t>
      </w:r>
      <w:r>
        <w:t xml:space="preserve">(ρ = −0.41). Large single-pass</w:t>
      </w:r>
      <w:r>
        <w:t xml:space="preserve"> </w:t>
      </w:r>
      <w:r>
        <w:t xml:space="preserve">receptors/RTKs with big disordered tails (EGFR, ERBB2, JPH2, CKAP4) rank</w:t>
      </w:r>
      <w:r>
        <w:t xml:space="preserve"> </w:t>
      </w:r>
      <w:r>
        <w:rPr>
          <w:b/>
          <w:bCs/>
        </w:rPr>
        <w:t xml:space="preserve">high</w:t>
      </w:r>
      <w:r>
        <w:t xml:space="preserve">; compact, hydrophobic multi-pass transporters/channels and small</w:t>
      </w:r>
      <w:r>
        <w:t xml:space="preserve"> </w:t>
      </w:r>
      <w:r>
        <w:t xml:space="preserve">tail-anchored proteins (MALL, NPY2R, MFSD1) — several with genuine LLPS</w:t>
      </w:r>
      <w:r>
        <w:t xml:space="preserve"> </w:t>
      </w:r>
      <w:r>
        <w:t xml:space="preserve">evidence — are systematically</w:t>
      </w:r>
      <w:r>
        <w:t xml:space="preserve"> </w:t>
      </w:r>
      <w:r>
        <w:rPr>
          <w:b/>
          <w:bCs/>
        </w:rPr>
        <w:t xml:space="preserve">under-ranked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Delineates a</w:t>
      </w:r>
      <w:r>
        <w:t xml:space="preserve"> </w:t>
      </w:r>
      <w:r>
        <w:rPr>
          <w:b/>
          <w:bCs/>
        </w:rPr>
        <w:t xml:space="preserve">membrane-protein-specific failure mode</w:t>
      </w:r>
      <w:r>
        <w:t xml:space="preserve"> </w:t>
      </w:r>
      <w:r>
        <w:t xml:space="preserve">— predictors reward</w:t>
      </w:r>
      <w:r>
        <w:t xml:space="preserve"> </w:t>
      </w:r>
      <w:r>
        <w:t xml:space="preserve">the generic disorder/length signature and penalise membrane-embedded</w:t>
      </w:r>
      <w:r>
        <w:t xml:space="preserve"> </w:t>
      </w:r>
      <w:r>
        <w:t xml:space="preserve">architecture irrespective of experimental mechanism; argues for</w:t>
      </w:r>
      <w:r>
        <w:t xml:space="preserve"> </w:t>
      </w:r>
      <w:r>
        <w:t xml:space="preserve">topology-aware training and evaluation.</w:t>
      </w:r>
    </w:p>
    <w:bookmarkEnd w:id="9"/>
    <w:bookmarkStart w:id="10" w:name="introduction-draft-points"/>
    <w:p>
      <w:pPr>
        <w:pStyle w:val="Heading1"/>
      </w:pPr>
      <w:r>
        <w:t xml:space="preserve">Introduction (draft points)</w:t>
      </w:r>
    </w:p>
    <w:p>
      <w:pPr>
        <w:pStyle w:val="Compact"/>
        <w:numPr>
          <w:ilvl w:val="0"/>
          <w:numId w:val="1002"/>
        </w:numPr>
      </w:pPr>
      <w:r>
        <w:t xml:space="preserve">LLPS organises the cell into membraneless compartments; curated databases</w:t>
      </w:r>
      <w:r>
        <w:t xml:space="preserve"> </w:t>
      </w:r>
      <w:r>
        <w:t xml:space="preserve">(</w:t>
      </w:r>
      <w:r>
        <w:t xml:space="preserve">You et al.</w:t>
      </w:r>
      <w:r>
        <w:t xml:space="preserve"> </w:t>
      </w:r>
      <w:r>
        <w:t xml:space="preserve">2020;</w:t>
      </w:r>
      <w:r>
        <w:t xml:space="preserve"> </w:t>
      </w:r>
      <w:r>
        <w:t xml:space="preserve">Li et al.</w:t>
      </w:r>
      <w:r>
        <w:t xml:space="preserve"> </w:t>
      </w:r>
      <w:r>
        <w:t xml:space="preserve">2020;</w:t>
      </w:r>
      <w:r>
        <w:t xml:space="preserve"> </w:t>
      </w:r>
      <w:r>
        <w:t xml:space="preserve">Ning et al.</w:t>
      </w:r>
      <w:r>
        <w:t xml:space="preserve"> </w:t>
      </w:r>
      <w:r>
        <w:t xml:space="preserve">2020;</w:t>
      </w:r>
      <w:r>
        <w:t xml:space="preserve"> </w:t>
      </w:r>
      <w:r>
        <w:t xml:space="preserve">Mészáros et al.</w:t>
      </w:r>
      <w:r>
        <w:t xml:space="preserve"> </w:t>
      </w:r>
      <w:r>
        <w:t xml:space="preserve">2020;</w:t>
      </w:r>
      <w:r>
        <w:t xml:space="preserve"> </w:t>
      </w:r>
      <w:r>
        <w:t xml:space="preserve">Rostam et al.</w:t>
      </w:r>
      <w:r>
        <w:t xml:space="preserve"> </w:t>
      </w:r>
      <w:r>
        <w:t xml:space="preserve">2023)</w:t>
      </w:r>
      <w:r>
        <w:t xml:space="preserve"> </w:t>
      </w:r>
      <w:r>
        <w:t xml:space="preserve">have</w:t>
      </w:r>
      <w:r>
        <w:t xml:space="preserve"> </w:t>
      </w:r>
      <w:r>
        <w:t xml:space="preserve">enabled many sequence- and structure-based predictors.</w:t>
      </w:r>
    </w:p>
    <w:p>
      <w:pPr>
        <w:pStyle w:val="Compact"/>
        <w:numPr>
          <w:ilvl w:val="0"/>
          <w:numId w:val="1002"/>
        </w:numPr>
      </w:pPr>
      <w:r>
        <w:t xml:space="preserve">Predictor families span: prion-like / low-complexity composition</w:t>
      </w:r>
      <w:r>
        <w:t xml:space="preserve"> </w:t>
      </w:r>
      <w:r>
        <w:t xml:space="preserve">(Lancaster et al. 2014; Wootton and Federhen 1993)</w:t>
      </w:r>
      <w:r>
        <w:t xml:space="preserve">; π–π and cation–π interaction models</w:t>
      </w:r>
      <w:r>
        <w:t xml:space="preserve"> </w:t>
      </w:r>
      <w:r>
        <w:t xml:space="preserve">(</w:t>
      </w:r>
      <w:r>
        <w:t xml:space="preserve">Vernon et al.</w:t>
      </w:r>
      <w:r>
        <w:t xml:space="preserve"> </w:t>
      </w:r>
      <w:r>
        <w:t xml:space="preserve">2018)</w:t>
      </w:r>
      <w:r>
        <w:t xml:space="preserve">;</w:t>
      </w:r>
      <w:r>
        <w:t xml:space="preserve"> </w:t>
      </w:r>
      <w:r>
        <w:t xml:space="preserve">disorder proxies</w:t>
      </w:r>
      <w:r>
        <w:t xml:space="preserve"> </w:t>
      </w:r>
      <w:r>
        <w:t xml:space="preserve">(Walsh et al. 2012; Mészáros et al. 2018)</w:t>
      </w:r>
      <w:r>
        <w:t xml:space="preserve">; physicochemical scores</w:t>
      </w:r>
      <w:r>
        <w:t xml:space="preserve"> </w:t>
      </w:r>
      <w:r>
        <w:t xml:space="preserve">(</w:t>
      </w:r>
      <w:r>
        <w:t xml:space="preserve">Bolognesi et al.</w:t>
      </w:r>
      <w:r>
        <w:t xml:space="preserve"> </w:t>
      </w:r>
      <w:r>
        <w:t xml:space="preserve">2016)</w:t>
      </w:r>
      <w:r>
        <w:t xml:space="preserve">; deep sequence models</w:t>
      </w:r>
      <w:r>
        <w:t xml:space="preserve"> </w:t>
      </w:r>
      <w:r>
        <w:t xml:space="preserve">(</w:t>
      </w:r>
      <w:r>
        <w:t xml:space="preserve">Saar et al.</w:t>
      </w:r>
      <w:r>
        <w:t xml:space="preserve"> </w:t>
      </w:r>
      <w:r>
        <w:t xml:space="preserve">2021)</w:t>
      </w:r>
      <w:r>
        <w:t xml:space="preserve">; and ML classifiers</w:t>
      </w:r>
      <w:r>
        <w:t xml:space="preserve"> </w:t>
      </w:r>
      <w:r>
        <w:t xml:space="preserve">using AlphaFold features</w:t>
      </w:r>
      <w:r>
        <w:t xml:space="preserve"> </w:t>
      </w:r>
      <w:r>
        <w:t xml:space="preserve">(</w:t>
      </w:r>
      <w:r>
        <w:t xml:space="preserve">Jumper et al.</w:t>
      </w:r>
      <w:r>
        <w:t xml:space="preserve"> </w:t>
      </w:r>
      <w:r>
        <w:t xml:space="preserve">2021;</w:t>
      </w:r>
      <w:r>
        <w:t xml:space="preserve"> </w:t>
      </w:r>
      <w:r>
        <w:t xml:space="preserve">Pulido-Quetglas et al.</w:t>
      </w:r>
      <w:r>
        <w:t xml:space="preserve"> </w:t>
      </w:r>
      <w:r>
        <w:t xml:space="preserve">2024;</w:t>
      </w:r>
      <w:r>
        <w:t xml:space="preserve"> </w:t>
      </w:r>
      <w:r>
        <w:t xml:space="preserve">Hou et al.</w:t>
      </w:r>
      <w:r>
        <w:t xml:space="preserve"> </w:t>
      </w:r>
      <w:r>
        <w:t xml:space="preserve">2024;</w:t>
      </w:r>
      <w:r>
        <w:t xml:space="preserve"> </w:t>
      </w:r>
      <w:r>
        <w:t xml:space="preserve">Sun et al.</w:t>
      </w:r>
      <w:r>
        <w:t xml:space="preserve"> </w:t>
      </w:r>
      <w:r>
        <w:t xml:space="preserve">2024;</w:t>
      </w:r>
      <w:r>
        <w:t xml:space="preserve"> </w:t>
      </w:r>
      <w:r>
        <w:t xml:space="preserve">Mierlo et al.</w:t>
      </w:r>
      <w:r>
        <w:t xml:space="preserve"> </w:t>
      </w:r>
      <w:r>
        <w:t xml:space="preserve">2021;</w:t>
      </w:r>
      <w:r>
        <w:t xml:space="preserve"> </w:t>
      </w:r>
      <w:r>
        <w:t xml:space="preserve">Chen et al.</w:t>
      </w:r>
      <w:r>
        <w:t xml:space="preserve"> </w:t>
      </w:r>
      <w:r>
        <w:t xml:space="preserve">2022;</w:t>
      </w:r>
      <w:r>
        <w:t xml:space="preserve"> </w:t>
      </w:r>
      <w:r>
        <w:t xml:space="preserve">Li et al.</w:t>
      </w:r>
      <w:r>
        <w:t xml:space="preserve"> </w:t>
      </w:r>
      <w:r>
        <w:t xml:space="preserve">2025)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Problem</w:t>
      </w:r>
      <w:r>
        <w:t xml:space="preserve">: almost all trained/validated on soluble proteins. Membrane</w:t>
      </w:r>
      <w:r>
        <w:t xml:space="preserve"> </w:t>
      </w:r>
      <w:r>
        <w:t xml:space="preserve">proteins (~25% of the proteome, majority of drug targets) are largely absent</w:t>
      </w:r>
      <w:r>
        <w:t xml:space="preserve"> </w:t>
      </w:r>
      <w:r>
        <w:t xml:space="preserve">from training corpora yet routinely scored.</w:t>
      </w:r>
    </w:p>
    <w:p>
      <w:pPr>
        <w:pStyle w:val="Compact"/>
        <w:numPr>
          <w:ilvl w:val="0"/>
          <w:numId w:val="1002"/>
        </w:numPr>
      </w:pPr>
      <w:r>
        <w:t xml:space="preserve">Membrane proteins break predictor assumptions three ways:</w:t>
      </w:r>
    </w:p>
    <w:p>
      <w:pPr>
        <w:pStyle w:val="Compact"/>
        <w:numPr>
          <w:ilvl w:val="1"/>
          <w:numId w:val="1003"/>
        </w:numPr>
      </w:pPr>
      <w:r>
        <w:t xml:space="preserve">TM segments are hydrophobic α-helices whose composition mimics the</w:t>
      </w:r>
      <w:r>
        <w:t xml:space="preserve"> </w:t>
      </w:r>
      <w:r>
        <w:t xml:space="preserve">low-complexity regions some tools flag as LLPS-prone;</w:t>
      </w:r>
    </w:p>
    <w:p>
      <w:pPr>
        <w:pStyle w:val="Compact"/>
        <w:numPr>
          <w:ilvl w:val="1"/>
          <w:numId w:val="1003"/>
        </w:numPr>
      </w:pPr>
      <w:r>
        <w:t xml:space="preserve">extra-membrane domains are split into cytoplasmic vs extracellular/lumenal</w:t>
      </w:r>
      <w:r>
        <w:t xml:space="preserve"> </w:t>
      </w:r>
      <w:r>
        <w:t xml:space="preserve">faces with very different physicochemistry;</w:t>
      </w:r>
    </w:p>
    <w:p>
      <w:pPr>
        <w:pStyle w:val="Compact"/>
        <w:numPr>
          <w:ilvl w:val="1"/>
          <w:numId w:val="1003"/>
        </w:numPr>
      </w:pPr>
      <w:r>
        <w:t xml:space="preserve">documented membrane LLPS (TCR/LAT clustering, Wnt signalosome,</w:t>
      </w:r>
      <w:r>
        <w:t xml:space="preserve"> </w:t>
      </w:r>
      <w:r>
        <w:t xml:space="preserve">nephrin/NCK/N-WASP) is driven by</w:t>
      </w:r>
      <w:r>
        <w:t xml:space="preserve"> </w:t>
      </w:r>
      <w:r>
        <w:rPr>
          <w:b/>
          <w:bCs/>
        </w:rPr>
        <w:t xml:space="preserve">cytoplasmic tails</w:t>
      </w:r>
      <w:r>
        <w:t xml:space="preserve">, not the</w:t>
      </w:r>
      <w:r>
        <w:t xml:space="preserve"> </w:t>
      </w:r>
      <w:r>
        <w:t xml:space="preserve">membrane-embedded core.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This study</w:t>
      </w:r>
      <w:r>
        <w:t xml:space="preserve"> </w:t>
      </w:r>
      <w:r>
        <w:t xml:space="preserve">— 18 predictors × 60 curated membrane LLPS proteins, with three</w:t>
      </w:r>
      <w:r>
        <w:t xml:space="preserve"> </w:t>
      </w:r>
      <w:r>
        <w:t xml:space="preserve">membrane-specific design choices:</w:t>
      </w:r>
    </w:p>
    <w:p>
      <w:pPr>
        <w:pStyle w:val="Compact"/>
        <w:numPr>
          <w:ilvl w:val="1"/>
          <w:numId w:val="1004"/>
        </w:numPr>
      </w:pPr>
      <w:r>
        <w:t xml:space="preserve">same-class (membrane-vs-membrane) background;</w:t>
      </w:r>
    </w:p>
    <w:p>
      <w:pPr>
        <w:pStyle w:val="Compact"/>
        <w:numPr>
          <w:ilvl w:val="1"/>
          <w:numId w:val="1004"/>
        </w:numPr>
      </w:pPr>
      <w:r>
        <w:t xml:space="preserve">protein-by-protein training-set</w:t>
      </w:r>
      <w:r>
        <w:t xml:space="preserve"> </w:t>
      </w:r>
      <w:r>
        <w:rPr>
          <w:b/>
          <w:bCs/>
        </w:rPr>
        <w:t xml:space="preserve">leakage audit</w:t>
      </w:r>
      <w:r>
        <w:t xml:space="preserve"> </w:t>
      </w:r>
      <w:r>
        <w:t xml:space="preserve">+ leakage-corrected AUROC;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topology-resolved</w:t>
      </w:r>
      <w:r>
        <w:t xml:space="preserve"> </w:t>
      </w:r>
      <w:r>
        <w:t xml:space="preserve">scoring (cytoplasmic / TM / extracellular-lumenal).</w:t>
      </w:r>
    </w:p>
    <w:bookmarkEnd w:id="10"/>
    <w:bookmarkStart w:id="33" w:name="results"/>
    <w:p>
      <w:pPr>
        <w:pStyle w:val="Heading1"/>
      </w:pPr>
      <w:r>
        <w:t xml:space="preserve">Results</w:t>
      </w:r>
    </w:p>
    <w:bookmarkStart w:id="14" w:name="Xae98f58c2db609cdb2b6634ac221a1ed21f0ab1"/>
    <w:p>
      <w:pPr>
        <w:pStyle w:val="Heading2"/>
      </w:pPr>
      <w:r>
        <w:t xml:space="preserve">1. Structure-aware models lead; a soluble-tuned biophysical model fails</w:t>
      </w:r>
    </w:p>
    <w:p>
      <w:pPr>
        <w:pStyle w:val="FirstParagraph"/>
      </w:pPr>
      <w:r>
        <w:drawing>
          <wp:inline>
            <wp:extent cx="5334000" cy="1481164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figures/fig1_benchmark_leakage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81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5"/>
        </w:numPr>
      </w:pPr>
      <w:r>
        <w:t xml:space="preserve">Set: 60 human membrane proteins with curated LLPS evidence (56 PhaSepDB, rest</w:t>
      </w:r>
      <w:r>
        <w:t xml:space="preserve"> </w:t>
      </w:r>
      <w:r>
        <w:t xml:space="preserve">LLPSDB); each scored by 18 predictors; discrimination = AUROC vs a background</w:t>
      </w:r>
      <w:r>
        <w:t xml:space="preserve"> </w:t>
      </w:r>
      <w:r>
        <w:t xml:space="preserve">of other human membrane proteins.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Top tier (structure-aware, AlphaFold features)</w:t>
      </w:r>
      <w:r>
        <w:t xml:space="preserve">: PSPHunter</w:t>
      </w:r>
      <w:r>
        <w:t xml:space="preserve"> </w:t>
      </w:r>
      <w:r>
        <w:rPr>
          <w:b/>
          <w:bCs/>
        </w:rPr>
        <w:t xml:space="preserve">0.80</w:t>
      </w:r>
      <w:r>
        <w:t xml:space="preserve">, PSPire</w:t>
      </w:r>
      <w:r>
        <w:t xml:space="preserve"> </w:t>
      </w:r>
      <w:r>
        <w:rPr>
          <w:b/>
          <w:bCs/>
        </w:rPr>
        <w:t xml:space="preserve">0.77</w:t>
      </w:r>
      <w:r>
        <w:t xml:space="preserve">, PdPS</w:t>
      </w:r>
      <w:r>
        <w:t xml:space="preserve"> </w:t>
      </w:r>
      <w:r>
        <w:rPr>
          <w:b/>
          <w:bCs/>
        </w:rPr>
        <w:t xml:space="preserve">0.76</w:t>
      </w:r>
      <w:r>
        <w:t xml:space="preserve"> </w:t>
      </w:r>
      <w:r>
        <w:t xml:space="preserve">(</w:t>
      </w:r>
      <w:r>
        <w:t xml:space="preserve">Sun et al.</w:t>
      </w:r>
      <w:r>
        <w:t xml:space="preserve"> </w:t>
      </w:r>
      <w:r>
        <w:t xml:space="preserve">2024;</w:t>
      </w:r>
      <w:r>
        <w:t xml:space="preserve"> </w:t>
      </w:r>
      <w:r>
        <w:t xml:space="preserve">Hou et al.</w:t>
      </w:r>
      <w:r>
        <w:t xml:space="preserve"> </w:t>
      </w:r>
      <w:r>
        <w:t xml:space="preserve">2024;</w:t>
      </w:r>
      <w:r>
        <w:t xml:space="preserve"> </w:t>
      </w:r>
      <w:r>
        <w:t xml:space="preserve">Chen et al.</w:t>
      </w:r>
      <w:r>
        <w:t xml:space="preserve"> </w:t>
      </w:r>
      <w:r>
        <w:t xml:space="preserve">2022)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Middle tier</w:t>
      </w:r>
      <w:r>
        <w:t xml:space="preserve">: PICNIC variants + SaPS, AUROC ≈ 0.70–0.71</w:t>
      </w:r>
      <w:r>
        <w:t xml:space="preserve"> </w:t>
      </w:r>
      <w:r>
        <w:t xml:space="preserve">(</w:t>
      </w:r>
      <w:r>
        <w:t xml:space="preserve">Pulido-Quetglas et al.</w:t>
      </w:r>
      <w:r>
        <w:t xml:space="preserve"> </w:t>
      </w:r>
      <w:r>
        <w:t xml:space="preserve">2024)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Compositional / disorder proxies</w:t>
      </w:r>
      <w:r>
        <w:t xml:space="preserve"> </w:t>
      </w:r>
      <w:r>
        <w:t xml:space="preserve">near 0.6: PLAAC 0.62, PSAP 0.59,</w:t>
      </w:r>
      <w:r>
        <w:t xml:space="preserve"> </w:t>
      </w:r>
      <w:r>
        <w:t xml:space="preserve">DeePhase 0.58, ESpritz 0.58.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At/below chance</w:t>
      </w:r>
      <w:r>
        <w:t xml:space="preserve">: R+Y 0.52, SEG 0.48,</w:t>
      </w:r>
      <w:r>
        <w:t xml:space="preserve"> </w:t>
      </w:r>
      <w:r>
        <w:rPr>
          <w:b/>
          <w:bCs/>
        </w:rPr>
        <w:t xml:space="preserve">LLPhyScore 0.49</w:t>
      </w:r>
      <w:r>
        <w:t xml:space="preserve">. LLPhyScore is</w:t>
      </w:r>
      <w:r>
        <w:t xml:space="preserve"> </w:t>
      </w:r>
      <w:r>
        <w:t xml:space="preserve">biophysically interpretable but tuned on soluble IDRs</w:t>
      </w:r>
      <w:r>
        <w:t xml:space="preserve"> </w:t>
      </w:r>
      <w:r>
        <w:t xml:space="preserve">(Cai et al. 2022)</w:t>
      </w:r>
      <w:r>
        <w:t xml:space="preserve">;</w:t>
      </w:r>
      <w:r>
        <w:t xml:space="preserve"> </w:t>
      </w:r>
      <w:r>
        <w:t xml:space="preserve">retains no signal on membrane proteins even sign-flipped. → clearest evidence</w:t>
      </w:r>
      <w:r>
        <w:t xml:space="preserve"> </w:t>
      </w:r>
      <w:r>
        <w:t xml:space="preserve">that soluble-IDR inductive biases do not transfer.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Training-set leakage (Fig 1, right)</w:t>
      </w:r>
      <w:r>
        <w:t xml:space="preserve"> </w:t>
      </w:r>
      <w:r>
        <w:t xml:space="preserve">— substantial and</w:t>
      </w:r>
      <w:r>
        <w:t xml:space="preserve"> </w:t>
      </w:r>
      <w:r>
        <w:rPr>
          <w:i/>
          <w:iCs/>
        </w:rPr>
        <w:t xml:space="preserve">asymmetric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t xml:space="preserve">25/60 positives (42%) flagged for ≥1 predictor.</w:t>
      </w:r>
    </w:p>
    <w:p>
      <w:pPr>
        <w:pStyle w:val="Compact"/>
        <w:numPr>
          <w:ilvl w:val="1"/>
          <w:numId w:val="1006"/>
        </w:numPr>
      </w:pPr>
      <w:r>
        <w:t xml:space="preserve">For the leaders, leaked proteins are mostly</w:t>
      </w:r>
      <w:r>
        <w:t xml:space="preserve"> </w:t>
      </w:r>
      <w:r>
        <w:rPr>
          <w:b/>
          <w:bCs/>
        </w:rPr>
        <w:t xml:space="preserve">negatives</w:t>
      </w:r>
      <w:r>
        <w:t xml:space="preserve"> </w:t>
      </w:r>
      <w:r>
        <w:t xml:space="preserve">in the background</w:t>
      </w:r>
      <w:r>
        <w:t xml:space="preserve"> </w:t>
      </w:r>
      <w:r>
        <w:t xml:space="preserve">(PSPHunter 22 neg vs 4 pos; PdPS 23 vs 2).</w:t>
      </w:r>
    </w:p>
    <w:p>
      <w:pPr>
        <w:pStyle w:val="Compact"/>
        <w:numPr>
          <w:ilvl w:val="1"/>
          <w:numId w:val="1006"/>
        </w:numPr>
      </w:pPr>
      <w:r>
        <w:t xml:space="preserve">Removing leaked proteins therefore</w:t>
      </w:r>
      <w:r>
        <w:t xml:space="preserve"> </w:t>
      </w:r>
      <w:r>
        <w:rPr>
          <w:b/>
          <w:bCs/>
        </w:rPr>
        <w:t xml:space="preserve">raises</w:t>
      </w:r>
      <w:r>
        <w:t xml:space="preserve"> </w:t>
      </w:r>
      <w:r>
        <w:t xml:space="preserve">the leaders: PSPHunter →</w:t>
      </w:r>
      <w:r>
        <w:t xml:space="preserve"> </w:t>
      </w:r>
      <w:r>
        <w:rPr>
          <w:b/>
          <w:bCs/>
        </w:rPr>
        <w:t xml:space="preserve">0.90</w:t>
      </w:r>
      <w:r>
        <w:t xml:space="preserve"> </w:t>
      </w:r>
      <w:r>
        <w:t xml:space="preserve">(95% CI 0.86–0.94), PSPire → 0.81, PdPS → 0.81.</w:t>
      </w:r>
    </w:p>
    <w:p>
      <w:pPr>
        <w:pStyle w:val="Compact"/>
        <w:numPr>
          <w:ilvl w:val="1"/>
          <w:numId w:val="1006"/>
        </w:numPr>
      </w:pPr>
      <w:r>
        <w:t xml:space="preserve">PDL (leaked proteins all positives)</w:t>
      </w:r>
      <w:r>
        <w:t xml:space="preserve"> </w:t>
      </w:r>
      <w:r>
        <w:rPr>
          <w:b/>
          <w:bCs/>
        </w:rPr>
        <w:t xml:space="preserve">drops</w:t>
      </w:r>
      <w:r>
        <w:t xml:space="preserve"> </w:t>
      </w:r>
      <w:r>
        <w:t xml:space="preserve">0.63 → 0.58.</w:t>
      </w:r>
    </w:p>
    <w:p>
      <w:pPr>
        <w:pStyle w:val="Compact"/>
        <w:numPr>
          <w:ilvl w:val="1"/>
          <w:numId w:val="1006"/>
        </w:numPr>
      </w:pPr>
      <w:r>
        <w:t xml:space="preserve">Leakage-corrected values used throughout.</w:t>
      </w:r>
    </w:p>
    <w:bookmarkEnd w:id="14"/>
    <w:bookmarkStart w:id="18" w:name="X8ccfb388ecfffa84fd921b14e29128f9b5094ce"/>
    <w:p>
      <w:pPr>
        <w:pStyle w:val="Heading2"/>
      </w:pPr>
      <w:r>
        <w:t xml:space="preserve">2. Predictor scores follow the membrane topology</w:t>
      </w:r>
    </w:p>
    <w:p>
      <w:pPr>
        <w:pStyle w:val="FirstParagraph"/>
      </w:pPr>
      <w:r>
        <w:drawing>
          <wp:inline>
            <wp:extent cx="5334000" cy="2408725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figures/fig2_topology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8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7"/>
        </w:numPr>
      </w:pPr>
      <w:r>
        <w:t xml:space="preserve">Test: partition per-residue / per-region scores into cytoplasmic, TM, and</w:t>
      </w:r>
      <w:r>
        <w:t xml:space="preserve"> </w:t>
      </w:r>
      <w:r>
        <w:t xml:space="preserve">extracellular/lumenal using UniProt topology; compare each region vs</w:t>
      </w:r>
      <w:r>
        <w:t xml:space="preserve"> </w:t>
      </w:r>
      <w:r>
        <w:t xml:space="preserve">whole-protein score (paired Wilcoxon, BH-FDR).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Structure tools on AlphaFold models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PICNIC: cytoplasmic</w:t>
      </w:r>
      <w:r>
        <w:t xml:space="preserve"> </w:t>
      </w:r>
      <w:r>
        <w:rPr>
          <w:b/>
          <w:bCs/>
        </w:rPr>
        <w:t xml:space="preserve">above</w:t>
      </w:r>
      <w:r>
        <w:t xml:space="preserve"> </w:t>
      </w:r>
      <w:r>
        <w:t xml:space="preserve">whole (median Δ = +0.14, FDR &lt; 10⁻⁷); TM</w:t>
      </w:r>
      <w:r>
        <w:t xml:space="preserve"> </w:t>
      </w:r>
      <w:r>
        <w:rPr>
          <w:b/>
          <w:bCs/>
        </w:rPr>
        <w:t xml:space="preserve">below</w:t>
      </w:r>
      <w:r>
        <w:t xml:space="preserve"> </w:t>
      </w:r>
      <w:r>
        <w:t xml:space="preserve">(Δ = −0.14, FDR &lt; 10⁻⁷).</w:t>
      </w:r>
    </w:p>
    <w:p>
      <w:pPr>
        <w:pStyle w:val="Compact"/>
        <w:numPr>
          <w:ilvl w:val="1"/>
          <w:numId w:val="1008"/>
        </w:numPr>
      </w:pPr>
      <w:r>
        <w:t xml:space="preserve">PSPire: same TM suppression (Δ = −0.11, FDR &lt; 10⁻⁷).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Cytoplasmic &gt; TM in 7/8 position-aware tools (all FDR &lt; 0.05, Fig 2b)</w:t>
      </w:r>
      <w:r>
        <w:t xml:space="preserve">:</w:t>
      </w:r>
      <w:r>
        <w:t xml:space="preserve"> </w:t>
      </w:r>
      <w:r>
        <w:t xml:space="preserve">PLAAC 98% of proteins, ESpritz 94%, PICNIC 94%, ParSe2 88%, catGRANULE 82%,</w:t>
      </w:r>
      <w:r>
        <w:t xml:space="preserve"> </w:t>
      </w:r>
      <w:r>
        <w:t xml:space="preserve">PSPire 80%, PScore 77%.</w:t>
      </w:r>
    </w:p>
    <w:p>
      <w:pPr>
        <w:pStyle w:val="Compact"/>
        <w:numPr>
          <w:ilvl w:val="0"/>
          <w:numId w:val="1007"/>
        </w:numPr>
      </w:pPr>
      <w:r>
        <w:t xml:space="preserve">Largest median cyto−TM gap: PICNIC Δ = 0.47, PSPire Δ = 0.28.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Lone reversal: SEG</w:t>
      </w:r>
      <w:r>
        <w:t xml:space="preserve"> </w:t>
      </w:r>
      <w:r>
        <w:t xml:space="preserve">(low-complexity masker) — TM scored</w:t>
      </w:r>
      <w:r>
        <w:t xml:space="preserve"> </w:t>
      </w:r>
      <w:r>
        <w:rPr>
          <w:i/>
          <w:iCs/>
        </w:rPr>
        <w:t xml:space="preserve">higher</w:t>
      </w:r>
      <w:r>
        <w:t xml:space="preserve"> </w:t>
      </w:r>
      <w:r>
        <w:t xml:space="preserve">(29%</w:t>
      </w:r>
      <w:r>
        <w:t xml:space="preserve"> </w:t>
      </w:r>
      <w:r>
        <w:t xml:space="preserve">cyto &gt; TM; median Δ = −0.17, FDR &lt; 10⁻³), as expected for a tool that flags</w:t>
      </w:r>
      <w:r>
        <w:t xml:space="preserve"> </w:t>
      </w:r>
      <w:r>
        <w:t xml:space="preserve">hydrophobic α-helices.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Read</w:t>
      </w:r>
      <w:r>
        <w:t xml:space="preserve">: given topology, the tools localise their signal to the cytoplasmic</w:t>
      </w:r>
      <w:r>
        <w:t xml:space="preserve"> </w:t>
      </w:r>
      <w:r>
        <w:t xml:space="preserve">face — consistent with membrane-condensate biology — even when the</w:t>
      </w:r>
      <w:r>
        <w:t xml:space="preserve"> </w:t>
      </w:r>
      <w:r>
        <w:t xml:space="preserve">whole-protein score is uninformative.</w:t>
      </w:r>
    </w:p>
    <w:bookmarkEnd w:id="18"/>
    <w:bookmarkStart w:id="28" w:name="Xa3a597d32238ba0d880e0fa1cb4bee80624c6ab"/>
    <w:p>
      <w:pPr>
        <w:pStyle w:val="Heading2"/>
      </w:pPr>
      <w:r>
        <w:t xml:space="preserve">3. A cross-predictor consensus tracks the soluble-IDR signature, not mechanism</w:t>
      </w:r>
    </w:p>
    <w:p>
      <w:pPr>
        <w:pStyle w:val="FirstParagraph"/>
      </w:pPr>
      <w:r>
        <w:drawing>
          <wp:inline>
            <wp:extent cx="5334000" cy="4503196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figures/fig3_consensus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03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9"/>
        </w:numPr>
      </w:pPr>
      <w:r>
        <w:t xml:space="preserve">Consensus = each tool’s per-protein rank (LLPhyScore sign-flipped), averaged</w:t>
      </w:r>
      <w:r>
        <w:t xml:space="preserve"> </w:t>
      </w:r>
      <w:r>
        <w:t xml:space="preserve">across the 18 tools; reported as</w:t>
      </w:r>
      <w:r>
        <w:t xml:space="preserve"> </w:t>
      </w:r>
      <w:r>
        <w:rPr>
          <w:b/>
          <w:bCs/>
        </w:rPr>
        <w:t xml:space="preserve">plain mean rank</w:t>
      </w:r>
      <w:r>
        <w:t xml:space="preserve"> </w:t>
      </w:r>
      <w:r>
        <w:t xml:space="preserve">(headline) with the</w:t>
      </w:r>
      <w:r>
        <w:t xml:space="preserve"> </w:t>
      </w:r>
      <w:r>
        <w:t xml:space="preserve">AUROC-weighted mean as a supplement (the two agree, ρ = 0.996, and give the</w:t>
      </w:r>
      <w:r>
        <w:t xml:space="preserve"> </w:t>
      </w:r>
      <w:r>
        <w:t xml:space="preserve">same top/bottom proteins). Between-predictor SD gives a disagreement score.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Governed by the classic soluble-IDR signature</w:t>
      </w:r>
      <w:r>
        <w:t xml:space="preserve">, not membrane biology: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Hydrophobicity is the single strongest correlate</w:t>
      </w:r>
      <w:r>
        <w:t xml:space="preserve">: whole-protein</w:t>
      </w:r>
      <w:r>
        <w:t xml:space="preserve"> </w:t>
      </w:r>
      <w:r>
        <w:t xml:space="preserve">Kyte–Doolittle hydropathy ρ =</w:t>
      </w:r>
      <w:r>
        <w:t xml:space="preserve"> </w:t>
      </w:r>
      <w:r>
        <w:rPr>
          <w:b/>
          <w:bCs/>
        </w:rPr>
        <w:t xml:space="preserve">−0.69</w:t>
      </w:r>
      <w:r>
        <w:t xml:space="preserve"> </w:t>
      </w:r>
      <w:r>
        <w:t xml:space="preserve">— more hydrophobic ⇒ ranked lower.</w:t>
      </w:r>
    </w:p>
    <w:p>
      <w:pPr>
        <w:pStyle w:val="Compact"/>
        <w:numPr>
          <w:ilvl w:val="1"/>
          <w:numId w:val="1010"/>
        </w:numPr>
      </w:pPr>
      <w:r>
        <w:t xml:space="preserve">Chain length ρ =</w:t>
      </w:r>
      <w:r>
        <w:t xml:space="preserve"> </w:t>
      </w:r>
      <w:r>
        <w:rPr>
          <w:b/>
          <w:bCs/>
        </w:rPr>
        <w:t xml:space="preserve">+0.56</w:t>
      </w:r>
      <w:r>
        <w:t xml:space="preserve"> </w:t>
      </w:r>
      <w:r>
        <w:t xml:space="preserve">— longer ⇒ higher; holds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single-pass</w:t>
      </w:r>
      <w:r>
        <w:t xml:space="preserve"> </w:t>
      </w:r>
      <w:r>
        <w:t xml:space="preserve">proteins alone.</w:t>
      </w:r>
    </w:p>
    <w:p>
      <w:pPr>
        <w:pStyle w:val="Compact"/>
        <w:numPr>
          <w:ilvl w:val="1"/>
          <w:numId w:val="1010"/>
        </w:numPr>
      </w:pPr>
      <w:r>
        <w:t xml:space="preserve">Disordered fraction ρ =</w:t>
      </w:r>
      <w:r>
        <w:t xml:space="preserve"> </w:t>
      </w:r>
      <w:r>
        <w:rPr>
          <w:b/>
          <w:bCs/>
        </w:rPr>
        <w:t xml:space="preserve">+0.33</w:t>
      </w:r>
      <w:r>
        <w:t xml:space="preserve">; LCR fraction and net charge also</w:t>
      </w:r>
      <w:r>
        <w:t xml:space="preserve"> </w:t>
      </w:r>
      <w:r>
        <w:t xml:space="preserve">positive.</w:t>
      </w:r>
    </w:p>
    <w:p>
      <w:pPr>
        <w:pStyle w:val="Compact"/>
        <w:numPr>
          <w:ilvl w:val="1"/>
          <w:numId w:val="1010"/>
        </w:numPr>
      </w:pPr>
      <w:r>
        <w:t xml:space="preserve">TMD count ρ =</w:t>
      </w:r>
      <w:r>
        <w:t xml:space="preserve"> </w:t>
      </w:r>
      <w:r>
        <w:rPr>
          <w:b/>
          <w:bCs/>
        </w:rPr>
        <w:t xml:space="preserve">−0.41</w:t>
      </w:r>
      <w:r>
        <w:t xml:space="preserve"> </w:t>
      </w:r>
      <w:r>
        <w:t xml:space="preserve">— more membrane passes ⇒ ranked lower.</w:t>
      </w:r>
    </w:p>
    <w:p>
      <w:pPr>
        <w:pStyle w:val="Compact"/>
        <w:numPr>
          <w:ilvl w:val="1"/>
          <w:numId w:val="1010"/>
        </w:numPr>
      </w:pPr>
      <w:r>
        <w:t xml:space="preserve">Partial-correlation control confirms</w:t>
      </w:r>
      <w:r>
        <w:t xml:space="preserve"> </w:t>
      </w:r>
      <w:r>
        <w:rPr>
          <w:b/>
          <w:bCs/>
        </w:rPr>
        <w:t xml:space="preserve">hydrophobicity, length and disorder</w:t>
      </w:r>
      <w:r>
        <w:rPr>
          <w:b/>
          <w:bCs/>
        </w:rPr>
        <w:t xml:space="preserve"> </w:t>
      </w:r>
      <w:r>
        <w:rPr>
          <w:b/>
          <w:bCs/>
        </w:rPr>
        <w:t xml:space="preserve">are independent axes</w:t>
      </w:r>
      <w:r>
        <w:t xml:space="preserve"> </w:t>
      </w:r>
      <w:r>
        <w:t xml:space="preserve">(each survives adjustment for the others), and the</w:t>
      </w:r>
      <w:r>
        <w:t xml:space="preserve"> </w:t>
      </w:r>
      <w:r>
        <w:t xml:space="preserve">hydrophobicity effect holds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both topology classes — so</w:t>
      </w:r>
      <w:r>
        <w:t xml:space="preserve"> </w:t>
      </w:r>
      <w:r>
        <w:t xml:space="preserve">“multi-pass lower”</w:t>
      </w:r>
      <w:r>
        <w:t xml:space="preserve"> </w:t>
      </w:r>
      <w:r>
        <w:t xml:space="preserve">is not merely a length artifact.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Consistently high</w:t>
      </w:r>
      <w:r>
        <w:t xml:space="preserve">: large single-pass receptors / RTKs with big disordered</w:t>
      </w:r>
      <w:r>
        <w:t xml:space="preserve"> </w:t>
      </w:r>
      <w:r>
        <w:t xml:space="preserve">cytoplasmic tails — JPH2 (0.84), CKAP4 (0.80), EGFR (0.77), ERBB2 (0.75),</w:t>
      </w:r>
      <w:r>
        <w:t xml:space="preserve"> </w:t>
      </w:r>
      <w:r>
        <w:t xml:space="preserve">MAVS (0.72), ALK (0.71), LRP6 (0.69), LAT (0.68), ERBB4 (0.65). These are the</w:t>
      </w:r>
      <w:r>
        <w:t xml:space="preserve"> </w:t>
      </w:r>
      <w:r>
        <w:rPr>
          <w:b/>
          <w:bCs/>
        </w:rPr>
        <w:t xml:space="preserve">best-documented</w:t>
      </w:r>
      <w:r>
        <w:t xml:space="preserve"> </w:t>
      </w:r>
      <w:r>
        <w:t xml:space="preserve">membrane LLPS drivers, and the tools rank them correctly.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Consistently low</w:t>
      </w:r>
      <w:r>
        <w:t xml:space="preserve">: compact / hydrophobic proteins — MALL (4 TMD, 153 aa;</w:t>
      </w:r>
      <w:r>
        <w:t xml:space="preserve"> </w:t>
      </w:r>
      <w:r>
        <w:t xml:space="preserve">0.19), NPY2R (7-TM GPCR; 0.20), TAZ (0.20), PAR3 (7 TMD; 0.23), MFSD1</w:t>
      </w:r>
      <w:r>
        <w:t xml:space="preserve"> </w:t>
      </w:r>
      <w:r>
        <w:t xml:space="preserve">(12 TMD; 0.24), COX7C (63 aa; 0.28), SC6A4 (12 TMD; 0.32). Several</w:t>
      </w:r>
      <w:r>
        <w:t xml:space="preserve"> </w:t>
      </w:r>
      <w:r>
        <w:t xml:space="preserve">(MFSD1, PAR3, the multi-pass transporters) carry genuine curated LLPS</w:t>
      </w:r>
      <w:r>
        <w:t xml:space="preserve"> </w:t>
      </w:r>
      <w:r>
        <w:t xml:space="preserve">evidence yet fall to the bottom.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Why the split</w:t>
      </w:r>
      <w:r>
        <w:t xml:space="preserve"> </w:t>
      </w:r>
      <w:r>
        <w:t xml:space="preserve">(the</w:t>
      </w:r>
      <w:r>
        <w:t xml:space="preserve"> </w:t>
      </w:r>
      <w:r>
        <w:t xml:space="preserve">“large exposed regions”</w:t>
      </w:r>
      <w:r>
        <w:t xml:space="preserve"> </w:t>
      </w:r>
      <w:r>
        <w:t xml:space="preserve">intuition, confirmed): the</w:t>
      </w:r>
      <w:r>
        <w:t xml:space="preserve"> </w:t>
      </w:r>
      <w:r>
        <w:t xml:space="preserve">high-ranked single-pass receptors carry long, disordered cytoplasmic tails</w:t>
      </w:r>
      <w:r>
        <w:t xml:space="preserve"> </w:t>
      </w:r>
      <w:r>
        <w:t xml:space="preserve">that match exactly what soluble-IDR predictors learned; the low-ranked set is</w:t>
      </w:r>
      <w:r>
        <w:t xml:space="preserve"> </w:t>
      </w:r>
      <w:r>
        <w:t xml:space="preserve">either membrane-dominated (multi-pass, hydrophobic) or too short/compact to</w:t>
      </w:r>
      <w:r>
        <w:t xml:space="preserve"> </w:t>
      </w:r>
      <w:r>
        <w:t xml:space="preserve">register. Median length single-pass 770 aa vs multi-pass 503 aa.</w:t>
      </w:r>
    </w:p>
    <w:p>
      <w:pPr>
        <w:pStyle w:val="Compact"/>
        <w:numPr>
          <w:ilvl w:val="0"/>
          <w:numId w:val="1009"/>
        </w:numPr>
      </w:pPr>
      <w:r>
        <w:t xml:space="preserve">Disagreement (score SD) unrelated to rank (ρ = −0.13, p = 0.32) → both the</w:t>
      </w:r>
      <w:r>
        <w:t xml:space="preserve"> </w:t>
      </w:r>
      <w:r>
        <w:t xml:space="preserve">high and low extremes reflect genuine tool</w:t>
      </w:r>
      <w:r>
        <w:t xml:space="preserve"> </w:t>
      </w:r>
      <w:r>
        <w:rPr>
          <w:b/>
          <w:bCs/>
        </w:rPr>
        <w:t xml:space="preserve">agreement</w:t>
      </w:r>
      <w:r>
        <w:t xml:space="preserve">, not uncertainty; no</w:t>
      </w:r>
      <w:r>
        <w:t xml:space="preserve"> </w:t>
      </w:r>
      <w:r>
        <w:t xml:space="preserve">sequence feature explains disagreement (none survive FDR).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Post-translational modification burden tracks the same axis</w:t>
      </w:r>
      <w:r>
        <w:t xml:space="preserve">: total</w:t>
      </w:r>
      <w:r>
        <w:t xml:space="preserve"> </w:t>
      </w:r>
      <w:r>
        <w:t xml:space="preserve">annotated UniProt PTM sites (phosphorylation, ubiquitination/SUMOylation,</w:t>
      </w:r>
      <w:r>
        <w:t xml:space="preserve"> </w:t>
      </w:r>
      <w:r>
        <w:t xml:space="preserve">glycosylation, lipidation) correlate positively with consensus rank</w:t>
      </w:r>
      <w:r>
        <w:t xml:space="preserve"> </w:t>
      </w:r>
      <w:r>
        <w:t xml:space="preserve">(ρ =</w:t>
      </w:r>
      <w:r>
        <w:t xml:space="preserve"> </w:t>
      </w:r>
      <w:r>
        <w:rPr>
          <w:b/>
          <w:bCs/>
        </w:rPr>
        <w:t xml:space="preserve">+0.49</w:t>
      </w:r>
      <w:r>
        <w:t xml:space="preserve">, FDR-p &lt; 0.001), and PTM sites restricted to the cytoplasmic</w:t>
      </w:r>
      <w:r>
        <w:t xml:space="preserve"> </w:t>
      </w:r>
      <w:r>
        <w:t xml:space="preserve">region alone give the same signal (ρ = +0.44, FDR-p = 0.001). This tracks</w:t>
      </w:r>
      <w:r>
        <w:t xml:space="preserve"> </w:t>
      </w:r>
      <w:r>
        <w:t xml:space="preserve">chain length (longer proteins accumulate more annotated sites) but is not</w:t>
      </w:r>
      <w:r>
        <w:t xml:space="preserve"> </w:t>
      </w:r>
      <w:r>
        <w:t xml:space="preserve">fully explained by it: partial correlation controlling for length leaves</w:t>
      </w:r>
      <w:r>
        <w:t xml:space="preserve"> </w:t>
      </w:r>
      <w:r>
        <w:t xml:space="preserve">ρ ≈ +0.29–0.33 (still FDR-significant), so PTM density carries information</w:t>
      </w:r>
      <w:r>
        <w:t xml:space="preserve"> </w:t>
      </w:r>
      <w:r>
        <w:t xml:space="preserve">beyond a length proxy.</w:t>
      </w:r>
      <w:r>
        <w:t xml:space="preserve"> </w:t>
      </w:r>
      <w:r>
        <w:t xml:space="preserve">Mechanistically this is consistent with the same signature as disorder and</w:t>
      </w:r>
      <w:r>
        <w:t xml:space="preserve"> </w:t>
      </w:r>
      <w:r>
        <w:t xml:space="preserve">length — heavily modified cytoplasmic tails are also typically long and</w:t>
      </w:r>
      <w:r>
        <w:t xml:space="preserve"> </w:t>
      </w:r>
      <w:r>
        <w:t xml:space="preserve">disordered — rather than evidence that any predictor explicitly encodes PTM</w:t>
      </w:r>
      <w:r>
        <w:t xml:space="preserve"> </w:t>
      </w:r>
      <w:r>
        <w:t xml:space="preserve">state.</w:t>
      </w:r>
    </w:p>
    <w:p>
      <w:pPr>
        <w:pStyle w:val="FirstParagraph"/>
      </w:pPr>
      <w:r>
        <w:drawing>
          <wp:inline>
            <wp:extent cx="5334000" cy="3136336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figures/fig5_feature_analysis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63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480408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figures/fig2b_predictor_tmd_trend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80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1"/>
        </w:numPr>
      </w:pPr>
      <w:r>
        <w:t xml:space="preserve">The architecture bias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an artifact of the rank-averaging step: it is</w:t>
      </w:r>
      <w:r>
        <w:t xml:space="preserve"> </w:t>
      </w:r>
      <w:r>
        <w:t xml:space="preserve">visible in the</w:t>
      </w:r>
      <w:r>
        <w:t xml:space="preserve"> </w:t>
      </w:r>
      <w:r>
        <w:rPr>
          <w:b/>
          <w:bCs/>
        </w:rPr>
        <w:t xml:space="preserve">raw scores of the individual leading tools</w:t>
      </w:r>
      <w:r>
        <w:t xml:space="preserve">. Across the 60</w:t>
      </w:r>
      <w:r>
        <w:t xml:space="preserve"> </w:t>
      </w:r>
      <w:r>
        <w:t xml:space="preserve">proteins, raw score falls monotonically with TMD count for every leader —</w:t>
      </w:r>
      <w:r>
        <w:t xml:space="preserve"> </w:t>
      </w:r>
      <w:r>
        <w:t xml:space="preserve">PSPHunter ρ = −0.47, PdPS ρ = −0.44, PSPire ρ = −0.43, FuzDrop ρ = −0.31</w:t>
      </w:r>
      <w:r>
        <w:t xml:space="preserve"> </w:t>
      </w:r>
      <w:r>
        <w:t xml:space="preserve">(all p &lt; 0.02) — mirroring the pattern FuzDrop’s authors reported for</w:t>
      </w:r>
      <w:r>
        <w:t xml:space="preserve"> </w:t>
      </w:r>
      <w:r>
        <w:t xml:space="preserve">multi-pass proteins. Single-pass proteins occupy the high-score band; scores</w:t>
      </w:r>
      <w:r>
        <w:t xml:space="preserve"> </w:t>
      </w:r>
      <w:r>
        <w:t xml:space="preserve">collapse as soon as ≥2 TM helices are present.</w:t>
      </w:r>
    </w:p>
    <w:bookmarkEnd w:id="28"/>
    <w:bookmarkStart w:id="32" w:name="X1a6484599788a64832cbcfb583873db4696fa37"/>
    <w:p>
      <w:pPr>
        <w:pStyle w:val="Heading2"/>
      </w:pPr>
      <w:r>
        <w:t xml:space="preserve">4. Failure modes are architectural, not mechanistic</w:t>
      </w:r>
    </w:p>
    <w:p>
      <w:pPr>
        <w:pStyle w:val="FirstParagraph"/>
      </w:pPr>
      <w:r>
        <w:drawing>
          <wp:inline>
            <wp:extent cx="5334000" cy="2828427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figures/fig4_functional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84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2"/>
        </w:numPr>
      </w:pPr>
      <w:r>
        <w:t xml:space="preserve">Annotated all 60 with UniProt functional class, topology, and curated LLPS</w:t>
      </w:r>
      <w:r>
        <w:t xml:space="preserve"> </w:t>
      </w:r>
      <w:r>
        <w:t xml:space="preserve">descriptors (driver/client role; autonomous vs partner-dependent mode);</w:t>
      </w:r>
      <w:r>
        <w:t xml:space="preserve"> </w:t>
      </w:r>
      <w:r>
        <w:t xml:space="preserve">tested each vs</w:t>
      </w:r>
      <w:r>
        <w:t xml:space="preserve"> </w:t>
      </w:r>
      <w:r>
        <w:rPr>
          <w:b/>
          <w:bCs/>
        </w:rPr>
        <w:t xml:space="preserve">plain mean</w:t>
      </w:r>
      <w:r>
        <w:t xml:space="preserve"> </w:t>
      </w:r>
      <w:r>
        <w:t xml:space="preserve">consensus rank (MWU binary, Spearman continuous,</w:t>
      </w:r>
      <w:r>
        <w:t xml:space="preserve"> </w:t>
      </w:r>
      <w:r>
        <w:t xml:space="preserve">Kruskal multi-level; all BH-FDR).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Significant — all architectural/functional</w:t>
      </w:r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Chain length (Spearman): FDR = 1 × 10⁻⁴ (strongest).</w:t>
      </w:r>
    </w:p>
    <w:p>
      <w:pPr>
        <w:pStyle w:val="Compact"/>
        <w:numPr>
          <w:ilvl w:val="1"/>
          <w:numId w:val="1013"/>
        </w:numPr>
      </w:pPr>
      <w:r>
        <w:t xml:space="preserve">Leakage-flagged</w:t>
      </w:r>
      <w:r>
        <w:t xml:space="preserve"> </w:t>
      </w:r>
      <w:r>
        <w:rPr>
          <w:b/>
          <w:bCs/>
        </w:rPr>
        <w:t xml:space="preserve">higher</w:t>
      </w:r>
      <w:r>
        <w:t xml:space="preserve">: 0.58 vs 0.42 (FDR = 6 × 10⁻⁴).</w:t>
      </w:r>
    </w:p>
    <w:p>
      <w:pPr>
        <w:pStyle w:val="Compact"/>
        <w:numPr>
          <w:ilvl w:val="1"/>
          <w:numId w:val="1013"/>
        </w:numPr>
      </w:pPr>
      <w:r>
        <w:t xml:space="preserve">Kinase higher: 0.62 vs 0.46 (FDR = 3 × 10⁻³).</w:t>
      </w:r>
    </w:p>
    <w:p>
      <w:pPr>
        <w:pStyle w:val="Compact"/>
        <w:numPr>
          <w:ilvl w:val="1"/>
          <w:numId w:val="1013"/>
        </w:numPr>
      </w:pPr>
      <w:r>
        <w:t xml:space="preserve">RTK higher: 0.62 vs 0.46 (FDR = 4 × 10⁻³).</w:t>
      </w:r>
    </w:p>
    <w:p>
      <w:pPr>
        <w:pStyle w:val="Compact"/>
        <w:numPr>
          <w:ilvl w:val="1"/>
          <w:numId w:val="1013"/>
        </w:numPr>
      </w:pPr>
      <w:r>
        <w:t xml:space="preserve">TMD count (Spearman, negative): FDR = 4 × 10⁻³.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Single-pass &gt; multi-pass</w:t>
      </w:r>
      <w:r>
        <w:t xml:space="preserve">: 0.565 vs 0.419 (FDR = 8 × 10⁻³).</w:t>
      </w:r>
    </w:p>
    <w:p>
      <w:pPr>
        <w:pStyle w:val="Compact"/>
        <w:numPr>
          <w:ilvl w:val="1"/>
          <w:numId w:val="1013"/>
        </w:numPr>
      </w:pPr>
      <w:r>
        <w:t xml:space="preserve">Transferase higher: 0.61 vs 0.46 (FDR = 0.035).</w:t>
      </w:r>
    </w:p>
    <w:p>
      <w:pPr>
        <w:pStyle w:val="Compact"/>
        <w:numPr>
          <w:ilvl w:val="1"/>
          <w:numId w:val="1013"/>
        </w:numPr>
      </w:pPr>
      <w:r>
        <w:t xml:space="preserve">Monotone rise across classes: ion channel 0.36 / transporter 0.39 / GPCR</w:t>
      </w:r>
      <w:r>
        <w:t xml:space="preserve"> </w:t>
      </w:r>
      <w:r>
        <w:t xml:space="preserve">0.42 → transferase 0.61 / kinase 0.62 / RTK 0.62.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Not significant — the mechanistic descriptors</w:t>
      </w:r>
      <w:r>
        <w:t xml:space="preserve">: driver/client role</w:t>
      </w:r>
      <w:r>
        <w:t xml:space="preserve"> </w:t>
      </w:r>
      <w:r>
        <w:t xml:space="preserve">(Kruskal FDR = 0.46); autonomous vs partner-dependent mode (FDR = 0.46).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Read</w:t>
      </w:r>
      <w:r>
        <w:t xml:space="preserve">: predictors read architecture (size, membrane passes, hydrophobicity,</w:t>
      </w:r>
      <w:r>
        <w:t xml:space="preserve"> </w:t>
      </w:r>
      <w:r>
        <w:t xml:space="preserve">enzyme class),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curated LLPS mechanism. They happen to rank the large</w:t>
      </w:r>
      <w:r>
        <w:t xml:space="preserve"> </w:t>
      </w:r>
      <w:r>
        <w:t xml:space="preserve">single-pass RTKs correctly — because those look like soluble IDR proteins —</w:t>
      </w:r>
      <w:r>
        <w:t xml:space="preserve"> </w:t>
      </w:r>
      <w:r>
        <w:t xml:space="preserve">but for compact or multi-pass proteins that condense via short cytoplasmic</w:t>
      </w:r>
      <w:r>
        <w:t xml:space="preserve"> </w:t>
      </w:r>
      <w:r>
        <w:t xml:space="preserve">motifs, the same signature scores them near the floor regardless of the</w:t>
      </w:r>
      <w:r>
        <w:t xml:space="preserve"> </w:t>
      </w:r>
      <w:r>
        <w:t xml:space="preserve">experimental evidence.</w:t>
      </w:r>
    </w:p>
    <w:bookmarkEnd w:id="32"/>
    <w:bookmarkEnd w:id="33"/>
    <w:bookmarkStart w:id="34" w:name="discussion-draft-points"/>
    <w:p>
      <w:pPr>
        <w:pStyle w:val="Heading1"/>
      </w:pPr>
      <w:r>
        <w:t xml:space="preserve">Discussion (draft points)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Three recurring findings</w:t>
      </w:r>
      <w:r>
        <w:t xml:space="preserve">:</w:t>
      </w:r>
    </w:p>
    <w:p>
      <w:pPr>
        <w:pStyle w:val="Compact"/>
        <w:numPr>
          <w:ilvl w:val="1"/>
          <w:numId w:val="1015"/>
        </w:numPr>
      </w:pPr>
      <w:r>
        <w:t xml:space="preserve">Best generalisers integrate AlphaFold structural features (PSPHunter,</w:t>
      </w:r>
      <w:r>
        <w:t xml:space="preserve"> </w:t>
      </w:r>
      <w:r>
        <w:t xml:space="preserve">PSPire, PICNIC); a soluble-IDR biophysical model (LLPhyScore) collapses</w:t>
      </w:r>
      <w:r>
        <w:t xml:space="preserve"> </w:t>
      </w:r>
      <w:r>
        <w:t xml:space="preserve">to chance → structural context carries the transferable signal.</w:t>
      </w:r>
    </w:p>
    <w:p>
      <w:pPr>
        <w:pStyle w:val="Compact"/>
        <w:numPr>
          <w:ilvl w:val="1"/>
          <w:numId w:val="1015"/>
        </w:numPr>
      </w:pPr>
      <w:r>
        <w:t xml:space="preserve">Given topology, 7/8 tools correctly localise signal to the cytoplasmic</w:t>
      </w:r>
      <w:r>
        <w:t xml:space="preserve"> </w:t>
      </w:r>
      <w:r>
        <w:t xml:space="preserve">face and suppress the membrane core.</w:t>
      </w:r>
    </w:p>
    <w:p>
      <w:pPr>
        <w:pStyle w:val="Compact"/>
        <w:numPr>
          <w:ilvl w:val="1"/>
          <w:numId w:val="1015"/>
        </w:numPr>
      </w:pPr>
      <w:r>
        <w:t xml:space="preserve">Consensus is driven by the generic soluble-IDR signature —</w:t>
      </w:r>
      <w:r>
        <w:t xml:space="preserve"> </w:t>
      </w:r>
      <w:r>
        <w:t xml:space="preserve">hydrophobicity (ρ = −0.69), length (+0.56), disorder (+0.33) — and by</w:t>
      </w:r>
      <w:r>
        <w:t xml:space="preserve"> </w:t>
      </w:r>
      <w:r>
        <w:t xml:space="preserve">membrane architecture (TMD count −0.41),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by curated LLPS</w:t>
      </w:r>
      <w:r>
        <w:t xml:space="preserve"> </w:t>
      </w:r>
      <w:r>
        <w:t xml:space="preserve">mechanism (driver/client role and autonomous/partner mode both</w:t>
      </w:r>
      <w:r>
        <w:t xml:space="preserve"> </w:t>
      </w:r>
      <w:r>
        <w:t xml:space="preserve">non-significant). The tools rank large single-pass RTKs correctly only</w:t>
      </w:r>
      <w:r>
        <w:t xml:space="preserve"> </w:t>
      </w:r>
      <w:r>
        <w:t xml:space="preserve">because those resemble soluble IDR proteins; compact and multi-pass</w:t>
      </w:r>
      <w:r>
        <w:t xml:space="preserve"> </w:t>
      </w:r>
      <w:r>
        <w:t xml:space="preserve">proteins with genuine LLPS evidence are penalised for their membrane</w:t>
      </w:r>
      <w:r>
        <w:t xml:space="preserve"> </w:t>
      </w:r>
      <w:r>
        <w:t xml:space="preserve">architecture.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Two general methodological points</w:t>
      </w:r>
      <w:r>
        <w:t xml:space="preserve">:</w:t>
      </w:r>
    </w:p>
    <w:p>
      <w:pPr>
        <w:pStyle w:val="Compact"/>
        <w:numPr>
          <w:ilvl w:val="1"/>
          <w:numId w:val="1016"/>
        </w:numPr>
      </w:pPr>
      <w:r>
        <w:t xml:space="preserve">Leakage direction matters: naïve membrane-background AUROCs</w:t>
      </w:r>
      <w:r>
        <w:t xml:space="preserve"> </w:t>
      </w:r>
      <w:r>
        <w:rPr>
          <w:i/>
          <w:iCs/>
        </w:rPr>
        <w:t xml:space="preserve">understate</w:t>
      </w:r>
      <w:r>
        <w:t xml:space="preserve"> </w:t>
      </w:r>
      <w:r>
        <w:t xml:space="preserve">the leaders because leaked proteins are mostly easy negatives; a per-tool,</w:t>
      </w:r>
      <w:r>
        <w:t xml:space="preserve"> </w:t>
      </w:r>
      <w:r>
        <w:t xml:space="preserve">per-protein audit recovers the honest estimate.</w:t>
      </w:r>
    </w:p>
    <w:p>
      <w:pPr>
        <w:pStyle w:val="Compact"/>
        <w:numPr>
          <w:ilvl w:val="1"/>
          <w:numId w:val="1016"/>
        </w:numPr>
      </w:pPr>
      <w:r>
        <w:t xml:space="preserve">Same-class background is essential; scoring vs a soluble proteome inflates</w:t>
      </w:r>
      <w:r>
        <w:t xml:space="preserve"> </w:t>
      </w:r>
      <w:r>
        <w:t xml:space="preserve">accuracy by rewarding detection of</w:t>
      </w:r>
      <w:r>
        <w:t xml:space="preserve"> </w:t>
      </w:r>
      <w:r>
        <w:t xml:space="preserve">“membrane-ness.”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Practical recommendation</w:t>
      </w:r>
      <w:r>
        <w:t xml:space="preserve">: score the</w:t>
      </w:r>
      <w:r>
        <w:t xml:space="preserve"> </w:t>
      </w:r>
      <w:r>
        <w:rPr>
          <w:b/>
          <w:bCs/>
        </w:rPr>
        <w:t xml:space="preserve">cytoplasmic domain in isolation</w:t>
      </w:r>
      <w:r>
        <w:t xml:space="preserve">,</w:t>
      </w:r>
      <w:r>
        <w:t xml:space="preserve"> </w:t>
      </w:r>
      <w:r>
        <w:t xml:space="preserve">not the full-length chain — TM (and, for most tools, extracellular) regions</w:t>
      </w:r>
      <w:r>
        <w:t xml:space="preserve"> </w:t>
      </w:r>
      <w:r>
        <w:t xml:space="preserve">add noise, and full-length hydrophobicity dominates the consensus; the</w:t>
      </w:r>
      <w:r>
        <w:t xml:space="preserve"> </w:t>
      </w:r>
      <w:r>
        <w:t xml:space="preserve">topology analysis shows the cytoplasmic face is where signal already</w:t>
      </w:r>
      <w:r>
        <w:t xml:space="preserve"> </w:t>
      </w:r>
      <w:r>
        <w:t xml:space="preserve">concentrates. This is most consequential for compact and multi-pass proteins,</w:t>
      </w:r>
      <w:r>
        <w:t xml:space="preserve"> </w:t>
      </w:r>
      <w:r>
        <w:t xml:space="preserve">whose short disordered motifs are swamped by membrane-embedded sequence.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For developers</w:t>
      </w:r>
      <w:r>
        <w:t xml:space="preserve">: topology-aware training/evaluation — topology as an</w:t>
      </w:r>
      <w:r>
        <w:t xml:space="preserve"> </w:t>
      </w:r>
      <w:r>
        <w:t xml:space="preserve">explicit feature, membrane-protein positives in training, same-class</w:t>
      </w:r>
      <w:r>
        <w:t xml:space="preserve"> </w:t>
      </w:r>
      <w:r>
        <w:t xml:space="preserve">background reporting; do not let whole-chain hydrophobicity stand in as a</w:t>
      </w:r>
      <w:r>
        <w:t xml:space="preserve"> </w:t>
      </w:r>
      <w:r>
        <w:t xml:space="preserve">negative LLPS signal for membrane proteins.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Limitations</w:t>
      </w:r>
      <w:r>
        <w:t xml:space="preserve">: 60 curated positives; annotation-based topology; consensus is</w:t>
      </w:r>
      <w:r>
        <w:t xml:space="preserve"> </w:t>
      </w:r>
      <w:r>
        <w:t xml:space="preserve">in-sample. Coiled-coil and post-translational-modification features</w:t>
      </w:r>
      <w:r>
        <w:t xml:space="preserve"> </w:t>
      </w:r>
      <w:r>
        <w:t xml:space="preserve">(phosphorylation of cytoplasmic tails is a known LLPS switch) were not</w:t>
      </w:r>
      <w:r>
        <w:t xml:space="preserve"> </w:t>
      </w:r>
      <w:r>
        <w:t xml:space="preserve">computed here and are the clearest follow-up. But the leakage-corrected</w:t>
      </w:r>
      <w:r>
        <w:t xml:space="preserve"> </w:t>
      </w:r>
      <w:r>
        <w:t xml:space="preserve">benchmark, topology analysis, and feature-resolved consensus converge on the</w:t>
      </w:r>
      <w:r>
        <w:t xml:space="preserve"> </w:t>
      </w:r>
      <w:r>
        <w:t xml:space="preserve">same failure mode: predictors reward the soluble-IDR signature and penalise</w:t>
      </w:r>
      <w:r>
        <w:t xml:space="preserve"> </w:t>
      </w:r>
      <w:r>
        <w:t xml:space="preserve">membrane architecture, independent of experimental mechanism.</w:t>
      </w:r>
    </w:p>
    <w:bookmarkEnd w:id="34"/>
    <w:bookmarkStart w:id="35" w:name="methods"/>
    <w:p>
      <w:pPr>
        <w:pStyle w:val="Heading1"/>
      </w:pPr>
      <w:r>
        <w:t xml:space="preserve">Methods</w:t>
      </w:r>
    </w:p>
    <w:p>
      <w:pPr>
        <w:pStyle w:val="FirstParagraph"/>
      </w:pPr>
      <w:r>
        <w:rPr>
          <w:b/>
          <w:bCs/>
        </w:rPr>
        <w:t xml:space="preserve">Protein set.</w:t>
      </w:r>
      <w:r>
        <w:t xml:space="preserve"> </w:t>
      </w:r>
      <w:r>
        <w:t xml:space="preserve">Sixty human membrane proteins with curated experimental LLPS</w:t>
      </w:r>
      <w:r>
        <w:t xml:space="preserve"> </w:t>
      </w:r>
      <w:r>
        <w:t xml:space="preserve">evidence were assembled, 56 from PhaSepDB and the remainder from LLPSDB</w:t>
      </w:r>
      <w:r>
        <w:t xml:space="preserve"> </w:t>
      </w:r>
      <w:r>
        <w:t xml:space="preserve">(</w:t>
      </w:r>
      <w:r>
        <w:t xml:space="preserve">You et al.</w:t>
      </w:r>
      <w:r>
        <w:t xml:space="preserve"> </w:t>
      </w:r>
      <w:r>
        <w:t xml:space="preserve">2020;</w:t>
      </w:r>
      <w:r>
        <w:t xml:space="preserve"> </w:t>
      </w:r>
      <w:r>
        <w:t xml:space="preserve">Li et al.</w:t>
      </w:r>
      <w:r>
        <w:t xml:space="preserve"> </w:t>
      </w:r>
      <w:r>
        <w:t xml:space="preserve">2020)</w:t>
      </w:r>
      <w:r>
        <w:t xml:space="preserve">. Each was annotated with UniProt membrane topology</w:t>
      </w:r>
      <w:r>
        <w:t xml:space="preserve"> </w:t>
      </w:r>
      <w:r>
        <w:t xml:space="preserve">(single- vs multi-pass; TM-domain count), chain length, functional class, and</w:t>
      </w:r>
      <w:r>
        <w:t xml:space="preserve"> </w:t>
      </w:r>
      <w:r>
        <w:t xml:space="preserve">the source database’s curated LLPS descriptors (driver/client role; autonomous</w:t>
      </w:r>
      <w:r>
        <w:t xml:space="preserve"> </w:t>
      </w:r>
      <w:r>
        <w:t xml:space="preserve">vs partner-dependent mode; in-vitro and in-vivo evidence flags)</w:t>
      </w:r>
      <w:r>
        <w:t xml:space="preserve"> </w:t>
      </w:r>
      <w:r>
        <w:t xml:space="preserve">(The UniProt Consortium 2023)</w:t>
      </w:r>
      <w:r>
        <w:t xml:space="preserve">. The set comprised 39 single-pass and 21 multi-pass proteins.</w:t>
      </w:r>
    </w:p>
    <w:p>
      <w:pPr>
        <w:pStyle w:val="BodyText"/>
      </w:pPr>
      <w:r>
        <w:rPr>
          <w:b/>
          <w:bCs/>
        </w:rPr>
        <w:t xml:space="preserve">Predictors.</w:t>
      </w:r>
      <w:r>
        <w:t xml:space="preserve"> </w:t>
      </w:r>
      <w:r>
        <w:t xml:space="preserve">Eighteen predictor scores were computed or collated: PICNIC and</w:t>
      </w:r>
      <w:r>
        <w:t xml:space="preserve"> </w:t>
      </w:r>
      <w:r>
        <w:t xml:space="preserve">PICNIC (GO)</w:t>
      </w:r>
      <w:r>
        <w:t xml:space="preserve"> </w:t>
      </w:r>
      <w:r>
        <w:t xml:space="preserve">(</w:t>
      </w:r>
      <w:r>
        <w:t xml:space="preserve">Pulido-Quetglas et al.</w:t>
      </w:r>
      <w:r>
        <w:t xml:space="preserve"> </w:t>
      </w:r>
      <w:r>
        <w:t xml:space="preserve">2024)</w:t>
      </w:r>
      <w:r>
        <w:t xml:space="preserve">, PSPire</w:t>
      </w:r>
      <w:r>
        <w:t xml:space="preserve"> </w:t>
      </w:r>
      <w:r>
        <w:t xml:space="preserve">(</w:t>
      </w:r>
      <w:r>
        <w:t xml:space="preserve">Hou et al.</w:t>
      </w:r>
      <w:r>
        <w:t xml:space="preserve"> </w:t>
      </w:r>
      <w:r>
        <w:t xml:space="preserve">2024)</w:t>
      </w:r>
      <w:r>
        <w:t xml:space="preserve">, PSPHunter</w:t>
      </w:r>
      <w:r>
        <w:t xml:space="preserve"> </w:t>
      </w:r>
      <w:r>
        <w:t xml:space="preserve">(</w:t>
      </w:r>
      <w:r>
        <w:t xml:space="preserve">Sun et al.</w:t>
      </w:r>
      <w:r>
        <w:t xml:space="preserve"> </w:t>
      </w:r>
      <w:r>
        <w:t xml:space="preserve">2024)</w:t>
      </w:r>
      <w:r>
        <w:t xml:space="preserve">,</w:t>
      </w:r>
      <w:r>
        <w:t xml:space="preserve"> </w:t>
      </w:r>
      <w:r>
        <w:t xml:space="preserve">PSAP</w:t>
      </w:r>
      <w:r>
        <w:t xml:space="preserve"> </w:t>
      </w:r>
      <w:r>
        <w:t xml:space="preserve">(</w:t>
      </w:r>
      <w:r>
        <w:t xml:space="preserve">Mierlo et al.</w:t>
      </w:r>
      <w:r>
        <w:t xml:space="preserve"> </w:t>
      </w:r>
      <w:r>
        <w:t xml:space="preserve">2021)</w:t>
      </w:r>
      <w:r>
        <w:t xml:space="preserve">, PhaSePred’s SaPS and PdPS sub-scores</w:t>
      </w:r>
      <w:r>
        <w:t xml:space="preserve"> </w:t>
      </w:r>
      <w:r>
        <w:t xml:space="preserve">(</w:t>
      </w:r>
      <w:r>
        <w:t xml:space="preserve">Chen et al.</w:t>
      </w:r>
      <w:r>
        <w:t xml:space="preserve"> </w:t>
      </w:r>
      <w:r>
        <w:t xml:space="preserve">2022)</w:t>
      </w:r>
      <w:r>
        <w:t xml:space="preserve">, PDL</w:t>
      </w:r>
      <w:r>
        <w:t xml:space="preserve"> </w:t>
      </w:r>
      <w:r>
        <w:t xml:space="preserve">(</w:t>
      </w:r>
      <w:r>
        <w:t xml:space="preserve">Li et al.</w:t>
      </w:r>
      <w:r>
        <w:t xml:space="preserve"> </w:t>
      </w:r>
      <w:r>
        <w:t xml:space="preserve">2025)</w:t>
      </w:r>
      <w:r>
        <w:t xml:space="preserve">, FuzDrop</w:t>
      </w:r>
      <w:r>
        <w:t xml:space="preserve"> </w:t>
      </w:r>
      <w:r>
        <w:t xml:space="preserve">(Hardenberg et al. 2020)</w:t>
      </w:r>
      <w:r>
        <w:t xml:space="preserve">, catGRANULE</w:t>
      </w:r>
      <w:r>
        <w:t xml:space="preserve"> </w:t>
      </w:r>
      <w:r>
        <w:t xml:space="preserve">(</w:t>
      </w:r>
      <w:r>
        <w:t xml:space="preserve">Bolognesi et al.</w:t>
      </w:r>
      <w:r>
        <w:t xml:space="preserve"> </w:t>
      </w:r>
      <w:r>
        <w:t xml:space="preserve">2016)</w:t>
      </w:r>
      <w:r>
        <w:t xml:space="preserve">, PLAAC</w:t>
      </w:r>
      <w:r>
        <w:t xml:space="preserve"> </w:t>
      </w:r>
      <w:r>
        <w:t xml:space="preserve">(Lancaster et al. 2014)</w:t>
      </w:r>
      <w:r>
        <w:t xml:space="preserve">, PScore and its residue-composition baseline (R+Y)</w:t>
      </w:r>
      <w:r>
        <w:t xml:space="preserve"> </w:t>
      </w:r>
      <w:r>
        <w:t xml:space="preserve">(</w:t>
      </w:r>
      <w:r>
        <w:t xml:space="preserve">Vernon et al.</w:t>
      </w:r>
      <w:r>
        <w:t xml:space="preserve"> </w:t>
      </w:r>
      <w:r>
        <w:t xml:space="preserve">2018)</w:t>
      </w:r>
      <w:r>
        <w:t xml:space="preserve">,</w:t>
      </w:r>
      <w:r>
        <w:t xml:space="preserve"> </w:t>
      </w:r>
      <w:r>
        <w:t xml:space="preserve">ParSe 2.0</w:t>
      </w:r>
      <w:r>
        <w:t xml:space="preserve"> </w:t>
      </w:r>
      <w:r>
        <w:t xml:space="preserve">(</w:t>
      </w:r>
      <w:r>
        <w:t xml:space="preserve">Wilson et al.</w:t>
      </w:r>
      <w:r>
        <w:t xml:space="preserve"> </w:t>
      </w:r>
      <w:r>
        <w:t xml:space="preserve">2023)</w:t>
      </w:r>
      <w:r>
        <w:t xml:space="preserve">, LLPhyScore</w:t>
      </w:r>
      <w:r>
        <w:t xml:space="preserve"> </w:t>
      </w:r>
      <w:r>
        <w:t xml:space="preserve">(Cai et al. 2022)</w:t>
      </w:r>
      <w:r>
        <w:t xml:space="preserve">, PSAP-independent</w:t>
      </w:r>
      <w:r>
        <w:t xml:space="preserve"> </w:t>
      </w:r>
      <w:r>
        <w:t xml:space="preserve">DeePhase</w:t>
      </w:r>
      <w:r>
        <w:t xml:space="preserve"> </w:t>
      </w:r>
      <w:r>
        <w:t xml:space="preserve">(</w:t>
      </w:r>
      <w:r>
        <w:t xml:space="preserve">Saar et al.</w:t>
      </w:r>
      <w:r>
        <w:t xml:space="preserve"> </w:t>
      </w:r>
      <w:r>
        <w:t xml:space="preserve">2021)</w:t>
      </w:r>
      <w:r>
        <w:t xml:space="preserve">, the ESpritz disorder proxy</w:t>
      </w:r>
      <w:r>
        <w:t xml:space="preserve"> </w:t>
      </w:r>
      <w:r>
        <w:t xml:space="preserve">(Walsh et al. 2012)</w:t>
      </w:r>
      <w:r>
        <w:t xml:space="preserve">, and the</w:t>
      </w:r>
      <w:r>
        <w:t xml:space="preserve"> </w:t>
      </w:r>
      <w:r>
        <w:t xml:space="preserve">SEG low-complexity masker</w:t>
      </w:r>
      <w:r>
        <w:t xml:space="preserve"> </w:t>
      </w:r>
      <w:r>
        <w:t xml:space="preserve">(Wootton and Federhen 1993)</w:t>
      </w:r>
      <w:r>
        <w:t xml:space="preserve">. Structure-based tools (PICNIC, PICNIC</w:t>
      </w:r>
      <w:r>
        <w:t xml:space="preserve"> </w:t>
      </w:r>
      <w:r>
        <w:t xml:space="preserve">(GO), PSPire) used per-residue AlphaFold2 models</w:t>
      </w:r>
      <w:r>
        <w:t xml:space="preserve"> </w:t>
      </w:r>
      <w:r>
        <w:t xml:space="preserve">(</w:t>
      </w:r>
      <w:r>
        <w:t xml:space="preserve">Jumper et al.</w:t>
      </w:r>
      <w:r>
        <w:t xml:space="preserve"> </w:t>
      </w:r>
      <w:r>
        <w:t xml:space="preserve">2021)</w:t>
      </w:r>
      <w:r>
        <w:t xml:space="preserve">; disorder was</w:t>
      </w:r>
      <w:r>
        <w:t xml:space="preserve"> </w:t>
      </w:r>
      <w:r>
        <w:t xml:space="preserve">computed with IUPred2A where required</w:t>
      </w:r>
      <w:r>
        <w:t xml:space="preserve"> </w:t>
      </w:r>
      <w:r>
        <w:t xml:space="preserve">(Mészáros et al. 2018)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Benchmarking.</w:t>
      </w:r>
      <w:r>
        <w:t xml:space="preserve"> </w:t>
      </w:r>
      <w:r>
        <w:t xml:space="preserve">Discrimination was quantified by AUROC against a background of</w:t>
      </w:r>
      <w:r>
        <w:t xml:space="preserve"> </w:t>
      </w:r>
      <w:r>
        <w:t xml:space="preserve">other human membrane proteins (membrane-vs-membrane), with additional</w:t>
      </w:r>
      <w:r>
        <w:t xml:space="preserve"> </w:t>
      </w:r>
      <w:r>
        <w:t xml:space="preserve">backgrounds (whole proteome, single-pass-only, multi-pass-only) reported in the</w:t>
      </w:r>
      <w:r>
        <w:t xml:space="preserve"> </w:t>
      </w:r>
      <w:r>
        <w:t xml:space="preserve">supplement. 95% confidence intervals were obtained by bootstrap. Maximum</w:t>
      </w:r>
      <w:r>
        <w:t xml:space="preserve"> </w:t>
      </w:r>
      <w:r>
        <w:t xml:space="preserve">Matthews correlation coefficient (MaxMCC) was recorded as a threshold-free</w:t>
      </w:r>
      <w:r>
        <w:t xml:space="preserve"> </w:t>
      </w:r>
      <w:r>
        <w:t xml:space="preserve">secondary metric. Training-set leakage was audited by matching each of the 60</w:t>
      </w:r>
      <w:r>
        <w:t xml:space="preserve"> </w:t>
      </w:r>
      <w:r>
        <w:t xml:space="preserve">positives (and each background protein) against every tool’s published training</w:t>
      </w:r>
      <w:r>
        <w:t xml:space="preserve"> </w:t>
      </w:r>
      <w:r>
        <w:t xml:space="preserve">set; per-tool AUROCs were recomputed on the leakage-free subset (</w:t>
      </w:r>
      <w:r>
        <w:t xml:space="preserve">“clean”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Topology-resolved scoring.</w:t>
      </w:r>
      <w:r>
        <w:t xml:space="preserve"> </w:t>
      </w:r>
      <w:r>
        <w:t xml:space="preserve">For tools producing per-residue or per-region</w:t>
      </w:r>
      <w:r>
        <w:t xml:space="preserve"> </w:t>
      </w:r>
      <w:r>
        <w:t xml:space="preserve">output, scores were partitioned into cytoplasmic, transmembrane, and</w:t>
      </w:r>
      <w:r>
        <w:t xml:space="preserve"> </w:t>
      </w:r>
      <w:r>
        <w:t xml:space="preserve">extracellular/lumenal regions using UniProt topology. Each region’s score was</w:t>
      </w:r>
      <w:r>
        <w:t xml:space="preserve"> </w:t>
      </w:r>
      <w:r>
        <w:t xml:space="preserve">compared against the whole-protein score (paired Wilcoxon signed-rank), and</w:t>
      </w:r>
      <w:r>
        <w:t xml:space="preserve"> </w:t>
      </w:r>
      <w:r>
        <w:t xml:space="preserve">cytoplasmic regions were contrasted directly against TM regions. Because raw</w:t>
      </w:r>
      <w:r>
        <w:t xml:space="preserve"> </w:t>
      </w:r>
      <w:r>
        <w:t xml:space="preserve">score ranges differ by orders of magnitude across tools, the summary in</w:t>
      </w:r>
      <w:r>
        <w:t xml:space="preserve"> </w:t>
      </w:r>
      <w:r>
        <w:rPr>
          <w:b/>
          <w:bCs/>
        </w:rPr>
        <w:t xml:space="preserve">Figure 2b</w:t>
      </w:r>
      <w:r>
        <w:t xml:space="preserve"> </w:t>
      </w:r>
      <w:r>
        <w:t xml:space="preserve">uses the scale-free fraction of proteins with cytoplasmic &gt; TM</w:t>
      </w:r>
      <w:r>
        <w:t xml:space="preserve"> </w:t>
      </w:r>
      <w:r>
        <w:t xml:space="preserve">score. All p-values were Benjamini–Hochberg FDR-corrected across tools.</w:t>
      </w:r>
    </w:p>
    <w:p>
      <w:pPr>
        <w:pStyle w:val="BodyText"/>
      </w:pPr>
      <w:r>
        <w:rPr>
          <w:b/>
          <w:bCs/>
        </w:rPr>
        <w:t xml:space="preserve">Consensus.</w:t>
      </w:r>
      <w:r>
        <w:t xml:space="preserve"> </w:t>
      </w:r>
      <w:r>
        <w:t xml:space="preserve">Each tool’s raw score was converted to a normalised per-protein</w:t>
      </w:r>
      <w:r>
        <w:t xml:space="preserve"> </w:t>
      </w:r>
      <w:r>
        <w:t xml:space="preserve">rank across the 60 proteins (0 = lowest, 1 = highest predicted propensity;</w:t>
      </w:r>
      <w:r>
        <w:t xml:space="preserve"> </w:t>
      </w:r>
      <w:r>
        <w:t xml:space="preserve">LLPhyScore sign-flipped before ranking so that higher always means more</w:t>
      </w:r>
      <w:r>
        <w:t xml:space="preserve"> </w:t>
      </w:r>
      <w:r>
        <w:t xml:space="preserve">LLPS-prone). The headline consensus is the</w:t>
      </w:r>
      <w:r>
        <w:t xml:space="preserve"> </w:t>
      </w:r>
      <w:r>
        <w:rPr>
          <w:b/>
          <w:bCs/>
        </w:rPr>
        <w:t xml:space="preserve">plain mean</w:t>
      </w:r>
      <w:r>
        <w:t xml:space="preserve"> </w:t>
      </w:r>
      <w:r>
        <w:t xml:space="preserve">normalised rank across</w:t>
      </w:r>
      <w:r>
        <w:t xml:space="preserve"> </w:t>
      </w:r>
      <w:r>
        <w:t xml:space="preserve">the 18 tools; an AUROC-weighted mean (weights = leakage-corrected</w:t>
      </w:r>
      <w:r>
        <w:t xml:space="preserve"> </w:t>
      </w:r>
      <w:r>
        <w:t xml:space="preserve">membrane-vs-membrane AUROC) is reported as a supplement and agrees closely</w:t>
      </w:r>
      <w:r>
        <w:t xml:space="preserve"> </w:t>
      </w:r>
      <w:r>
        <w:t xml:space="preserve">(ρ = 0.996, identical top/bottom proteins). Between-predictor standard deviation</w:t>
      </w:r>
      <w:r>
        <w:t xml:space="preserve"> </w:t>
      </w:r>
      <w:r>
        <w:t xml:space="preserve">gives a per-protein disagreement score. The full 60 × 18 rank matrix is provided</w:t>
      </w:r>
      <w:r>
        <w:t xml:space="preserve"> </w:t>
      </w:r>
      <w:r>
        <w:t xml:space="preserve">as Supplementary Table S1 (</w:t>
      </w:r>
      <w:r>
        <w:rPr>
          <w:rStyle w:val="VerbatimChar"/>
        </w:rPr>
        <w:t xml:space="preserve">output/rank_consensus_matrix.csv</w:t>
      </w:r>
      <w:r>
        <w:t xml:space="preserve">). Associations</w:t>
      </w:r>
      <w:r>
        <w:t xml:space="preserve"> </w:t>
      </w:r>
      <w:r>
        <w:t xml:space="preserve">between consensus rank and sequence features / annotations were tested with</w:t>
      </w:r>
      <w:r>
        <w:t xml:space="preserve"> </w:t>
      </w:r>
      <w:r>
        <w:t xml:space="preserve">Spearman correlation (continuous), Mann–Whitney U (binary), and Kruskal–Wallis</w:t>
      </w:r>
      <w:r>
        <w:t xml:space="preserve"> </w:t>
      </w:r>
      <w:r>
        <w:t xml:space="preserve">(multi-level), all BH-FDR corrected. Sequence features (Kyte–Doolittle</w:t>
      </w:r>
      <w:r>
        <w:t xml:space="preserve"> </w:t>
      </w:r>
      <w:r>
        <w:t xml:space="preserve">hydropathy, charge descriptors via localCIDER, disordered fraction from ESpritz,</w:t>
      </w:r>
      <w:r>
        <w:t xml:space="preserve"> </w:t>
      </w:r>
      <w:r>
        <w:t xml:space="preserve">low-complexity fraction from SEG) were computed on whole-protein and</w:t>
      </w:r>
      <w:r>
        <w:t xml:space="preserve"> </w:t>
      </w:r>
      <w:r>
        <w:t xml:space="preserve">cytoplasmic-only sequences. Post-translational modification burden was pulled</w:t>
      </w:r>
      <w:r>
        <w:t xml:space="preserve"> </w:t>
      </w:r>
      <w:r>
        <w:t xml:space="preserve">per protein from the UniProtKB REST API</w:t>
      </w:r>
      <w:r>
        <w:t xml:space="preserve"> </w:t>
      </w:r>
      <w:r>
        <w:t xml:space="preserve">(The UniProt Consortium 2023)</w:t>
      </w:r>
      <w:r>
        <w:t xml:space="preserve"> </w:t>
      </w:r>
      <w:r>
        <w:t xml:space="preserve">(feature types:</w:t>
      </w:r>
      <w:r>
        <w:t xml:space="preserve"> </w:t>
      </w:r>
      <w:r>
        <w:t xml:space="preserve">Modified residue, Cross-link, Glycosylation, Lipidation), counted both across</w:t>
      </w:r>
      <w:r>
        <w:t xml:space="preserve"> </w:t>
      </w:r>
      <w:r>
        <w:t xml:space="preserve">the whole sequence</w:t>
      </w:r>
      <w:r>
        <w:t xml:space="preserve"> </w:t>
      </w:r>
      <w:r>
        <w:t xml:space="preserve">and restricted to residues falling within annotated cytoplasmic topological</w:t>
      </w:r>
      <w:r>
        <w:t xml:space="preserve"> </w:t>
      </w:r>
      <w:r>
        <w:t xml:space="preserve">domains (same topology boundaries used for the region-based score analysis in</w:t>
      </w:r>
      <w:r>
        <w:t xml:space="preserve"> </w:t>
      </w:r>
      <w:r>
        <w:t xml:space="preserve">Figure 2).</w:t>
      </w:r>
    </w:p>
    <w:p>
      <w:pPr>
        <w:pStyle w:val="BodyText"/>
      </w:pPr>
      <w:r>
        <w:rPr>
          <w:b/>
          <w:bCs/>
        </w:rPr>
        <w:t xml:space="preserve">Reproducibility.</w:t>
      </w:r>
      <w:r>
        <w:t xml:space="preserve"> </w:t>
      </w:r>
      <w:r>
        <w:t xml:space="preserve">All scores, statistical tests, and figures are regenerated</w:t>
      </w:r>
      <w:r>
        <w:t xml:space="preserve"> </w:t>
      </w:r>
      <w:r>
        <w:t xml:space="preserve">by the analysis scripts in the accompanying repository; every quantitative claim</w:t>
      </w:r>
      <w:r>
        <w:t xml:space="preserve"> </w:t>
      </w:r>
      <w:r>
        <w:t xml:space="preserve">in this manuscript is drawn from a single machine-readable results digest</w:t>
      </w:r>
      <w:r>
        <w:t xml:space="preserve"> </w:t>
      </w:r>
      <w:r>
        <w:t xml:space="preserve">(</w:t>
      </w:r>
      <w:r>
        <w:rPr>
          <w:rStyle w:val="VerbatimChar"/>
        </w:rPr>
        <w:t xml:space="preserve">output/results_digest.json</w:t>
      </w:r>
      <w:r>
        <w:t xml:space="preserve">).</w:t>
      </w:r>
    </w:p>
    <w:bookmarkEnd w:id="35"/>
    <w:bookmarkStart w:id="57" w:name="figure-legends"/>
    <w:p>
      <w:pPr>
        <w:pStyle w:val="Heading1"/>
      </w:pPr>
      <w:r>
        <w:t xml:space="preserve">Figure legends</w:t>
      </w:r>
    </w:p>
    <w:p>
      <w:pPr>
        <w:pStyle w:val="FirstParagraph"/>
      </w:pPr>
      <w:r>
        <w:drawing>
          <wp:inline>
            <wp:extent cx="5334000" cy="1481164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figures/fig1_benchmark_leakage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81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1. Structure-aware predictors lead the membrane-vs-membrane benchmark</w:t>
      </w:r>
      <w:r>
        <w:rPr>
          <w:b/>
          <w:bCs/>
        </w:rPr>
        <w:t xml:space="preserve"> </w:t>
      </w:r>
      <w:r>
        <w:rPr>
          <w:b/>
          <w:bCs/>
        </w:rPr>
        <w:t xml:space="preserve">and training-set leakage is asymmetric.</w:t>
      </w:r>
      <w:r>
        <w:t xml:space="preserve"> </w:t>
      </w:r>
      <w:r>
        <w:t xml:space="preserve">Left: full-set (grey) and per-tool</w:t>
      </w:r>
      <w:r>
        <w:t xml:space="preserve"> </w:t>
      </w:r>
      <w:r>
        <w:t xml:space="preserve">leakage-free (</w:t>
      </w:r>
      <w:r>
        <w:t xml:space="preserve">“clean”</w:t>
      </w:r>
      <w:r>
        <w:t xml:space="preserve">, red) AUROC for 18 predictors discriminating 60 membrane</w:t>
      </w:r>
      <w:r>
        <w:t xml:space="preserve"> </w:t>
      </w:r>
      <w:r>
        <w:t xml:space="preserve">LLPS proteins from a background of other human membrane proteins; error bars are</w:t>
      </w:r>
      <w:r>
        <w:t xml:space="preserve"> </w:t>
      </w:r>
      <w:r>
        <w:t xml:space="preserve">95% bootstrap CIs, and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is the leakage-free positive count. Label colour</w:t>
      </w:r>
      <w:r>
        <w:t xml:space="preserve"> </w:t>
      </w:r>
      <w:r>
        <w:t xml:space="preserve">encodes predictor mechanism. Right: change in AUROC after leakage removal</w:t>
      </w:r>
      <w:r>
        <w:t xml:space="preserve"> </w:t>
      </w:r>
      <w:r>
        <w:t xml:space="preserve">(green = rises, red = drops). Removing leaked proteins raises the structure-based</w:t>
      </w:r>
      <w:r>
        <w:t xml:space="preserve"> </w:t>
      </w:r>
      <w:r>
        <w:t xml:space="preserve">leaders (PSPHunter +0.10, PdPS +0.05, PSPire +0.05) because their leaked</w:t>
      </w:r>
      <w:r>
        <w:t xml:space="preserve"> </w:t>
      </w:r>
      <w:r>
        <w:t xml:space="preserve">proteins are predominantly background negatives, and lowers PDL (−0.08), whose</w:t>
      </w:r>
      <w:r>
        <w:t xml:space="preserve"> </w:t>
      </w:r>
      <w:r>
        <w:t xml:space="preserve">leaked proteins are positives.</w:t>
      </w:r>
    </w:p>
    <w:p>
      <w:pPr>
        <w:pStyle w:val="BodyText"/>
      </w:pPr>
      <w:r>
        <w:drawing>
          <wp:inline>
            <wp:extent cx="5334000" cy="2408725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figures/fig2_topology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8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2. Predictor scores follow the membrane topology.</w:t>
      </w:r>
      <w:r>
        <w:t xml:space="preserve"> </w:t>
      </w:r>
      <w:r>
        <w:t xml:space="preserve">(a) Per-region</w:t>
      </w:r>
      <w:r>
        <w:t xml:space="preserve"> </w:t>
      </w:r>
      <w:r>
        <w:t xml:space="preserve">minus whole-protein score for the two AlphaFold-based structure tools, PICNIC</w:t>
      </w:r>
      <w:r>
        <w:t xml:space="preserve"> </w:t>
      </w:r>
      <w:r>
        <w:t xml:space="preserve">and PSPire, across cytoplasmic, transmembrane, and extracellular/lumenal</w:t>
      </w:r>
      <w:r>
        <w:t xml:space="preserve"> </w:t>
      </w:r>
      <w:r>
        <w:t xml:space="preserve">regions; cytoplasmic regions score above and TM regions below the whole-protein</w:t>
      </w:r>
      <w:r>
        <w:t xml:space="preserve"> </w:t>
      </w:r>
      <w:r>
        <w:t xml:space="preserve">baseline (paired Wilcoxon, *** FDR &lt; 0.001, n.s. not significant). (b) Fraction</w:t>
      </w:r>
      <w:r>
        <w:t xml:space="preserve"> </w:t>
      </w:r>
      <w:r>
        <w:t xml:space="preserve">of proteins scoring cytoplasmic &gt; TM for eight position-aware tools; seven of</w:t>
      </w:r>
      <w:r>
        <w:t xml:space="preserve"> </w:t>
      </w:r>
      <w:r>
        <w:t xml:space="preserve">eight exceed 50% (all FDR &lt; 0.05), and only SEG, a low-complexity masker,</w:t>
      </w:r>
      <w:r>
        <w:t xml:space="preserve"> </w:t>
      </w:r>
      <w:r>
        <w:t xml:space="preserve">reverses.</w:t>
      </w:r>
    </w:p>
    <w:p>
      <w:pPr>
        <w:pStyle w:val="BodyText"/>
      </w:pPr>
      <w:r>
        <w:drawing>
          <wp:inline>
            <wp:extent cx="5334000" cy="4503196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figures/fig3_consensus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03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3. A cross-predictor consensus for 60 membrane LLPS proteins.</w:t>
      </w:r>
      <w:r>
        <w:t xml:space="preserve"> </w:t>
      </w:r>
      <w:r>
        <w:t xml:space="preserve">Plain</w:t>
      </w:r>
      <w:r>
        <w:t xml:space="preserve"> </w:t>
      </w:r>
      <w:r>
        <w:t xml:space="preserve">mean normalised rank (x, higher = consistently predicted phase-separation-prone)</w:t>
      </w:r>
      <w:r>
        <w:t xml:space="preserve"> </w:t>
      </w:r>
      <w:r>
        <w:t xml:space="preserve">versus between-predictor standard deviation (y, higher = more disagreement).</w:t>
      </w:r>
      <w:r>
        <w:t xml:space="preserve"> </w:t>
      </w:r>
      <w:r>
        <w:t xml:space="preserve">Point colour/marker encodes single- vs multi-pass topology; shaded bands mark</w:t>
      </w:r>
      <w:r>
        <w:t xml:space="preserve"> </w:t>
      </w:r>
      <w:r>
        <w:t xml:space="preserve">consistently high (&gt;0.7) and low (&lt;0.3) rank. Large single-pass receptors and</w:t>
      </w:r>
      <w:r>
        <w:t xml:space="preserve"> </w:t>
      </w:r>
      <w:r>
        <w:t xml:space="preserve">RTKs with long disordered cytoplasmic tails (EGFR, ERBB2, JPH2, CKAP4, MAVS)</w:t>
      </w:r>
      <w:r>
        <w:t xml:space="preserve"> </w:t>
      </w:r>
      <w:r>
        <w:t xml:space="preserve">populate the high-consensus region; compact and multi-pass transporters,</w:t>
      </w:r>
      <w:r>
        <w:t xml:space="preserve"> </w:t>
      </w:r>
      <w:r>
        <w:t xml:space="preserve">channels and small tail-anchored proteins (MALL, NPY2R, MFSD1, PAR3, COX7C,</w:t>
      </w:r>
      <w:r>
        <w:t xml:space="preserve"> </w:t>
      </w:r>
      <w:r>
        <w:t xml:space="preserve">TAZ) populate the low-consensus region. Rank and disagreement are uncorrelated</w:t>
      </w:r>
      <w:r>
        <w:t xml:space="preserve"> </w:t>
      </w:r>
      <w:r>
        <w:t xml:space="preserve">(ρ = −0.13), so both extremes reflect predictor agreement.</w:t>
      </w:r>
    </w:p>
    <w:p>
      <w:pPr>
        <w:pStyle w:val="BodyText"/>
      </w:pPr>
      <w:r>
        <w:drawing>
          <wp:inline>
            <wp:extent cx="5334000" cy="3136336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figures/fig5_feature_analysis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63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5. The consensus is driven by the generic soluble-IDR sequence</w:t>
      </w:r>
      <w:r>
        <w:rPr>
          <w:b/>
          <w:bCs/>
        </w:rPr>
        <w:t xml:space="preserve"> </w:t>
      </w:r>
      <w:r>
        <w:rPr>
          <w:b/>
          <w:bCs/>
        </w:rPr>
        <w:t xml:space="preserve">signature.</w:t>
      </w:r>
      <w:r>
        <w:t xml:space="preserve"> </w:t>
      </w:r>
      <w:r>
        <w:t xml:space="preserve">(a) Spearman correlation of each sequence/architecture/PTM feature</w:t>
      </w:r>
      <w:r>
        <w:t xml:space="preserve"> </w:t>
      </w:r>
      <w:r>
        <w:t xml:space="preserve">with consensus rank (* FDR &lt; 0.05); whole-protein hydrophobicity is the</w:t>
      </w:r>
      <w:r>
        <w:t xml:space="preserve"> </w:t>
      </w:r>
      <w:r>
        <w:t xml:space="preserve">strongest (negative) correlate, followed by positive length, total and</w:t>
      </w:r>
      <w:r>
        <w:t xml:space="preserve"> </w:t>
      </w:r>
      <w:r>
        <w:t xml:space="preserve">cyto-tail PTM-site, LCR and disorder terms, and negative TM-fraction /</w:t>
      </w:r>
      <w:r>
        <w:t xml:space="preserve"> </w:t>
      </w:r>
      <w:r>
        <w:t xml:space="preserve">TMD-count / net-charge terms. (b) Consensus rank vs Kyte–Doolittle hydropathy</w:t>
      </w:r>
      <w:r>
        <w:t xml:space="preserve"> </w:t>
      </w:r>
      <w:r>
        <w:t xml:space="preserve">(ρ = −0.69): more hydrophobic proteins rank lower, across both topology</w:t>
      </w:r>
      <w:r>
        <w:t xml:space="preserve"> </w:t>
      </w:r>
      <w:r>
        <w:t xml:space="preserve">classes. (c) Rank vs disordered fraction (ρ = +0.33), (d) vs log chain length</w:t>
      </w:r>
      <w:r>
        <w:t xml:space="preserve"> </w:t>
      </w:r>
      <w:r>
        <w:t xml:space="preserve">(ρ = +0.56), and (e) vs total annotated UniProt post-translational</w:t>
      </w:r>
      <w:r>
        <w:t xml:space="preserve"> </w:t>
      </w:r>
      <w:r>
        <w:t xml:space="preserve">modification sites (ρ = +0.49). Points coloured by topology; extreme proteins</w:t>
      </w:r>
      <w:r>
        <w:t xml:space="preserve"> </w:t>
      </w:r>
      <w:r>
        <w:t xml:space="preserve">labelled.</w:t>
      </w:r>
    </w:p>
    <w:p>
      <w:pPr>
        <w:pStyle w:val="BodyText"/>
      </w:pPr>
      <w:r>
        <w:drawing>
          <wp:inline>
            <wp:extent cx="5334000" cy="4480408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figures/fig2b_predictor_tmd_trend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80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2b (supporting Figure 3). Leading predictors penalise multi-pass</w:t>
      </w:r>
      <w:r>
        <w:rPr>
          <w:b/>
          <w:bCs/>
        </w:rPr>
        <w:t xml:space="preserve"> </w:t>
      </w:r>
      <w:r>
        <w:rPr>
          <w:b/>
          <w:bCs/>
        </w:rPr>
        <w:t xml:space="preserve">architecture in their raw scores.</w:t>
      </w:r>
      <w:r>
        <w:t xml:space="preserve"> </w:t>
      </w:r>
      <w:r>
        <w:t xml:space="preserve">Raw score of each of the four leading tools</w:t>
      </w:r>
      <w:r>
        <w:t xml:space="preserve"> </w:t>
      </w:r>
      <w:r>
        <w:t xml:space="preserve">(PSPHunter, PSPire, PdPS, FuzDrop) versus transmembrane-domain count for the 60</w:t>
      </w:r>
      <w:r>
        <w:t xml:space="preserve"> </w:t>
      </w:r>
      <w:r>
        <w:t xml:space="preserve">proteins; black line = binned median. Raw scores fall with increasing TMD count</w:t>
      </w:r>
      <w:r>
        <w:t xml:space="preserve"> </w:t>
      </w:r>
      <w:r>
        <w:t xml:space="preserve">for all four (Spearman ρ = −0.47, −0.43, −0.44, −0.31; all p &lt; 0.02), confirming</w:t>
      </w:r>
      <w:r>
        <w:t xml:space="preserve"> </w:t>
      </w:r>
      <w:r>
        <w:t xml:space="preserve">that the architecture bias in the consensus is present in the individual tools</w:t>
      </w:r>
      <w:r>
        <w:t xml:space="preserve"> </w:t>
      </w:r>
      <w:r>
        <w:t xml:space="preserve">and not introduced by rank-averaging.</w:t>
      </w:r>
    </w:p>
    <w:p>
      <w:pPr>
        <w:pStyle w:val="BodyText"/>
      </w:pPr>
      <w:r>
        <w:drawing>
          <wp:inline>
            <wp:extent cx="5334000" cy="2828427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figures/fig4_functional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84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4. The consensus tracks architecture and function, not curated LLPS</w:t>
      </w:r>
      <w:r>
        <w:rPr>
          <w:b/>
          <w:bCs/>
        </w:rPr>
        <w:t xml:space="preserve"> </w:t>
      </w:r>
      <w:r>
        <w:rPr>
          <w:b/>
          <w:bCs/>
        </w:rPr>
        <w:t xml:space="preserve">mechanism.</w:t>
      </w:r>
      <w:r>
        <w:t xml:space="preserve"> </w:t>
      </w:r>
      <w:r>
        <w:t xml:space="preserve">(a) Mean consensus rank by UniProt functional class (median bars);</w:t>
      </w:r>
      <w:r>
        <w:t xml:space="preserve"> </w:t>
      </w:r>
      <w:r>
        <w:t xml:space="preserve">rank rises from compact multi-pass ion channels, transporters and GPCRs at the</w:t>
      </w:r>
      <w:r>
        <w:t xml:space="preserve"> </w:t>
      </w:r>
      <w:r>
        <w:t xml:space="preserve">bottom to large single-pass transferases, kinases and receptor tyrosine kinases</w:t>
      </w:r>
      <w:r>
        <w:t xml:space="preserve"> </w:t>
      </w:r>
      <w:r>
        <w:t xml:space="preserve">at the top. (b) Consensus rank for single- vs multi-pass proteins, coloured by</w:t>
      </w:r>
      <w:r>
        <w:t xml:space="preserve"> </w:t>
      </w:r>
      <w:r>
        <w:t xml:space="preserve">leakage status; single-pass proteins rank higher (MWU p = 3.2 × 10⁻³), and the</w:t>
      </w:r>
      <w:r>
        <w:t xml:space="preserve"> </w:t>
      </w:r>
      <w:r>
        <w:t xml:space="preserve">high-ranked single-pass set is enriched for leakage-flagged receptors.</w:t>
      </w:r>
    </w:p>
    <w:p>
      <w:pPr>
        <w:pStyle w:val="BodyText"/>
      </w:pPr>
      <w:r>
        <w:drawing>
          <wp:inline>
            <wp:extent cx="5334000" cy="3639914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figures/figS1_roc_scenarios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99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Supplementary Figure S1. ROC curves across background scenarios.</w:t>
      </w:r>
      <w:r>
        <w:t xml:space="preserve"> </w:t>
      </w:r>
      <w:r>
        <w:t xml:space="preserve">Full ROC</w:t>
      </w:r>
      <w:r>
        <w:t xml:space="preserve"> </w:t>
      </w:r>
      <w:r>
        <w:t xml:space="preserve">curves for the leading predictors under the four background definitions</w:t>
      </w:r>
      <w:r>
        <w:t xml:space="preserve"> </w:t>
      </w:r>
      <w:r>
        <w:t xml:space="preserve">(membrane-vs-membrane, vs multi-pass, vs single-pass, vs whole proteome).</w:t>
      </w:r>
    </w:p>
    <w:p>
      <w:pPr>
        <w:pStyle w:val="BodyText"/>
      </w:pPr>
      <w:r>
        <w:drawing>
          <wp:inline>
            <wp:extent cx="5334000" cy="5168176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figures/figS2_predictor_correlation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68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Supplementary Figure S2. Cross-predictor score correlation.</w:t>
      </w:r>
      <w:r>
        <w:t xml:space="preserve"> </w:t>
      </w:r>
      <w:r>
        <w:t xml:space="preserve">Spearman</w:t>
      </w:r>
      <w:r>
        <w:t xml:space="preserve"> </w:t>
      </w:r>
      <w:r>
        <w:t xml:space="preserve">correlation matrix of the 18 predictor scores across the 60 proteins,</w:t>
      </w:r>
      <w:r>
        <w:t xml:space="preserve"> </w:t>
      </w:r>
      <w:r>
        <w:t xml:space="preserve">illustrating which tools share underlying signal (e.g. the PhaSePred-derived</w:t>
      </w:r>
      <w:r>
        <w:t xml:space="preserve"> </w:t>
      </w:r>
      <w:r>
        <w:t xml:space="preserve">sub-scores and the IDR proxies).</w:t>
      </w:r>
    </w:p>
    <w:p>
      <w:pPr>
        <w:pStyle w:val="BodyText"/>
      </w:pPr>
      <w:r>
        <w:drawing>
          <wp:inline>
            <wp:extent cx="5334000" cy="7438666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figures/fig6_kde_score_vs_tmd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38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Supplementary Figure S3. The membrane-architecture bias is a proteome-wide</w:t>
      </w:r>
      <w:r>
        <w:rPr>
          <w:b/>
          <w:bCs/>
        </w:rPr>
        <w:t xml:space="preserve"> </w:t>
      </w:r>
      <w:r>
        <w:rPr>
          <w:b/>
          <w:bCs/>
        </w:rPr>
        <w:t xml:space="preserve">property of the leading predictors, not an artifact of the curated 60-protein</w:t>
      </w:r>
      <w:r>
        <w:rPr>
          <w:b/>
          <w:bCs/>
        </w:rPr>
        <w:t xml:space="preserve"> </w:t>
      </w:r>
      <w:r>
        <w:rPr>
          <w:b/>
          <w:bCs/>
        </w:rPr>
        <w:t xml:space="preserve">set.</w:t>
      </w:r>
      <w:r>
        <w:t xml:space="preserve"> </w:t>
      </w:r>
      <w:r>
        <w:t xml:space="preserve">Score density (histogram + KDE, left column), membrane-vs-non-membrane</w:t>
      </w:r>
      <w:r>
        <w:t xml:space="preserve"> </w:t>
      </w:r>
      <w:r>
        <w:t xml:space="preserve">score distributions (centre column), and score distributions stratified by</w:t>
      </w:r>
      <w:r>
        <w:t xml:space="preserve"> </w:t>
      </w:r>
      <w:r>
        <w:t xml:space="preserve">TMD count (right column, viridis) for the three leading predictors</w:t>
      </w:r>
      <w:r>
        <w:t xml:space="preserve"> </w:t>
      </w:r>
      <w:r>
        <w:t xml:space="preserve">(PSPHunter, PSPire, PdPS) and the two worst-performing predictors (SEG,</w:t>
      </w:r>
      <w:r>
        <w:t xml:space="preserve"> </w:t>
      </w:r>
      <w:r>
        <w:t xml:space="preserve">LLPhyScore) by leakage-corrected membrane-vs-membrane AUROC, computed across</w:t>
      </w:r>
      <w:r>
        <w:t xml:space="preserve"> </w:t>
      </w:r>
      <w:r>
        <w:t xml:space="preserve">the full human proteome background (</w:t>
      </w:r>
      <w:r>
        <w:rPr>
          <w:rStyle w:val="VerbatimChar"/>
        </w:rPr>
        <w:t xml:space="preserve">output/background_scored.csv</w:t>
      </w:r>
      <w:r>
        <w:t xml:space="preserve">,</w:t>
      </w:r>
      <w:r>
        <w:t xml:space="preserve"> </w:t>
      </w:r>
      <w:r>
        <w:t xml:space="preserve">n ≈ 20,400). LLPhyScore’s unbounded linear-sum score is shown clipped to its</w:t>
      </w:r>
      <w:r>
        <w:t xml:space="preserve"> </w:t>
      </w:r>
      <w:r>
        <w:t xml:space="preserve">0.5–99.5th percentile range (see Methods) because its raw range spans</w:t>
      </w:r>
      <w:r>
        <w:t xml:space="preserve"> </w:t>
      </w:r>
      <w:r>
        <w:t xml:space="preserve">approximately −19,600 to +10,300 and is otherwise dominated by extreme</w:t>
      </w:r>
      <w:r>
        <w:t xml:space="preserve"> </w:t>
      </w:r>
      <w:r>
        <w:t xml:space="preserve">outliers. Proteome-wide, PSPHunter, PSPire, PdPS and LLPhyScore all show</w:t>
      </w:r>
      <w:r>
        <w:t xml:space="preserve"> </w:t>
      </w:r>
      <w:r>
        <w:t xml:space="preserve">significant negative score-vs-TMD-count correlation (Spearman ρ = −0.35 to</w:t>
      </w:r>
      <w:r>
        <w:t xml:space="preserve"> </w:t>
      </w:r>
      <w:r>
        <w:t xml:space="preserve">−0.41, all p &lt; 10⁻⁵ ) and membrane proteins score significantly lower than</w:t>
      </w:r>
      <w:r>
        <w:t xml:space="preserve"> </w:t>
      </w:r>
      <w:r>
        <w:t xml:space="preserve">non-membrane proteins (Mann–Whitney p &lt; 10⁻⁷ for all four); SEG alone shows</w:t>
      </w:r>
      <w:r>
        <w:t xml:space="preserve"> </w:t>
      </w:r>
      <w:r>
        <w:t xml:space="preserve">negligible architecture dependence (ρ = +0.04) — consistent with its lone</w:t>
      </w:r>
      <w:r>
        <w:t xml:space="preserve"> </w:t>
      </w:r>
      <w:r>
        <w:t xml:space="preserve">reversal in the cytoplasmic-vs-TM topology test (Figure 2b) and its</w:t>
      </w:r>
      <w:r>
        <w:t xml:space="preserve"> </w:t>
      </w:r>
      <w:r>
        <w:t xml:space="preserve">chance-level discrimination in the ROC benchmark (Figure 1).</w:t>
      </w:r>
    </w:p>
    <w:bookmarkEnd w:id="57"/>
    <w:bookmarkStart w:id="105" w:name="references"/>
    <w:p>
      <w:pPr>
        <w:pStyle w:val="Heading1"/>
      </w:pPr>
      <w:r>
        <w:t xml:space="preserve">References</w:t>
      </w:r>
    </w:p>
    <w:bookmarkStart w:id="104" w:name="refs"/>
    <w:bookmarkStart w:id="59" w:name="ref-catgranule2016"/>
    <w:p>
      <w:pPr>
        <w:pStyle w:val="Bibliography"/>
      </w:pPr>
      <w:r>
        <w:t xml:space="preserve">Bolognesi, Benedetta, Nadia Lorenzo Gotor, et al.</w:t>
      </w:r>
      <w:r>
        <w:t xml:space="preserve"> 2016.</w:t>
      </w:r>
      <w:r>
        <w:t xml:space="preserve"> </w:t>
      </w:r>
      <w:r>
        <w:t xml:space="preserve">“A Concentration-Dependent Liquid Phase Separation Can Cause Toxicity Upon Increased Protein Expression.”</w:t>
      </w:r>
      <w:r>
        <w:t xml:space="preserve"> </w:t>
      </w:r>
      <w:r>
        <w:rPr>
          <w:i/>
          <w:iCs/>
        </w:rPr>
        <w:t xml:space="preserve">Cell Reports</w:t>
      </w:r>
      <w:r>
        <w:t xml:space="preserve"> </w:t>
      </w:r>
      <w:r>
        <w:t xml:space="preserve">16 (1): 222–31.</w:t>
      </w:r>
      <w:r>
        <w:t xml:space="preserve"> </w:t>
      </w:r>
      <w:hyperlink r:id="rId58">
        <w:r>
          <w:rPr>
            <w:rStyle w:val="Hyperlink"/>
          </w:rPr>
          <w:t xml:space="preserve">https://doi.org/10.1016/j.celrep.2016.05.076</w:t>
        </w:r>
      </w:hyperlink>
      <w:r>
        <w:t xml:space="preserve">.</w:t>
      </w:r>
    </w:p>
    <w:bookmarkEnd w:id="59"/>
    <w:bookmarkStart w:id="61" w:name="ref-llphyscore2022"/>
    <w:p>
      <w:pPr>
        <w:pStyle w:val="Bibliography"/>
      </w:pPr>
      <w:r>
        <w:t xml:space="preserve">Cai, Hao, Robert M. Vernon, and Julie D. Forman-Kay. 2022.</w:t>
      </w:r>
      <w:r>
        <w:t xml:space="preserve"> </w:t>
      </w:r>
      <w:r>
        <w:t xml:space="preserve">“An Interpretable Machine-Learning Algorithm to Predict Disordered Protein Phase Separation Based on Biophysical Interactions (</w:t>
      </w:r>
      <w:r>
        <w:t xml:space="preserve">LLPhyScore</w:t>
      </w:r>
      <w:r>
        <w:t xml:space="preserve">).”</w:t>
      </w:r>
      <w:r>
        <w:t xml:space="preserve"> </w:t>
      </w:r>
      <w:r>
        <w:rPr>
          <w:i/>
          <w:iCs/>
        </w:rPr>
        <w:t xml:space="preserve">Biomolecules</w:t>
      </w:r>
      <w:r>
        <w:t xml:space="preserve"> </w:t>
      </w:r>
      <w:r>
        <w:t xml:space="preserve">12 (8): 1131.</w:t>
      </w:r>
      <w:r>
        <w:t xml:space="preserve"> </w:t>
      </w:r>
      <w:hyperlink r:id="rId60">
        <w:r>
          <w:rPr>
            <w:rStyle w:val="Hyperlink"/>
          </w:rPr>
          <w:t xml:space="preserve">https://doi.org/10.3390/biom12081131</w:t>
        </w:r>
      </w:hyperlink>
      <w:r>
        <w:t xml:space="preserve">.</w:t>
      </w:r>
    </w:p>
    <w:bookmarkEnd w:id="61"/>
    <w:bookmarkStart w:id="63" w:name="ref-phasepred2022"/>
    <w:p>
      <w:pPr>
        <w:pStyle w:val="Bibliography"/>
      </w:pPr>
      <w:r>
        <w:t xml:space="preserve">Chen, Zhaoming, Chao Hou, et al.</w:t>
      </w:r>
      <w:r>
        <w:t xml:space="preserve"> 2022.</w:t>
      </w:r>
      <w:r>
        <w:t xml:space="preserve"> </w:t>
      </w:r>
      <w:r>
        <w:t xml:space="preserve">“Screening Membraneless Organelle Participants with Machine-Learning Models That Integrate Multimodal Features (</w:t>
      </w:r>
      <w:r>
        <w:t xml:space="preserve">PhaSePred</w:t>
      </w:r>
      <w:r>
        <w:t xml:space="preserve">).”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119 (24): e2115369119.</w:t>
      </w:r>
      <w:r>
        <w:t xml:space="preserve"> </w:t>
      </w:r>
      <w:hyperlink r:id="rId62">
        <w:r>
          <w:rPr>
            <w:rStyle w:val="Hyperlink"/>
          </w:rPr>
          <w:t xml:space="preserve">https://doi.org/10.1073/pnas.2115369119</w:t>
        </w:r>
      </w:hyperlink>
      <w:r>
        <w:t xml:space="preserve">.</w:t>
      </w:r>
    </w:p>
    <w:bookmarkEnd w:id="63"/>
    <w:bookmarkStart w:id="65" w:name="ref-fuzdrop2020"/>
    <w:p>
      <w:pPr>
        <w:pStyle w:val="Bibliography"/>
      </w:pPr>
      <w:r>
        <w:t xml:space="preserve">Hardenberg, Maarten, Attila Horvath, Viktor Ambrus, Monika Fuxreiter, and Michele Vendruscolo. 2020.</w:t>
      </w:r>
      <w:r>
        <w:t xml:space="preserve"> </w:t>
      </w:r>
      <w:r>
        <w:t xml:space="preserve">“Widespread Occurrence of the Droplet State of Proteins in the Human Proteome (</w:t>
      </w:r>
      <w:r>
        <w:t xml:space="preserve">FuzDrop</w:t>
      </w:r>
      <w:r>
        <w:t xml:space="preserve">).”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117 (52): 33254–62.</w:t>
      </w:r>
      <w:r>
        <w:t xml:space="preserve"> </w:t>
      </w:r>
      <w:hyperlink r:id="rId64">
        <w:r>
          <w:rPr>
            <w:rStyle w:val="Hyperlink"/>
          </w:rPr>
          <w:t xml:space="preserve">https://doi.org/10.1073/pnas.2007670117</w:t>
        </w:r>
      </w:hyperlink>
      <w:r>
        <w:t xml:space="preserve">.</w:t>
      </w:r>
    </w:p>
    <w:bookmarkEnd w:id="65"/>
    <w:bookmarkStart w:id="67" w:name="ref-pspire2024"/>
    <w:p>
      <w:pPr>
        <w:pStyle w:val="Bibliography"/>
      </w:pPr>
      <w:r>
        <w:t xml:space="preserve">Hou, Shuang et al.</w:t>
      </w:r>
      <w:r>
        <w:t xml:space="preserve"> 2024.</w:t>
      </w:r>
      <w:r>
        <w:t xml:space="preserve"> </w:t>
      </w:r>
      <w:r>
        <w:t xml:space="preserve">“Machine Learning Predictor</w:t>
      </w:r>
      <w:r>
        <w:t xml:space="preserve"> </w:t>
      </w:r>
      <w:r>
        <w:t xml:space="preserve">PSPire</w:t>
      </w:r>
      <w:r>
        <w:t xml:space="preserve"> </w:t>
      </w:r>
      <w:r>
        <w:t xml:space="preserve">Screens for Phase-Separating Proteins Lacking Intrinsically Disordered Regions.”</w:t>
      </w:r>
      <w:r>
        <w:t xml:space="preserve"> </w:t>
      </w:r>
      <w:r>
        <w:rPr>
          <w:i/>
          <w:iCs/>
        </w:rPr>
        <w:t xml:space="preserve">Nature Communications</w:t>
      </w:r>
      <w:r>
        <w:t xml:space="preserve"> </w:t>
      </w:r>
      <w:r>
        <w:t xml:space="preserve">15: 2147.</w:t>
      </w:r>
      <w:r>
        <w:t xml:space="preserve"> </w:t>
      </w:r>
      <w:hyperlink r:id="rId66">
        <w:r>
          <w:rPr>
            <w:rStyle w:val="Hyperlink"/>
          </w:rPr>
          <w:t xml:space="preserve">https://doi.org/10.1038/s41467-024-46445-y</w:t>
        </w:r>
      </w:hyperlink>
      <w:r>
        <w:t xml:space="preserve">.</w:t>
      </w:r>
    </w:p>
    <w:bookmarkEnd w:id="67"/>
    <w:bookmarkStart w:id="69" w:name="ref-alphafold2021"/>
    <w:p>
      <w:pPr>
        <w:pStyle w:val="Bibliography"/>
      </w:pPr>
      <w:r>
        <w:t xml:space="preserve">Jumper, John, Richard Evans, et al.</w:t>
      </w:r>
      <w:r>
        <w:t xml:space="preserve"> 2021.</w:t>
      </w:r>
      <w:r>
        <w:t xml:space="preserve"> </w:t>
      </w:r>
      <w:r>
        <w:t xml:space="preserve">“Highly Accurate Protein Structure Prediction with</w:t>
      </w:r>
      <w:r>
        <w:t xml:space="preserve"> </w:t>
      </w:r>
      <w:r>
        <w:t xml:space="preserve">AlphaFold</w:t>
      </w:r>
      <w:r>
        <w:t xml:space="preserve">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596: 583–89.</w:t>
      </w:r>
      <w:r>
        <w:t xml:space="preserve"> </w:t>
      </w:r>
      <w:hyperlink r:id="rId68">
        <w:r>
          <w:rPr>
            <w:rStyle w:val="Hyperlink"/>
          </w:rPr>
          <w:t xml:space="preserve">https://doi.org/10.1038/s41586-021-03819-2</w:t>
        </w:r>
      </w:hyperlink>
      <w:r>
        <w:t xml:space="preserve">.</w:t>
      </w:r>
    </w:p>
    <w:bookmarkEnd w:id="69"/>
    <w:bookmarkStart w:id="71" w:name="ref-plaac2014"/>
    <w:p>
      <w:pPr>
        <w:pStyle w:val="Bibliography"/>
      </w:pPr>
      <w:r>
        <w:t xml:space="preserve">Lancaster, Alex K., Andrew Nutter-Upham, Susan Lindquist, and Oliver D. King. 2014.</w:t>
      </w:r>
      <w:r>
        <w:t xml:space="preserve"> </w:t>
      </w:r>
      <w:r>
        <w:t xml:space="preserve">“</w:t>
      </w:r>
      <w:r>
        <w:t xml:space="preserve">PLAAC</w:t>
      </w:r>
      <w:r>
        <w:t xml:space="preserve">: A Web and Command-Line Application to Identify Proteins with Prion-Like Amino Acid Composition.”</w:t>
      </w:r>
      <w:r>
        <w:t xml:space="preserve"> </w:t>
      </w:r>
      <w:r>
        <w:rPr>
          <w:i/>
          <w:iCs/>
        </w:rPr>
        <w:t xml:space="preserve">Bioinformatics</w:t>
      </w:r>
      <w:r>
        <w:t xml:space="preserve"> </w:t>
      </w:r>
      <w:r>
        <w:t xml:space="preserve">30 (17): 2501–2.</w:t>
      </w:r>
      <w:r>
        <w:t xml:space="preserve"> </w:t>
      </w:r>
      <w:hyperlink r:id="rId70">
        <w:r>
          <w:rPr>
            <w:rStyle w:val="Hyperlink"/>
          </w:rPr>
          <w:t xml:space="preserve">https://doi.org/10.1093/bioinformatics/btu310</w:t>
        </w:r>
      </w:hyperlink>
      <w:r>
        <w:t xml:space="preserve">.</w:t>
      </w:r>
    </w:p>
    <w:bookmarkEnd w:id="71"/>
    <w:bookmarkStart w:id="73" w:name="ref-llpsdb2020"/>
    <w:p>
      <w:pPr>
        <w:pStyle w:val="Bibliography"/>
      </w:pPr>
      <w:r>
        <w:t xml:space="preserve">Li, Qian, Xiaojun Peng, et al.</w:t>
      </w:r>
      <w:r>
        <w:t xml:space="preserve"> 2020.</w:t>
      </w:r>
      <w:r>
        <w:t xml:space="preserve"> </w:t>
      </w:r>
      <w:r>
        <w:t xml:space="preserve">“</w:t>
      </w:r>
      <w:r>
        <w:t xml:space="preserve">LLPSDB</w:t>
      </w:r>
      <w:r>
        <w:t xml:space="preserve">: A Database of Proteins Undergoing Liquid-Liquid Phase Separation in Vitro.”</w:t>
      </w:r>
      <w:r>
        <w:t xml:space="preserve"> </w:t>
      </w:r>
      <w:r>
        <w:rPr>
          <w:i/>
          <w:iCs/>
        </w:rPr>
        <w:t xml:space="preserve">Nucleic Acids Research</w:t>
      </w:r>
      <w:r>
        <w:t xml:space="preserve"> </w:t>
      </w:r>
      <w:r>
        <w:t xml:space="preserve">48 (D1): D320–27.</w:t>
      </w:r>
      <w:r>
        <w:t xml:space="preserve"> </w:t>
      </w:r>
      <w:hyperlink r:id="rId72">
        <w:r>
          <w:rPr>
            <w:rStyle w:val="Hyperlink"/>
          </w:rPr>
          <w:t xml:space="preserve">https://doi.org/10.1093/nar/gkz778</w:t>
        </w:r>
      </w:hyperlink>
      <w:r>
        <w:t xml:space="preserve">.</w:t>
      </w:r>
    </w:p>
    <w:bookmarkEnd w:id="73"/>
    <w:bookmarkStart w:id="75" w:name="ref-pdl2025"/>
    <w:p>
      <w:pPr>
        <w:pStyle w:val="Bibliography"/>
      </w:pPr>
      <w:r>
        <w:t xml:space="preserve">Li, Wenbin et al.</w:t>
      </w:r>
      <w:r>
        <w:t xml:space="preserve"> 2025.</w:t>
      </w:r>
      <w:r>
        <w:t xml:space="preserve"> </w:t>
      </w:r>
      <w:r>
        <w:t xml:space="preserve">“</w:t>
      </w:r>
      <w:r>
        <w:t xml:space="preserve">PDL</w:t>
      </w:r>
      <w:r>
        <w:t xml:space="preserve">: A Dual-Model Protein Language Framework for Phase-Separation Prediction.”</w:t>
      </w:r>
      <w:r>
        <w:t xml:space="preserve"> </w:t>
      </w:r>
      <w:r>
        <w:rPr>
          <w:i/>
          <w:iCs/>
        </w:rPr>
        <w:t xml:space="preserve">Briefings in Bioinformatics</w:t>
      </w:r>
      <w:r>
        <w:t xml:space="preserve"> </w:t>
      </w:r>
      <w:r>
        <w:t xml:space="preserve">26 (6): bbaf681.</w:t>
      </w:r>
      <w:r>
        <w:t xml:space="preserve"> </w:t>
      </w:r>
      <w:hyperlink r:id="rId74">
        <w:r>
          <w:rPr>
            <w:rStyle w:val="Hyperlink"/>
          </w:rPr>
          <w:t xml:space="preserve">https://doi.org/10.1093/bib/bbaf681</w:t>
        </w:r>
      </w:hyperlink>
      <w:r>
        <w:t xml:space="preserve">.</w:t>
      </w:r>
    </w:p>
    <w:bookmarkEnd w:id="75"/>
    <w:bookmarkStart w:id="77" w:name="ref-phasepro2020"/>
    <w:p>
      <w:pPr>
        <w:pStyle w:val="Bibliography"/>
      </w:pPr>
      <w:r>
        <w:t xml:space="preserve">Mészáros, Bálint, Gábor Erdős, et al.</w:t>
      </w:r>
      <w:r>
        <w:t xml:space="preserve"> 2020.</w:t>
      </w:r>
      <w:r>
        <w:t xml:space="preserve"> </w:t>
      </w:r>
      <w:r>
        <w:t xml:space="preserve">“</w:t>
      </w:r>
      <w:r>
        <w:t xml:space="preserve">PhaSePro</w:t>
      </w:r>
      <w:r>
        <w:t xml:space="preserve">: The Database of Proteins Driving Liquid-Liquid Phase Separation.”</w:t>
      </w:r>
      <w:r>
        <w:t xml:space="preserve"> </w:t>
      </w:r>
      <w:r>
        <w:rPr>
          <w:i/>
          <w:iCs/>
        </w:rPr>
        <w:t xml:space="preserve">Nucleic Acids Research</w:t>
      </w:r>
      <w:r>
        <w:t xml:space="preserve"> </w:t>
      </w:r>
      <w:r>
        <w:t xml:space="preserve">48 (D1): D360–67.</w:t>
      </w:r>
      <w:r>
        <w:t xml:space="preserve"> </w:t>
      </w:r>
      <w:hyperlink r:id="rId76">
        <w:r>
          <w:rPr>
            <w:rStyle w:val="Hyperlink"/>
          </w:rPr>
          <w:t xml:space="preserve">https://doi.org/10.1093/nar/gkz848</w:t>
        </w:r>
      </w:hyperlink>
      <w:r>
        <w:t xml:space="preserve">.</w:t>
      </w:r>
    </w:p>
    <w:bookmarkEnd w:id="77"/>
    <w:bookmarkStart w:id="79" w:name="ref-iupred2a2018"/>
    <w:p>
      <w:pPr>
        <w:pStyle w:val="Bibliography"/>
      </w:pPr>
      <w:r>
        <w:t xml:space="preserve">Mészáros, Bálint, Gábor Erdős, and Zsuzsanna Dosztányi. 2018.</w:t>
      </w:r>
      <w:r>
        <w:t xml:space="preserve"> </w:t>
      </w:r>
      <w:r>
        <w:t xml:space="preserve">“</w:t>
      </w:r>
      <w:r>
        <w:t xml:space="preserve">IUPred2A</w:t>
      </w:r>
      <w:r>
        <w:t xml:space="preserve">: Context-Dependent Prediction of Protein Disorder as a Function of Redox State and Protein Binding.”</w:t>
      </w:r>
      <w:r>
        <w:t xml:space="preserve"> </w:t>
      </w:r>
      <w:r>
        <w:rPr>
          <w:i/>
          <w:iCs/>
        </w:rPr>
        <w:t xml:space="preserve">Nucleic Acids Research</w:t>
      </w:r>
      <w:r>
        <w:t xml:space="preserve"> </w:t>
      </w:r>
      <w:r>
        <w:t xml:space="preserve">46 (W1): W329–37.</w:t>
      </w:r>
      <w:r>
        <w:t xml:space="preserve"> </w:t>
      </w:r>
      <w:hyperlink r:id="rId78">
        <w:r>
          <w:rPr>
            <w:rStyle w:val="Hyperlink"/>
          </w:rPr>
          <w:t xml:space="preserve">https://doi.org/10.1093/nar/gky384</w:t>
        </w:r>
      </w:hyperlink>
      <w:r>
        <w:t xml:space="preserve">.</w:t>
      </w:r>
    </w:p>
    <w:bookmarkEnd w:id="79"/>
    <w:bookmarkStart w:id="81" w:name="ref-psap2021"/>
    <w:p>
      <w:pPr>
        <w:pStyle w:val="Bibliography"/>
      </w:pPr>
      <w:r>
        <w:t xml:space="preserve">Mierlo, Guido van, Joris R. G. Jansen, et al.</w:t>
      </w:r>
      <w:r>
        <w:t xml:space="preserve"> 2021.</w:t>
      </w:r>
      <w:r>
        <w:t xml:space="preserve"> </w:t>
      </w:r>
      <w:r>
        <w:t xml:space="preserve">“Predicting Protein Condensate Formation Using Machine Learning.”</w:t>
      </w:r>
      <w:r>
        <w:t xml:space="preserve"> </w:t>
      </w:r>
      <w:r>
        <w:rPr>
          <w:i/>
          <w:iCs/>
        </w:rPr>
        <w:t xml:space="preserve">Cell Reports</w:t>
      </w:r>
      <w:r>
        <w:t xml:space="preserve"> </w:t>
      </w:r>
      <w:r>
        <w:t xml:space="preserve">34 (5): 108705.</w:t>
      </w:r>
      <w:r>
        <w:t xml:space="preserve"> </w:t>
      </w:r>
      <w:hyperlink r:id="rId80">
        <w:r>
          <w:rPr>
            <w:rStyle w:val="Hyperlink"/>
          </w:rPr>
          <w:t xml:space="preserve">https://doi.org/10.1016/j.celrep.2021.108705</w:t>
        </w:r>
      </w:hyperlink>
      <w:r>
        <w:t xml:space="preserve">.</w:t>
      </w:r>
    </w:p>
    <w:bookmarkEnd w:id="81"/>
    <w:bookmarkStart w:id="83" w:name="ref-drllps2020"/>
    <w:p>
      <w:pPr>
        <w:pStyle w:val="Bibliography"/>
      </w:pPr>
      <w:r>
        <w:t xml:space="preserve">Ning, Wanshan, Yaping Guo, et al.</w:t>
      </w:r>
      <w:r>
        <w:t xml:space="preserve"> 2020.</w:t>
      </w:r>
      <w:r>
        <w:t xml:space="preserve"> </w:t>
      </w:r>
      <w:r>
        <w:t xml:space="preserve">“</w:t>
      </w:r>
      <w:r>
        <w:t xml:space="preserve">DrLLPS</w:t>
      </w:r>
      <w:r>
        <w:t xml:space="preserve">: A Data Resource of Liquid-Liquid Phase Separation in Eukaryotes.”</w:t>
      </w:r>
      <w:r>
        <w:t xml:space="preserve"> </w:t>
      </w:r>
      <w:r>
        <w:rPr>
          <w:i/>
          <w:iCs/>
        </w:rPr>
        <w:t xml:space="preserve">Nucleic Acids Research</w:t>
      </w:r>
      <w:r>
        <w:t xml:space="preserve"> </w:t>
      </w:r>
      <w:r>
        <w:t xml:space="preserve">48 (D1): D288–95.</w:t>
      </w:r>
      <w:r>
        <w:t xml:space="preserve"> </w:t>
      </w:r>
      <w:hyperlink r:id="rId82">
        <w:r>
          <w:rPr>
            <w:rStyle w:val="Hyperlink"/>
          </w:rPr>
          <w:t xml:space="preserve">https://doi.org/10.1093/nar/gkz1027</w:t>
        </w:r>
      </w:hyperlink>
      <w:r>
        <w:t xml:space="preserve">.</w:t>
      </w:r>
    </w:p>
    <w:bookmarkEnd w:id="83"/>
    <w:bookmarkStart w:id="85" w:name="ref-picnic2024"/>
    <w:p>
      <w:pPr>
        <w:pStyle w:val="Bibliography"/>
      </w:pPr>
      <w:r>
        <w:t xml:space="preserve">Pulido-Quetglas, Carlos, Ann-Kathrin Hoffmann, et al.</w:t>
      </w:r>
      <w:r>
        <w:t xml:space="preserve"> 2024.</w:t>
      </w:r>
      <w:r>
        <w:t xml:space="preserve"> </w:t>
      </w:r>
      <w:r>
        <w:t xml:space="preserve">“Prediction of Biomolecular Condensate Components with</w:t>
      </w:r>
      <w:r>
        <w:t xml:space="preserve"> </w:t>
      </w:r>
      <w:r>
        <w:t xml:space="preserve">PICNIC</w:t>
      </w:r>
      <w:r>
        <w:t xml:space="preserve">.”</w:t>
      </w:r>
      <w:r>
        <w:t xml:space="preserve"> </w:t>
      </w:r>
      <w:r>
        <w:rPr>
          <w:i/>
          <w:iCs/>
        </w:rPr>
        <w:t xml:space="preserve">Nature Communications</w:t>
      </w:r>
      <w:r>
        <w:t xml:space="preserve"> </w:t>
      </w:r>
      <w:r>
        <w:t xml:space="preserve">15: 10668.</w:t>
      </w:r>
      <w:r>
        <w:t xml:space="preserve"> </w:t>
      </w:r>
      <w:hyperlink r:id="rId84">
        <w:r>
          <w:rPr>
            <w:rStyle w:val="Hyperlink"/>
          </w:rPr>
          <w:t xml:space="preserve">https://doi.org/10.1038/s41467-024-55089-x</w:t>
        </w:r>
      </w:hyperlink>
      <w:r>
        <w:t xml:space="preserve">.</w:t>
      </w:r>
    </w:p>
    <w:bookmarkEnd w:id="85"/>
    <w:bookmarkStart w:id="87" w:name="ref-cdcode2023"/>
    <w:p>
      <w:pPr>
        <w:pStyle w:val="Bibliography"/>
      </w:pPr>
      <w:r>
        <w:t xml:space="preserve">Rostam, Nadia, Soumyananda Ghosh, et al.</w:t>
      </w:r>
      <w:r>
        <w:t xml:space="preserve"> 2023.</w:t>
      </w:r>
      <w:r>
        <w:t xml:space="preserve"> </w:t>
      </w:r>
      <w:r>
        <w:t xml:space="preserve">“</w:t>
      </w:r>
      <w:r>
        <w:t xml:space="preserve">CD-CODE</w:t>
      </w:r>
      <w:r>
        <w:t xml:space="preserve">: Crowdsourcing Condensate Database and Encyclopedia.”</w:t>
      </w:r>
      <w:r>
        <w:t xml:space="preserve"> </w:t>
      </w:r>
      <w:r>
        <w:rPr>
          <w:i/>
          <w:iCs/>
        </w:rPr>
        <w:t xml:space="preserve">Nature Methods</w:t>
      </w:r>
      <w:r>
        <w:t xml:space="preserve"> </w:t>
      </w:r>
      <w:r>
        <w:t xml:space="preserve">20: 673–76.</w:t>
      </w:r>
      <w:r>
        <w:t xml:space="preserve"> </w:t>
      </w:r>
      <w:hyperlink r:id="rId86">
        <w:r>
          <w:rPr>
            <w:rStyle w:val="Hyperlink"/>
          </w:rPr>
          <w:t xml:space="preserve">https://doi.org/10.1038/s41592-023-01831-0</w:t>
        </w:r>
      </w:hyperlink>
      <w:r>
        <w:t xml:space="preserve">.</w:t>
      </w:r>
    </w:p>
    <w:bookmarkEnd w:id="87"/>
    <w:bookmarkStart w:id="89" w:name="ref-deephase2021"/>
    <w:p>
      <w:pPr>
        <w:pStyle w:val="Bibliography"/>
      </w:pPr>
      <w:r>
        <w:t xml:space="preserve">Saar, Kadi L., Alexey S. Morgunov, et al.</w:t>
      </w:r>
      <w:r>
        <w:t xml:space="preserve"> 2021.</w:t>
      </w:r>
      <w:r>
        <w:t xml:space="preserve"> </w:t>
      </w:r>
      <w:r>
        <w:t xml:space="preserve">“Learning the Molecular Grammar of Protein Condensates from Sequence Determinants.”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118 (15): e2019053118.</w:t>
      </w:r>
      <w:r>
        <w:t xml:space="preserve"> </w:t>
      </w:r>
      <w:hyperlink r:id="rId88">
        <w:r>
          <w:rPr>
            <w:rStyle w:val="Hyperlink"/>
          </w:rPr>
          <w:t xml:space="preserve">https://doi.org/10.1073/pnas.2019053118</w:t>
        </w:r>
      </w:hyperlink>
      <w:r>
        <w:t xml:space="preserve">.</w:t>
      </w:r>
    </w:p>
    <w:bookmarkEnd w:id="89"/>
    <w:bookmarkStart w:id="91" w:name="ref-psphunter2024"/>
    <w:p>
      <w:pPr>
        <w:pStyle w:val="Bibliography"/>
      </w:pPr>
      <w:r>
        <w:t xml:space="preserve">Sun, Jiwei et al.</w:t>
      </w:r>
      <w:r>
        <w:t xml:space="preserve"> 2024.</w:t>
      </w:r>
      <w:r>
        <w:t xml:space="preserve"> </w:t>
      </w:r>
      <w:r>
        <w:t xml:space="preserve">“Precise Prediction of Phase-Separation Proteins and Their Drivers with</w:t>
      </w:r>
      <w:r>
        <w:t xml:space="preserve"> </w:t>
      </w:r>
      <w:r>
        <w:t xml:space="preserve">PSPHunter</w:t>
      </w:r>
      <w:r>
        <w:t xml:space="preserve">.”</w:t>
      </w:r>
      <w:r>
        <w:t xml:space="preserve"> </w:t>
      </w:r>
      <w:r>
        <w:rPr>
          <w:i/>
          <w:iCs/>
        </w:rPr>
        <w:t xml:space="preserve">Nature Communications</w:t>
      </w:r>
      <w:r>
        <w:t xml:space="preserve"> </w:t>
      </w:r>
      <w:r>
        <w:t xml:space="preserve">15: 2662.</w:t>
      </w:r>
      <w:r>
        <w:t xml:space="preserve"> </w:t>
      </w:r>
      <w:hyperlink r:id="rId90">
        <w:r>
          <w:rPr>
            <w:rStyle w:val="Hyperlink"/>
          </w:rPr>
          <w:t xml:space="preserve">https://doi.org/10.1038/s41467-024-46901-9</w:t>
        </w:r>
      </w:hyperlink>
      <w:r>
        <w:t xml:space="preserve">.</w:t>
      </w:r>
    </w:p>
    <w:bookmarkEnd w:id="91"/>
    <w:bookmarkStart w:id="93" w:name="ref-uniprot2023"/>
    <w:p>
      <w:pPr>
        <w:pStyle w:val="Bibliography"/>
      </w:pPr>
      <w:r>
        <w:t xml:space="preserve">The UniProt Consortium. 2023.</w:t>
      </w:r>
      <w:r>
        <w:t xml:space="preserve"> </w:t>
      </w:r>
      <w:r>
        <w:t xml:space="preserve">“</w:t>
      </w:r>
      <w:r>
        <w:t xml:space="preserve">UniProt</w:t>
      </w:r>
      <w:r>
        <w:t xml:space="preserve">: The Universal Protein Knowledgebase in 2023.”</w:t>
      </w:r>
      <w:r>
        <w:t xml:space="preserve"> </w:t>
      </w:r>
      <w:r>
        <w:rPr>
          <w:i/>
          <w:iCs/>
        </w:rPr>
        <w:t xml:space="preserve">Nucleic Acids Research</w:t>
      </w:r>
      <w:r>
        <w:t xml:space="preserve"> </w:t>
      </w:r>
      <w:r>
        <w:t xml:space="preserve">51 (D1): D523–31.</w:t>
      </w:r>
      <w:r>
        <w:t xml:space="preserve"> </w:t>
      </w:r>
      <w:hyperlink r:id="rId92">
        <w:r>
          <w:rPr>
            <w:rStyle w:val="Hyperlink"/>
          </w:rPr>
          <w:t xml:space="preserve">https://doi.org/10.1093/nar/gkac1052</w:t>
        </w:r>
      </w:hyperlink>
      <w:r>
        <w:t xml:space="preserve">.</w:t>
      </w:r>
    </w:p>
    <w:bookmarkEnd w:id="93"/>
    <w:bookmarkStart w:id="95" w:name="ref-vernon2018"/>
    <w:p>
      <w:pPr>
        <w:pStyle w:val="Bibliography"/>
      </w:pPr>
      <w:r>
        <w:t xml:space="preserve">Vernon, Robert McCoy, Paul A. Chong, et al.</w:t>
      </w:r>
      <w:r>
        <w:t xml:space="preserve"> 2018.</w:t>
      </w:r>
      <w:r>
        <w:t xml:space="preserve"> </w:t>
      </w:r>
      <w:r>
        <w:t xml:space="preserve">“Pi-Pi Contacts Are an Overlooked Protein Feature Relevant to Phase Separation.”</w:t>
      </w:r>
      <w:r>
        <w:t xml:space="preserve"> </w:t>
      </w:r>
      <w:r>
        <w:rPr>
          <w:i/>
          <w:iCs/>
        </w:rPr>
        <w:t xml:space="preserve">eLife</w:t>
      </w:r>
      <w:r>
        <w:t xml:space="preserve"> </w:t>
      </w:r>
      <w:r>
        <w:t xml:space="preserve">7: e31486.</w:t>
      </w:r>
      <w:r>
        <w:t xml:space="preserve"> </w:t>
      </w:r>
      <w:hyperlink r:id="rId94">
        <w:r>
          <w:rPr>
            <w:rStyle w:val="Hyperlink"/>
          </w:rPr>
          <w:t xml:space="preserve">https://doi.org/10.7554/eLife.31486</w:t>
        </w:r>
      </w:hyperlink>
      <w:r>
        <w:t xml:space="preserve">.</w:t>
      </w:r>
    </w:p>
    <w:bookmarkEnd w:id="95"/>
    <w:bookmarkStart w:id="97" w:name="ref-espritz2012"/>
    <w:p>
      <w:pPr>
        <w:pStyle w:val="Bibliography"/>
      </w:pPr>
      <w:r>
        <w:t xml:space="preserve">Walsh, Ian, Alberto J. M. Martin, Tomas Di Domenico, and Silvio C. E. Tosatto. 2012.</w:t>
      </w:r>
      <w:r>
        <w:t xml:space="preserve"> </w:t>
      </w:r>
      <w:r>
        <w:t xml:space="preserve">“</w:t>
      </w:r>
      <w:r>
        <w:t xml:space="preserve">ESpritz</w:t>
      </w:r>
      <w:r>
        <w:t xml:space="preserve">: Accurate and Fast Prediction of Protein Disorder.”</w:t>
      </w:r>
      <w:r>
        <w:t xml:space="preserve"> </w:t>
      </w:r>
      <w:r>
        <w:rPr>
          <w:i/>
          <w:iCs/>
        </w:rPr>
        <w:t xml:space="preserve">Bioinformatics</w:t>
      </w:r>
      <w:r>
        <w:t xml:space="preserve"> </w:t>
      </w:r>
      <w:r>
        <w:t xml:space="preserve">28 (4): 503–9.</w:t>
      </w:r>
      <w:r>
        <w:t xml:space="preserve"> </w:t>
      </w:r>
      <w:hyperlink r:id="rId96">
        <w:r>
          <w:rPr>
            <w:rStyle w:val="Hyperlink"/>
          </w:rPr>
          <w:t xml:space="preserve">https://doi.org/10.1093/bioinformatics/btr682</w:t>
        </w:r>
      </w:hyperlink>
      <w:r>
        <w:t xml:space="preserve">.</w:t>
      </w:r>
    </w:p>
    <w:bookmarkEnd w:id="97"/>
    <w:bookmarkStart w:id="99" w:name="ref-parse2_2023"/>
    <w:p>
      <w:pPr>
        <w:pStyle w:val="Bibliography"/>
      </w:pPr>
      <w:r>
        <w:t xml:space="preserve">Wilson, Chandler J. et al.</w:t>
      </w:r>
      <w:r>
        <w:t xml:space="preserve"> 2023.</w:t>
      </w:r>
      <w:r>
        <w:t xml:space="preserve"> </w:t>
      </w:r>
      <w:r>
        <w:t xml:space="preserve">“</w:t>
      </w:r>
      <w:r>
        <w:t xml:space="preserve">ParSe</w:t>
      </w:r>
      <w:r>
        <w:t xml:space="preserve"> </w:t>
      </w:r>
      <w:r>
        <w:t xml:space="preserve">2.0: A Web Tool to Identify Drivers of Protein Phase Separation at the Proteome Level.”</w:t>
      </w:r>
      <w:r>
        <w:t xml:space="preserve"> </w:t>
      </w:r>
      <w:r>
        <w:rPr>
          <w:i/>
          <w:iCs/>
        </w:rPr>
        <w:t xml:space="preserve">Protein Science</w:t>
      </w:r>
      <w:r>
        <w:t xml:space="preserve"> </w:t>
      </w:r>
      <w:r>
        <w:t xml:space="preserve">32 (10): e4756.</w:t>
      </w:r>
      <w:r>
        <w:t xml:space="preserve"> </w:t>
      </w:r>
      <w:hyperlink r:id="rId98">
        <w:r>
          <w:rPr>
            <w:rStyle w:val="Hyperlink"/>
          </w:rPr>
          <w:t xml:space="preserve">https://doi.org/10.1002/pro.4756</w:t>
        </w:r>
      </w:hyperlink>
      <w:r>
        <w:t xml:space="preserve">.</w:t>
      </w:r>
    </w:p>
    <w:bookmarkEnd w:id="99"/>
    <w:bookmarkStart w:id="101" w:name="ref-seg1993"/>
    <w:p>
      <w:pPr>
        <w:pStyle w:val="Bibliography"/>
      </w:pPr>
      <w:r>
        <w:t xml:space="preserve">Wootton, John C., and Scott Federhen. 1993.</w:t>
      </w:r>
      <w:r>
        <w:t xml:space="preserve"> </w:t>
      </w:r>
      <w:r>
        <w:t xml:space="preserve">“Statistics of Local Complexity in Amino Acid Sequences and Sequence Databases.”</w:t>
      </w:r>
      <w:r>
        <w:t xml:space="preserve"> </w:t>
      </w:r>
      <w:r>
        <w:rPr>
          <w:i/>
          <w:iCs/>
        </w:rPr>
        <w:t xml:space="preserve">Computers and Chemistry</w:t>
      </w:r>
      <w:r>
        <w:t xml:space="preserve"> </w:t>
      </w:r>
      <w:r>
        <w:t xml:space="preserve">17 (2): 149–63.</w:t>
      </w:r>
      <w:r>
        <w:t xml:space="preserve"> </w:t>
      </w:r>
      <w:hyperlink r:id="rId100">
        <w:r>
          <w:rPr>
            <w:rStyle w:val="Hyperlink"/>
          </w:rPr>
          <w:t xml:space="preserve">https://doi.org/10.1016/0097-8485(93)85006-X</w:t>
        </w:r>
      </w:hyperlink>
      <w:r>
        <w:t xml:space="preserve">.</w:t>
      </w:r>
    </w:p>
    <w:bookmarkEnd w:id="101"/>
    <w:bookmarkStart w:id="103" w:name="ref-phasepdb2020"/>
    <w:p>
      <w:pPr>
        <w:pStyle w:val="Bibliography"/>
      </w:pPr>
      <w:r>
        <w:t xml:space="preserve">You, Kaiqiang, Qian Huang, et al.</w:t>
      </w:r>
      <w:r>
        <w:t xml:space="preserve"> 2020.</w:t>
      </w:r>
      <w:r>
        <w:t xml:space="preserve"> </w:t>
      </w:r>
      <w:r>
        <w:t xml:space="preserve">“</w:t>
      </w:r>
      <w:r>
        <w:t xml:space="preserve">PhaSepDB</w:t>
      </w:r>
      <w:r>
        <w:t xml:space="preserve">: A Database of Liquid-Liquid Phase Separation Related Proteins.”</w:t>
      </w:r>
      <w:r>
        <w:t xml:space="preserve"> </w:t>
      </w:r>
      <w:r>
        <w:rPr>
          <w:i/>
          <w:iCs/>
        </w:rPr>
        <w:t xml:space="preserve">Nucleic Acids Research</w:t>
      </w:r>
      <w:r>
        <w:t xml:space="preserve"> </w:t>
      </w:r>
      <w:r>
        <w:t xml:space="preserve">48 (D1): D354–59.</w:t>
      </w:r>
      <w:r>
        <w:t xml:space="preserve"> </w:t>
      </w:r>
      <w:hyperlink r:id="rId102">
        <w:r>
          <w:rPr>
            <w:rStyle w:val="Hyperlink"/>
          </w:rPr>
          <w:t xml:space="preserve">https://doi.org/10.1093/nar/gkz847</w:t>
        </w:r>
      </w:hyperlink>
      <w:r>
        <w:t xml:space="preserve">.</w:t>
      </w:r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5" Target="media/rId15.png" /><Relationship Type="http://schemas.openxmlformats.org/officeDocument/2006/relationships/image" Id="rId25" Target="media/rId25.png" /><Relationship Type="http://schemas.openxmlformats.org/officeDocument/2006/relationships/image" Id="rId19" Target="media/rId19.png" /><Relationship Type="http://schemas.openxmlformats.org/officeDocument/2006/relationships/image" Id="rId29" Target="media/rId29.png" /><Relationship Type="http://schemas.openxmlformats.org/officeDocument/2006/relationships/image" Id="rId22" Target="media/rId22.png" /><Relationship Type="http://schemas.openxmlformats.org/officeDocument/2006/relationships/image" Id="rId54" Target="media/rId54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hyperlink" Id="rId98" Target="https://doi.org/10.1002/pro.4756" TargetMode="External" /><Relationship Type="http://schemas.openxmlformats.org/officeDocument/2006/relationships/hyperlink" Id="rId100" Target="https://doi.org/10.1016/0097-8485(93)85006-X" TargetMode="External" /><Relationship Type="http://schemas.openxmlformats.org/officeDocument/2006/relationships/hyperlink" Id="rId58" Target="https://doi.org/10.1016/j.celrep.2016.05.076" TargetMode="External" /><Relationship Type="http://schemas.openxmlformats.org/officeDocument/2006/relationships/hyperlink" Id="rId80" Target="https://doi.org/10.1016/j.celrep.2021.108705" TargetMode="External" /><Relationship Type="http://schemas.openxmlformats.org/officeDocument/2006/relationships/hyperlink" Id="rId66" Target="https://doi.org/10.1038/s41467-024-46445-y" TargetMode="External" /><Relationship Type="http://schemas.openxmlformats.org/officeDocument/2006/relationships/hyperlink" Id="rId90" Target="https://doi.org/10.1038/s41467-024-46901-9" TargetMode="External" /><Relationship Type="http://schemas.openxmlformats.org/officeDocument/2006/relationships/hyperlink" Id="rId84" Target="https://doi.org/10.1038/s41467-024-55089-x" TargetMode="External" /><Relationship Type="http://schemas.openxmlformats.org/officeDocument/2006/relationships/hyperlink" Id="rId68" Target="https://doi.org/10.1038/s41586-021-03819-2" TargetMode="External" /><Relationship Type="http://schemas.openxmlformats.org/officeDocument/2006/relationships/hyperlink" Id="rId86" Target="https://doi.org/10.1038/s41592-023-01831-0" TargetMode="External" /><Relationship Type="http://schemas.openxmlformats.org/officeDocument/2006/relationships/hyperlink" Id="rId64" Target="https://doi.org/10.1073/pnas.2007670117" TargetMode="External" /><Relationship Type="http://schemas.openxmlformats.org/officeDocument/2006/relationships/hyperlink" Id="rId88" Target="https://doi.org/10.1073/pnas.2019053118" TargetMode="External" /><Relationship Type="http://schemas.openxmlformats.org/officeDocument/2006/relationships/hyperlink" Id="rId62" Target="https://doi.org/10.1073/pnas.2115369119" TargetMode="External" /><Relationship Type="http://schemas.openxmlformats.org/officeDocument/2006/relationships/hyperlink" Id="rId74" Target="https://doi.org/10.1093/bib/bbaf681" TargetMode="External" /><Relationship Type="http://schemas.openxmlformats.org/officeDocument/2006/relationships/hyperlink" Id="rId96" Target="https://doi.org/10.1093/bioinformatics/btr682" TargetMode="External" /><Relationship Type="http://schemas.openxmlformats.org/officeDocument/2006/relationships/hyperlink" Id="rId70" Target="https://doi.org/10.1093/bioinformatics/btu310" TargetMode="External" /><Relationship Type="http://schemas.openxmlformats.org/officeDocument/2006/relationships/hyperlink" Id="rId92" Target="https://doi.org/10.1093/nar/gkac1052" TargetMode="External" /><Relationship Type="http://schemas.openxmlformats.org/officeDocument/2006/relationships/hyperlink" Id="rId78" Target="https://doi.org/10.1093/nar/gky384" TargetMode="External" /><Relationship Type="http://schemas.openxmlformats.org/officeDocument/2006/relationships/hyperlink" Id="rId82" Target="https://doi.org/10.1093/nar/gkz1027" TargetMode="External" /><Relationship Type="http://schemas.openxmlformats.org/officeDocument/2006/relationships/hyperlink" Id="rId72" Target="https://doi.org/10.1093/nar/gkz778" TargetMode="External" /><Relationship Type="http://schemas.openxmlformats.org/officeDocument/2006/relationships/hyperlink" Id="rId102" Target="https://doi.org/10.1093/nar/gkz847" TargetMode="External" /><Relationship Type="http://schemas.openxmlformats.org/officeDocument/2006/relationships/hyperlink" Id="rId76" Target="https://doi.org/10.1093/nar/gkz848" TargetMode="External" /><Relationship Type="http://schemas.openxmlformats.org/officeDocument/2006/relationships/hyperlink" Id="rId60" Target="https://doi.org/10.3390/biom12081131" TargetMode="External" /><Relationship Type="http://schemas.openxmlformats.org/officeDocument/2006/relationships/hyperlink" Id="rId94" Target="https://doi.org/10.7554/eLife.31486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8" Target="https://doi.org/10.1002/pro.4756" TargetMode="External" /><Relationship Type="http://schemas.openxmlformats.org/officeDocument/2006/relationships/hyperlink" Id="rId100" Target="https://doi.org/10.1016/0097-8485(93)85006-X" TargetMode="External" /><Relationship Type="http://schemas.openxmlformats.org/officeDocument/2006/relationships/hyperlink" Id="rId58" Target="https://doi.org/10.1016/j.celrep.2016.05.076" TargetMode="External" /><Relationship Type="http://schemas.openxmlformats.org/officeDocument/2006/relationships/hyperlink" Id="rId80" Target="https://doi.org/10.1016/j.celrep.2021.108705" TargetMode="External" /><Relationship Type="http://schemas.openxmlformats.org/officeDocument/2006/relationships/hyperlink" Id="rId66" Target="https://doi.org/10.1038/s41467-024-46445-y" TargetMode="External" /><Relationship Type="http://schemas.openxmlformats.org/officeDocument/2006/relationships/hyperlink" Id="rId90" Target="https://doi.org/10.1038/s41467-024-46901-9" TargetMode="External" /><Relationship Type="http://schemas.openxmlformats.org/officeDocument/2006/relationships/hyperlink" Id="rId84" Target="https://doi.org/10.1038/s41467-024-55089-x" TargetMode="External" /><Relationship Type="http://schemas.openxmlformats.org/officeDocument/2006/relationships/hyperlink" Id="rId68" Target="https://doi.org/10.1038/s41586-021-03819-2" TargetMode="External" /><Relationship Type="http://schemas.openxmlformats.org/officeDocument/2006/relationships/hyperlink" Id="rId86" Target="https://doi.org/10.1038/s41592-023-01831-0" TargetMode="External" /><Relationship Type="http://schemas.openxmlformats.org/officeDocument/2006/relationships/hyperlink" Id="rId64" Target="https://doi.org/10.1073/pnas.2007670117" TargetMode="External" /><Relationship Type="http://schemas.openxmlformats.org/officeDocument/2006/relationships/hyperlink" Id="rId88" Target="https://doi.org/10.1073/pnas.2019053118" TargetMode="External" /><Relationship Type="http://schemas.openxmlformats.org/officeDocument/2006/relationships/hyperlink" Id="rId62" Target="https://doi.org/10.1073/pnas.2115369119" TargetMode="External" /><Relationship Type="http://schemas.openxmlformats.org/officeDocument/2006/relationships/hyperlink" Id="rId74" Target="https://doi.org/10.1093/bib/bbaf681" TargetMode="External" /><Relationship Type="http://schemas.openxmlformats.org/officeDocument/2006/relationships/hyperlink" Id="rId96" Target="https://doi.org/10.1093/bioinformatics/btr682" TargetMode="External" /><Relationship Type="http://schemas.openxmlformats.org/officeDocument/2006/relationships/hyperlink" Id="rId70" Target="https://doi.org/10.1093/bioinformatics/btu310" TargetMode="External" /><Relationship Type="http://schemas.openxmlformats.org/officeDocument/2006/relationships/hyperlink" Id="rId92" Target="https://doi.org/10.1093/nar/gkac1052" TargetMode="External" /><Relationship Type="http://schemas.openxmlformats.org/officeDocument/2006/relationships/hyperlink" Id="rId78" Target="https://doi.org/10.1093/nar/gky384" TargetMode="External" /><Relationship Type="http://schemas.openxmlformats.org/officeDocument/2006/relationships/hyperlink" Id="rId82" Target="https://doi.org/10.1093/nar/gkz1027" TargetMode="External" /><Relationship Type="http://schemas.openxmlformats.org/officeDocument/2006/relationships/hyperlink" Id="rId72" Target="https://doi.org/10.1093/nar/gkz778" TargetMode="External" /><Relationship Type="http://schemas.openxmlformats.org/officeDocument/2006/relationships/hyperlink" Id="rId102" Target="https://doi.org/10.1093/nar/gkz847" TargetMode="External" /><Relationship Type="http://schemas.openxmlformats.org/officeDocument/2006/relationships/hyperlink" Id="rId76" Target="https://doi.org/10.1093/nar/gkz848" TargetMode="External" /><Relationship Type="http://schemas.openxmlformats.org/officeDocument/2006/relationships/hyperlink" Id="rId60" Target="https://doi.org/10.3390/biom12081131" TargetMode="External" /><Relationship Type="http://schemas.openxmlformats.org/officeDocument/2006/relationships/hyperlink" Id="rId94" Target="https://doi.org/10.7554/eLife.31486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Phase-separation predictors systematically misread membrane proteins: a topology-resolved benchmark of eighteen tools</dc:title>
  <dc:creator/>
  <cp:keywords/>
  <dcterms:created xsi:type="dcterms:W3CDTF">2026-07-09T13:03:51Z</dcterms:created>
  <dcterms:modified xsi:type="dcterms:W3CDTF">2026-07-09T13:03:51Z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references.bib</vt:lpwstr>
  </property>
  <property fmtid="{D5CDD505-2E9C-101B-9397-08002B2CF9AE}" pid="3" name="date">
    <vt:lpwstr>2026</vt:lpwstr>
  </property>
  <property fmtid="{D5CDD505-2E9C-101B-9397-08002B2CF9AE}" pid="4" name="subtitle">
    <vt:lpwstr>DRAFT — bullet outline for internal review</vt:lpwstr>
  </property>
</Properties>
</file>