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JAI ANAND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Java Full Stack Developer | Spring Boot, Kafka &amp; Cloud-Native Systems</w:t>
      </w:r>
    </w:p>
    <w:p>
      <w:pPr>
        <w:pBdr>
          <w:bottom w:val="single" w:color="888888" w:sz="6" w:space="4"/>
        </w:pBdr>
        <w:spacing w:after="10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+91 8923074394  •  jaianand5789@gmail.com  •  GitHub  •  LinkedIn  •  Portfolio  •  LeetCode  •  Bangalore, India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Backend-leaning Software Engineer with 2.5+ years building and operating distributed systems for enterprise platforms. Comfortable across the full lifecycle — service design in Java/Spring Boot, asynchronous messaging with Kafka, and deployment on containerized AWS infrastructure — and has spent the last year folding GenAI and agentic tooling into core engineering workflows rather than treating it as a side project.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CORE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Python, JavaScript, TypeScript, SQL, PL/SQL, Bash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 Frameworks: </w:t>
      </w:r>
      <w:r>
        <w:rPr>
          <w:rFonts w:ascii="Calibri" w:cs="Calibri" w:eastAsia="Calibri" w:hAnsi="Calibri"/>
          <w:sz w:val="20"/>
          <w:szCs w:val="20"/>
        </w:rPr>
        <w:t xml:space="preserve">Spring Boot, Spring MVC, Django REST, Node.js, Graphene, JUnit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Streaming &amp; Messaging: </w:t>
      </w:r>
      <w:r>
        <w:rPr>
          <w:rFonts w:ascii="Calibri" w:cs="Calibri" w:eastAsia="Calibri" w:hAnsi="Calibri"/>
          <w:sz w:val="20"/>
          <w:szCs w:val="20"/>
        </w:rPr>
        <w:t xml:space="preserve">Apache Kafka, Apache Flink, SQS, SES, EventBridge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(ECS Fargate, Lambda, Step Functions, CloudFormation, CloudWatch), Docker, Kubernetes, GitHub Actions, Terraform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GenAI / Agentic AI: </w:t>
      </w:r>
      <w:r>
        <w:rPr>
          <w:rFonts w:ascii="Calibri" w:cs="Calibri" w:eastAsia="Calibri" w:hAnsi="Calibri"/>
          <w:sz w:val="20"/>
          <w:szCs w:val="20"/>
        </w:rPr>
        <w:t xml:space="preserve">RAG, MCP, LangGraph, LangChain, Pinecone, ChromaDB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sz w:val="20"/>
          <w:szCs w:val="20"/>
        </w:rPr>
        <w:t xml:space="preserve">PostgreSQL, Oracle, MongoDB, Redis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2024 – Present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Yamaha Motors Solutions Limited India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New Delhi, India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deployed the Y-DMS service layer on AWS ECS Fargate behind dual public/private ALBs, cutting cross-service latency by 30% and improving fault isolation between workloads.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Re-platformed legacy Java batch jobs (SE8 to SE23) from EC2 to EventBridge-triggered Step Functions, pushing batch success to 99.9% while cutting compute costs by 88%.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Sit on the AI Committee driving GenAI/Agentic AI adoption across legacy factory applications, cutting manual migration-assessment effort by over 50%.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RAG-based MCP server for the internal frontend framework, now in daily use by 100+ engineers.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Closed an auth vulnerability class in the Y-DMS &amp; PYMIDOL mobile apps by implementing RFC 7636 PKCE-based OAuth2.0/OpenID Connect.</w:t>
      </w:r>
    </w:p>
    <w:p>
      <w:pPr>
        <w:tabs>
          <w:tab w:val="right" w:pos="10080"/>
        </w:tabs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January 2024 – July 2024</w:t>
      </w:r>
    </w:p>
    <w:p>
      <w:pPr>
        <w:tabs>
          <w:tab w:val="right" w:pos="1008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vXecute Inc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Took Apache Kafka from a single-node Docker Compose setup to a tuned, partitioned multi-broker production cluster, lifting message throughput by 50%.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Python ingestion/extraction pipelines on top of Kafka, GenAI models, and Pinecone, improving processing efficiency by 30%.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Cut perceived response time by 40% by offloading long-running work to background jobs with Oban on Elixir/Phoenix.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CI/CD Setup &amp; Infrastructure Automation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Terraform, Docker, GitHub Actions, Nginx, TypeScript, Next.js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Stood up a GitHub Actions + Ansible pipeline for a containerized microservices app, taking deploys from a manual process to under 5 minutes.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Provisioned a 3-tier architecture (app, DB, reverse proxy) on cloud VMs with Terraform, with Nginx handling health-checked, zero-downtime blue-green releases.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Consecutive "Star Technical Performer" — Q4 2025 and Q2 2026, Yamaha Motors Solutions Limited India.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3rd Rank, Yamaha AI 2.0 Hackathon (Chitkara University) among 104 teams.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Qualified GATE CS 2025 — 93.45 percentile.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Top 200 teams among 150,000+ participants, Flipkart GRID 5.0.</w:t>
      </w:r>
    </w:p>
    <w:p>
      <w:pPr>
        <w:pBdr>
          <w:bottom w:val="single" w:color="2E5395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2E5395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Technology, Computer Science &amp; Engineering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July 2020 – May 2024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Graphic Era University, Uttarakhand  •  CGPA: 9.28/10</w:t>
      </w:r>
    </w:p>
    <w:sectPr>
      <w:pgSz w:w="12240" w:h="15840" w:orient="portrait"/>
      <w:pgMar w:top="50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2026-08-19T21:19:37.309Z</dcterms:created>
  <dcterms:modified xsi:type="dcterms:W3CDTF">2026-08-19T21:19:37.323Z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