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JAI ANAND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Forward Deployed Engineer | Solutions Engineering &amp; Enterprise Integration</w:t>
      </w:r>
    </w:p>
    <w:p>
      <w:pPr>
        <w:pBdr>
          <w:bottom w:val="single" w:color="888888" w:sz="6" w:space="4"/>
        </w:pBdr>
        <w:spacing w:after="10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+91 8923074394  •  jaianand5789@gmail.com  •  GitHub  •  LinkedIn  •  Portfolio  •  LeetCode  •  Bangalore, India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Engineer with 2.5+ years getting dropped into unfamiliar systems and expected to ship something useful fast. Has worked directly against stakeholder requirements rather than a pre-groomed backlog, moved across Java, Python, and TypeScript codebases as needed, and is as comfortable scoping a solution live with a client as writing the code behind it.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CORE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Rapid Solutioning: </w:t>
      </w:r>
      <w:r>
        <w:rPr>
          <w:rFonts w:ascii="Calibri" w:cs="Calibri" w:eastAsia="Calibri" w:hAnsi="Calibri"/>
          <w:sz w:val="20"/>
          <w:szCs w:val="20"/>
        </w:rPr>
        <w:t xml:space="preserve">GenAI, Agentic AI, RAG, MCP, LangGraph, LangChain, custom integrations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 Stack: </w:t>
      </w:r>
      <w:r>
        <w:rPr>
          <w:rFonts w:ascii="Calibri" w:cs="Calibri" w:eastAsia="Calibri" w:hAnsi="Calibri"/>
          <w:sz w:val="20"/>
          <w:szCs w:val="20"/>
        </w:rPr>
        <w:t xml:space="preserve">Java (Spring Boot), Python (Django REST), TypeScript/Node.js, React, Angular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Deployment: </w:t>
      </w:r>
      <w:r>
        <w:rPr>
          <w:rFonts w:ascii="Calibri" w:cs="Calibri" w:eastAsia="Calibri" w:hAnsi="Calibri"/>
          <w:sz w:val="20"/>
          <w:szCs w:val="20"/>
        </w:rPr>
        <w:t xml:space="preserve">AWS (ECS Fargate, Lambda, Step Functions, EventBridge, CloudFormation), Docker, Kubernetes, CI/CD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 &amp; Identity: </w:t>
      </w:r>
      <w:r>
        <w:rPr>
          <w:rFonts w:ascii="Calibri" w:cs="Calibri" w:eastAsia="Calibri" w:hAnsi="Calibri"/>
          <w:sz w:val="20"/>
          <w:szCs w:val="20"/>
        </w:rPr>
        <w:t xml:space="preserve">REST/GraphQL APIs, MSAL, Cognito, OAuth2.0/OIDC (PKCE), Kafka, SQS/SES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MongoDB, Redis, Oracle, Pinecone, ChromaDB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July 2024 – Present</w:t>
      </w:r>
    </w:p>
    <w:p>
      <w:pPr>
        <w:tabs>
          <w:tab w:val="right" w:pos="1008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Yamaha Motors Solutions Limited India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New Delhi,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Embedded with the AI Committee to scope and ship GenAI/Agentic AI adoption across factory applications, cutting manual assessment work by over 50%.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Delivered a RAG-based MCP integration for the internal frontend framework that 100+ engineers adopted with minimal onboarding.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Delivered customer-facing SSO (MSAL + Cognito) for 1000+ external vendor accounts under a tight rollout window.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Went on-site to rebuild the Inventory Revaluation workflow for the YIMM factory, hitting 99.9% accuracy across 50+ warehouses.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Replaced brittle EC2 batch jobs with EventBridge/Step Functions, taking success rates to 99.9% and cutting infra costs by up to 88%, with no disruption to live operations.</w:t>
      </w:r>
    </w:p>
    <w:p>
      <w:pPr>
        <w:tabs>
          <w:tab w:val="right" w:pos="1008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January 2024 – July 2024</w:t>
      </w:r>
    </w:p>
    <w:p>
      <w:pPr>
        <w:tabs>
          <w:tab w:val="right" w:pos="1008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vXecute Inc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Delivered ingestion/extraction pipelines (Python, Kafka, GenAI, Pinecone) directly against a client's stated requirements, improving processing efficiency by 30%.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Took Kafka from a Docker Compose prototype to a production multi-broker deployment under deadline, increasing throughput by 50%.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core architecture for Staffagent.ai under a tight delivery timeline, helping cut customer time-to-hire by up to 80%.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Setup &amp; Infrastructure Automation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Terraform, Docker, GitHub Actions, Ansible, Nginx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Stood up a full CI/CD and 3-tier infrastructure pipeline from scratch for a client-style engagement, hitting sub-5-minute deploys.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Configured Nginx for zero-downtime blue-green releases, so the client-facing service stayed up through every deployment.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Consecutive "Star Technical Performer" — Q4 2025 and Q2 2026, Yamaha Motors Solutions Limited India.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3rd Rank, Yamaha AI 2.0 Hackathon (Chitkara University) among 104 teams.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Qualified GATE CS 2025 — 93.45 percentile.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Top 200 teams among 150,000+ participants, Flipkart GRID 5.0.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Technology, Computer Science &amp; Engineering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July 2020 – May 2024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Graphic Era University, Uttarakhand  •  CGPA: 9.28/10</w:t>
      </w:r>
    </w:p>
    <w:sectPr>
      <w:pgSz w:w="12240" w:h="15840" w:orient="portrait"/>
      <w:pgMar w:top="500" w:right="560" w:bottom="5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2026-08-19T21:19:37.728Z</dcterms:created>
  <dcterms:modified xsi:type="dcterms:W3CDTF">2026-08-19T21:19:37.728Z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