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838B30" w14:textId="77777777" w:rsidR="002F6628" w:rsidRDefault="00303CC7">
      <w:pPr>
        <w:spacing w:after="40"/>
        <w:jc w:val="center"/>
      </w:pPr>
      <w:r>
        <w:rPr>
          <w:rFonts w:ascii="Calibri" w:eastAsia="Calibri" w:hAnsi="Calibri" w:cs="Calibri"/>
          <w:b/>
          <w:bCs/>
          <w:sz w:val="32"/>
          <w:szCs w:val="32"/>
        </w:rPr>
        <w:t>Un Análisis Comparativo de Métodos de Machine Learning para la Detección Temprana de Cáncer Cervicouterino: Avances, Brechas y Desafíos de Explicabilidad</w:t>
      </w:r>
    </w:p>
    <w:p w14:paraId="357F7F2E" w14:textId="77777777" w:rsidR="002F6628" w:rsidRDefault="00303CC7">
      <w:pPr>
        <w:spacing w:after="200"/>
        <w:jc w:val="center"/>
      </w:pPr>
      <w:r>
        <w:rPr>
          <w:rFonts w:ascii="Calibri" w:eastAsia="Calibri" w:hAnsi="Calibri" w:cs="Calibri"/>
          <w:b/>
          <w:bCs/>
          <w:i/>
          <w:iCs/>
          <w:sz w:val="28"/>
          <w:szCs w:val="28"/>
        </w:rPr>
        <w:t>A Comparative Analysis of Machine Learning Methods for Early Cervical Cancer Detection: Breakthroughs, Gaps, and Explainability Challenges</w:t>
      </w:r>
    </w:p>
    <w:p w14:paraId="773ECEA1" w14:textId="77777777" w:rsidR="002F6628" w:rsidRDefault="00303CC7">
      <w:pPr>
        <w:spacing w:after="40" w:line="232" w:lineRule="auto"/>
      </w:pPr>
      <w:r>
        <w:rPr>
          <w:rFonts w:ascii="Calibri" w:eastAsia="Calibri" w:hAnsi="Calibri" w:cs="Calibri"/>
          <w:sz w:val="24"/>
          <w:szCs w:val="24"/>
        </w:rPr>
        <w:t>Jacinto Alexander Acosta Zambrano</w:t>
      </w:r>
      <w:r>
        <w:rPr>
          <w:rFonts w:ascii="Calibri" w:eastAsia="Calibri" w:hAnsi="Calibri" w:cs="Calibri"/>
          <w:i/>
          <w:iCs/>
          <w:sz w:val="24"/>
          <w:szCs w:val="24"/>
        </w:rPr>
        <w:t xml:space="preserve"> </w:t>
      </w:r>
      <w:r w:rsidRPr="00015BF5">
        <w:rPr>
          <w:rFonts w:ascii="Calibri" w:eastAsia="Calibri" w:hAnsi="Calibri" w:cs="Calibri"/>
          <w:i/>
          <w:iCs/>
          <w:sz w:val="24"/>
          <w:szCs w:val="24"/>
          <w:vertAlign w:val="superscript"/>
        </w:rPr>
        <w:t>1</w:t>
      </w:r>
    </w:p>
    <w:p w14:paraId="3F89E096" w14:textId="77777777" w:rsidR="002F6628" w:rsidRDefault="00303CC7">
      <w:pPr>
        <w:spacing w:after="200" w:line="232" w:lineRule="auto"/>
      </w:pPr>
      <w:r>
        <w:rPr>
          <w:rFonts w:ascii="Calibri" w:eastAsia="Calibri" w:hAnsi="Calibri" w:cs="Calibri"/>
          <w:sz w:val="24"/>
          <w:szCs w:val="24"/>
        </w:rPr>
        <w:t>Claudio Meneses Villegas</w:t>
      </w:r>
      <w:r>
        <w:rPr>
          <w:rFonts w:ascii="Calibri" w:eastAsia="Calibri" w:hAnsi="Calibri" w:cs="Calibri"/>
          <w:i/>
          <w:iCs/>
          <w:sz w:val="24"/>
          <w:szCs w:val="24"/>
        </w:rPr>
        <w:t xml:space="preserve"> </w:t>
      </w:r>
      <w:r w:rsidRPr="00015BF5">
        <w:rPr>
          <w:rFonts w:ascii="Calibri" w:eastAsia="Calibri" w:hAnsi="Calibri" w:cs="Calibri"/>
          <w:i/>
          <w:iCs/>
          <w:sz w:val="24"/>
          <w:szCs w:val="24"/>
          <w:vertAlign w:val="superscript"/>
        </w:rPr>
        <w:t>2,*</w:t>
      </w:r>
    </w:p>
    <w:p w14:paraId="2779BC20" w14:textId="77777777" w:rsidR="002F6628" w:rsidRDefault="00303CC7">
      <w:pPr>
        <w:spacing w:after="40" w:line="232" w:lineRule="auto"/>
      </w:pPr>
      <w:r w:rsidRPr="00015BF5">
        <w:rPr>
          <w:rFonts w:ascii="Calibri" w:eastAsia="Calibri" w:hAnsi="Calibri" w:cs="Calibri"/>
          <w:i/>
          <w:iCs/>
          <w:sz w:val="24"/>
          <w:szCs w:val="24"/>
          <w:vertAlign w:val="superscript"/>
        </w:rPr>
        <w:t>1</w:t>
      </w:r>
      <w:r>
        <w:rPr>
          <w:rFonts w:ascii="Calibri" w:eastAsia="Calibri" w:hAnsi="Calibri" w:cs="Calibri"/>
          <w:i/>
          <w:iCs/>
          <w:sz w:val="24"/>
          <w:szCs w:val="24"/>
        </w:rPr>
        <w:t xml:space="preserve"> Universidad Católica del Norte, Doctorado en Inteligencia Artificial. Antofagasta, Chile. E-mail: jacinto.acosta@alumnos.ucn.cl</w:t>
      </w:r>
    </w:p>
    <w:p w14:paraId="0432E51B" w14:textId="77777777" w:rsidR="002F6628" w:rsidRDefault="00303CC7">
      <w:pPr>
        <w:spacing w:after="200" w:line="232" w:lineRule="auto"/>
      </w:pPr>
      <w:r w:rsidRPr="00015BF5">
        <w:rPr>
          <w:rFonts w:ascii="Calibri" w:eastAsia="Calibri" w:hAnsi="Calibri" w:cs="Calibri"/>
          <w:i/>
          <w:iCs/>
          <w:sz w:val="24"/>
          <w:szCs w:val="24"/>
          <w:vertAlign w:val="superscript"/>
        </w:rPr>
        <w:t>2</w:t>
      </w:r>
      <w:r>
        <w:rPr>
          <w:rFonts w:ascii="Calibri" w:eastAsia="Calibri" w:hAnsi="Calibri" w:cs="Calibri"/>
          <w:i/>
          <w:iCs/>
          <w:sz w:val="24"/>
          <w:szCs w:val="24"/>
        </w:rPr>
        <w:t xml:space="preserve"> Universidad Católica del Norte, Departamento de Ingeniería de Sistemas y Computación. Antofagasta, Chile. E-mail: cmeneses@ucn.cl</w:t>
      </w:r>
    </w:p>
    <w:p w14:paraId="2F8BE93E" w14:textId="77777777" w:rsidR="002F6628" w:rsidRDefault="00303CC7">
      <w:pPr>
        <w:spacing w:after="240" w:line="232" w:lineRule="auto"/>
      </w:pPr>
      <w:r>
        <w:rPr>
          <w:rFonts w:ascii="Calibri" w:eastAsia="Calibri" w:hAnsi="Calibri" w:cs="Calibri"/>
          <w:sz w:val="24"/>
          <w:szCs w:val="24"/>
        </w:rPr>
        <w:t>* Autor de correspondencia: cmeneses@ucn.cl</w:t>
      </w:r>
    </w:p>
    <w:p w14:paraId="257FBE5A" w14:textId="77777777" w:rsidR="002F6628" w:rsidRDefault="00303CC7">
      <w:pPr>
        <w:spacing w:line="232" w:lineRule="auto"/>
      </w:pPr>
      <w:r>
        <w:rPr>
          <w:rFonts w:ascii="Calibri" w:eastAsia="Calibri" w:hAnsi="Calibri" w:cs="Calibri"/>
          <w:b/>
          <w:bCs/>
          <w:sz w:val="24"/>
          <w:szCs w:val="24"/>
        </w:rPr>
        <w:t xml:space="preserve">RESUMEN: </w:t>
      </w:r>
    </w:p>
    <w:p w14:paraId="30B63978" w14:textId="77777777" w:rsidR="002F6628" w:rsidRDefault="00303CC7">
      <w:pPr>
        <w:spacing w:after="160" w:line="232" w:lineRule="auto"/>
        <w:jc w:val="both"/>
      </w:pPr>
      <w:r>
        <w:rPr>
          <w:rFonts w:ascii="Calibri" w:eastAsia="Calibri" w:hAnsi="Calibri" w:cs="Calibri"/>
          <w:sz w:val="24"/>
          <w:szCs w:val="24"/>
        </w:rPr>
        <w:t>El cáncer cervicouterino (CaCu) continúa siendo una de las principales causas de mortalidad femenina a nivel mundial, especialmente en países de ingresos bajos y medios. El diagnóstico temprano mediante tamizaje es fundamental para reducir la incidencia y mortalidad; sin embargo, los métodos tradicionales como el Papanicolaou presentan limitaciones en sensibilidad y especificidad, además de depender críticamente de la disponibilidad de personal capacitado. En este contexto, los métodos de aprendizaje automático (machine learning, ML) han emergido como herramientas prometedoras para mejorar la precisión diagnóstica y optimizar los procesos de tamizaje. Este artículo consolida un marco teórico que integra los fundamentos clínicos, computacionales y de explicabilidad relevantes para el problema, y presenta un análisis comparativo de algoritmos de ML aplicados a la detección temprana del CaCu, evaluando su rendimiento reportado en conjuntos de datos públicos disponibles. Se identifican las principales brechas en el estado del arte, destacando la opacidad algorítmica, la escasez de validación clínica y la limitada resiliencia operativa en entornos de salud pública. Adicionalmente, se propone un marco para la comparación empírica de algoritmos y se analiza el nivel de explicabilidad inherente de cada método bajo criterios de transparencia, interpretabilidad y capacidad de auditoría clínica. Los resultados esperados contribuyen a establecer lineamientos para la selección de modelos que equilibren precisión técnica y confianza clínica en el contexto del tamizaje cervicouterino.</w:t>
      </w:r>
    </w:p>
    <w:p w14:paraId="59C781F7" w14:textId="77777777" w:rsidR="002F6628" w:rsidRDefault="00303CC7">
      <w:pPr>
        <w:spacing w:after="240" w:line="232" w:lineRule="auto"/>
        <w:jc w:val="both"/>
      </w:pPr>
      <w:r>
        <w:rPr>
          <w:rFonts w:ascii="Calibri" w:eastAsia="Calibri" w:hAnsi="Calibri" w:cs="Calibri"/>
          <w:b/>
          <w:bCs/>
          <w:sz w:val="24"/>
          <w:szCs w:val="24"/>
        </w:rPr>
        <w:t>Palabras clave</w:t>
      </w:r>
      <w:r>
        <w:rPr>
          <w:rFonts w:ascii="Calibri" w:eastAsia="Calibri" w:hAnsi="Calibri" w:cs="Calibri"/>
          <w:sz w:val="24"/>
          <w:szCs w:val="24"/>
        </w:rPr>
        <w:t>: cáncer cervicouterino, aprendizaje automático, detección temprana, inteligencia artificial explicable, comparación de algoritmos.</w:t>
      </w:r>
    </w:p>
    <w:p w14:paraId="55D1C49C" w14:textId="77777777" w:rsidR="002F6628" w:rsidRDefault="00303CC7">
      <w:pPr>
        <w:spacing w:line="232" w:lineRule="auto"/>
      </w:pPr>
      <w:r>
        <w:rPr>
          <w:rFonts w:ascii="Calibri" w:eastAsia="Calibri" w:hAnsi="Calibri" w:cs="Calibri"/>
          <w:b/>
          <w:bCs/>
          <w:sz w:val="24"/>
          <w:szCs w:val="24"/>
        </w:rPr>
        <w:t xml:space="preserve">ABSTRACT: </w:t>
      </w:r>
    </w:p>
    <w:p w14:paraId="6B707361" w14:textId="77777777" w:rsidR="002F6628" w:rsidRDefault="00303CC7">
      <w:pPr>
        <w:spacing w:after="160" w:line="232" w:lineRule="auto"/>
        <w:jc w:val="both"/>
      </w:pPr>
      <w:r>
        <w:rPr>
          <w:rFonts w:ascii="Calibri" w:eastAsia="Calibri" w:hAnsi="Calibri" w:cs="Calibri"/>
          <w:sz w:val="24"/>
          <w:szCs w:val="24"/>
        </w:rPr>
        <w:t xml:space="preserve">Cervical cancer (CaCu) remains one of the leading causes of female mortality worldwide, especially in low- and middle-income countries. Early detection through screening is essential to reduce incidence and mortality; however, traditional methods such as the Pap smear present limitations in sensitivity and specificity and critically depend on the availability of trained personnel. In this context, machine learning (ML) methods have emerged as promising tools to </w:t>
      </w:r>
      <w:r>
        <w:rPr>
          <w:rFonts w:ascii="Calibri" w:eastAsia="Calibri" w:hAnsi="Calibri" w:cs="Calibri"/>
          <w:sz w:val="24"/>
          <w:szCs w:val="24"/>
        </w:rPr>
        <w:lastRenderedPageBreak/>
        <w:t>improve diagnostic accuracy and optimize screening processes. This paper consolidates a theoretical framework that integrates the clinical, computational, and explainability foundations relevant to the problem, and presents a comparative analysis of ML algorithms applied to early CaCu detection, evaluating their reported performance on available public datasets. The main gaps in the state of the art are identified, highlighting algorithmic opacity, lack of clinical validation, and limited operational resilience in public health settings. Additionally, a framework for empirical comparison of algorithms is proposed, and the inherent explainability level of each method is analyzed under criteria of transparency, interpretability, and clinical auditability. The expected results contribute to establishing guidelines for model selection that balance technical precision and clinical trust in the context of cervical screening.</w:t>
      </w:r>
    </w:p>
    <w:p w14:paraId="540740DB" w14:textId="77777777" w:rsidR="002F6628" w:rsidRDefault="00303CC7">
      <w:pPr>
        <w:spacing w:after="240" w:line="232" w:lineRule="auto"/>
        <w:jc w:val="both"/>
      </w:pPr>
      <w:r>
        <w:rPr>
          <w:rFonts w:ascii="Calibri" w:eastAsia="Calibri" w:hAnsi="Calibri" w:cs="Calibri"/>
          <w:b/>
          <w:bCs/>
          <w:sz w:val="24"/>
          <w:szCs w:val="24"/>
        </w:rPr>
        <w:t>Keywords</w:t>
      </w:r>
      <w:r>
        <w:rPr>
          <w:rFonts w:ascii="Calibri" w:eastAsia="Calibri" w:hAnsi="Calibri" w:cs="Calibri"/>
          <w:sz w:val="24"/>
          <w:szCs w:val="24"/>
        </w:rPr>
        <w:t>: Cervical cancer, machine learning, early detection, explainable artificial intelligence, algorithm comparison.</w:t>
      </w:r>
    </w:p>
    <w:p w14:paraId="354FEBB3" w14:textId="77777777" w:rsidR="002F6628" w:rsidRDefault="00303CC7">
      <w:pPr>
        <w:spacing w:after="40" w:line="232" w:lineRule="auto"/>
      </w:pPr>
      <w:r>
        <w:rPr>
          <w:rFonts w:ascii="Calibri" w:eastAsia="Calibri" w:hAnsi="Calibri" w:cs="Calibri"/>
          <w:i/>
          <w:iCs/>
          <w:sz w:val="24"/>
          <w:szCs w:val="24"/>
        </w:rPr>
        <w:t>Recibido</w:t>
      </w:r>
      <w:r>
        <w:rPr>
          <w:rFonts w:ascii="Calibri" w:eastAsia="Calibri" w:hAnsi="Calibri" w:cs="Calibri"/>
          <w:sz w:val="24"/>
          <w:szCs w:val="24"/>
        </w:rPr>
        <w:t xml:space="preserve"> </w:t>
      </w:r>
      <w:r>
        <w:rPr>
          <w:rFonts w:ascii="Calibri" w:eastAsia="Calibri" w:hAnsi="Calibri" w:cs="Calibri"/>
          <w:i/>
          <w:iCs/>
          <w:sz w:val="24"/>
          <w:szCs w:val="24"/>
        </w:rPr>
        <w:t>día</w:t>
      </w:r>
      <w:r>
        <w:rPr>
          <w:rFonts w:ascii="Calibri" w:eastAsia="Calibri" w:hAnsi="Calibri" w:cs="Calibri"/>
          <w:sz w:val="24"/>
          <w:szCs w:val="24"/>
        </w:rPr>
        <w:t xml:space="preserve"> de </w:t>
      </w:r>
      <w:r>
        <w:rPr>
          <w:rFonts w:ascii="Calibri" w:eastAsia="Calibri" w:hAnsi="Calibri" w:cs="Calibri"/>
          <w:i/>
          <w:iCs/>
          <w:sz w:val="24"/>
          <w:szCs w:val="24"/>
        </w:rPr>
        <w:t>mes</w:t>
      </w:r>
      <w:r>
        <w:rPr>
          <w:rFonts w:ascii="Calibri" w:eastAsia="Calibri" w:hAnsi="Calibri" w:cs="Calibri"/>
          <w:sz w:val="24"/>
          <w:szCs w:val="24"/>
        </w:rPr>
        <w:t xml:space="preserve"> de 20##</w:t>
      </w:r>
    </w:p>
    <w:p w14:paraId="5611F935" w14:textId="77777777" w:rsidR="002F6628" w:rsidRDefault="00303CC7">
      <w:pPr>
        <w:spacing w:after="240" w:line="232" w:lineRule="auto"/>
      </w:pPr>
      <w:r>
        <w:rPr>
          <w:rFonts w:ascii="Calibri" w:eastAsia="Calibri" w:hAnsi="Calibri" w:cs="Calibri"/>
          <w:i/>
          <w:iCs/>
          <w:sz w:val="24"/>
          <w:szCs w:val="24"/>
        </w:rPr>
        <w:t>Aceptado</w:t>
      </w:r>
      <w:r>
        <w:rPr>
          <w:rFonts w:ascii="Calibri" w:eastAsia="Calibri" w:hAnsi="Calibri" w:cs="Calibri"/>
          <w:sz w:val="24"/>
          <w:szCs w:val="24"/>
        </w:rPr>
        <w:t xml:space="preserve"> </w:t>
      </w:r>
      <w:r>
        <w:rPr>
          <w:rFonts w:ascii="Calibri" w:eastAsia="Calibri" w:hAnsi="Calibri" w:cs="Calibri"/>
          <w:i/>
          <w:iCs/>
          <w:sz w:val="24"/>
          <w:szCs w:val="24"/>
        </w:rPr>
        <w:t>día</w:t>
      </w:r>
      <w:r>
        <w:rPr>
          <w:rFonts w:ascii="Calibri" w:eastAsia="Calibri" w:hAnsi="Calibri" w:cs="Calibri"/>
          <w:sz w:val="24"/>
          <w:szCs w:val="24"/>
        </w:rPr>
        <w:t xml:space="preserve"> de </w:t>
      </w:r>
      <w:r>
        <w:rPr>
          <w:rFonts w:ascii="Calibri" w:eastAsia="Calibri" w:hAnsi="Calibri" w:cs="Calibri"/>
          <w:i/>
          <w:iCs/>
          <w:sz w:val="24"/>
          <w:szCs w:val="24"/>
        </w:rPr>
        <w:t>mes</w:t>
      </w:r>
      <w:r>
        <w:rPr>
          <w:rFonts w:ascii="Calibri" w:eastAsia="Calibri" w:hAnsi="Calibri" w:cs="Calibri"/>
          <w:sz w:val="24"/>
          <w:szCs w:val="24"/>
        </w:rPr>
        <w:t xml:space="preserve"> de 20##</w:t>
      </w:r>
    </w:p>
    <w:p w14:paraId="0A925587" w14:textId="77777777" w:rsidR="002F6628" w:rsidRDefault="00303CC7">
      <w:pPr>
        <w:spacing w:before="220" w:after="150"/>
        <w:jc w:val="center"/>
      </w:pPr>
      <w:r>
        <w:rPr>
          <w:rFonts w:ascii="Calibri" w:eastAsia="Calibri" w:hAnsi="Calibri" w:cs="Calibri"/>
          <w:b/>
          <w:bCs/>
          <w:sz w:val="32"/>
          <w:szCs w:val="32"/>
        </w:rPr>
        <w:t>INTRODUCCIÓN</w:t>
      </w:r>
    </w:p>
    <w:p w14:paraId="2AE7C568" w14:textId="77777777" w:rsidR="002F6628" w:rsidRDefault="00303CC7">
      <w:pPr>
        <w:spacing w:after="120" w:line="232" w:lineRule="auto"/>
        <w:jc w:val="both"/>
      </w:pPr>
      <w:r>
        <w:rPr>
          <w:rFonts w:ascii="Calibri" w:eastAsia="Calibri" w:hAnsi="Calibri" w:cs="Calibri"/>
          <w:sz w:val="24"/>
          <w:szCs w:val="24"/>
        </w:rPr>
        <w:t>El cáncer cervicouterino (CaCu) representa un desafío sanitario global de primera magnitud. Según las estimaciones GLOBOCAN de la Agencia Internacional para la Investigación del Cáncer, en 2020 se registraron a nivel mundial más de 600.000 nuevos casos y aproximadamente 340.000 muertes por esta causa, con cerca del 90% de los fallecimientos concentrados en países de ingresos bajos y medios</w:t>
      </w:r>
      <w:r>
        <w:rPr>
          <w:rFonts w:ascii="Calibri" w:eastAsia="Calibri" w:hAnsi="Calibri" w:cs="Calibri"/>
          <w:sz w:val="24"/>
          <w:szCs w:val="24"/>
          <w:vertAlign w:val="superscript"/>
        </w:rPr>
        <w:t>(1)</w:t>
      </w:r>
      <w:r>
        <w:rPr>
          <w:rFonts w:ascii="Calibri" w:eastAsia="Calibri" w:hAnsi="Calibri" w:cs="Calibri"/>
          <w:sz w:val="24"/>
          <w:szCs w:val="24"/>
        </w:rPr>
        <w:t>. En Chile, aunque las tasas han mostrado una tendencia decreciente en las últimas décadas, el CaCu continúa siendo una de las principales causas de muerte por cáncer en mujeres, con una incidencia estimada de 9,1 por cada 100.000 mujeres y una mortalidad anual cercana a 550 casos, de acuerdo con los registros del Departamento de Estadísticas e Información de Salud del Ministerio de Salud</w:t>
      </w:r>
      <w:r>
        <w:rPr>
          <w:rFonts w:ascii="Calibri" w:eastAsia="Calibri" w:hAnsi="Calibri" w:cs="Calibri"/>
          <w:sz w:val="24"/>
          <w:szCs w:val="24"/>
          <w:vertAlign w:val="superscript"/>
        </w:rPr>
        <w:t>(2)</w:t>
      </w:r>
      <w:r>
        <w:rPr>
          <w:rFonts w:ascii="Calibri" w:eastAsia="Calibri" w:hAnsi="Calibri" w:cs="Calibri"/>
          <w:sz w:val="24"/>
          <w:szCs w:val="24"/>
        </w:rPr>
        <w:t>. La infección persistente por Virus del Papiloma Humano (VPH) de alto riesgo, en particular los genotipos 16 y 18, constituye el factor etiológico necesario para el desarrollo de la enfermedad</w:t>
      </w:r>
      <w:r>
        <w:rPr>
          <w:rFonts w:ascii="Calibri" w:eastAsia="Calibri" w:hAnsi="Calibri" w:cs="Calibri"/>
          <w:sz w:val="24"/>
          <w:szCs w:val="24"/>
          <w:vertAlign w:val="superscript"/>
        </w:rPr>
        <w:t>(3)</w:t>
      </w:r>
      <w:r>
        <w:rPr>
          <w:rFonts w:ascii="Calibri" w:eastAsia="Calibri" w:hAnsi="Calibri" w:cs="Calibri"/>
          <w:sz w:val="24"/>
          <w:szCs w:val="24"/>
        </w:rPr>
        <w:t>, y la progresión desde la infección hasta el cáncer invasor puede extenderse por 10 a 20 años, lo que otorga una ventana crítica para la detección temprana y el tratamiento oportuno.</w:t>
      </w:r>
    </w:p>
    <w:p w14:paraId="188CE473" w14:textId="77777777" w:rsidR="002F6628" w:rsidRDefault="00303CC7">
      <w:pPr>
        <w:spacing w:after="120" w:line="232" w:lineRule="auto"/>
        <w:jc w:val="both"/>
      </w:pPr>
      <w:r>
        <w:rPr>
          <w:rFonts w:ascii="Calibri" w:eastAsia="Calibri" w:hAnsi="Calibri" w:cs="Calibri"/>
          <w:sz w:val="24"/>
          <w:szCs w:val="24"/>
        </w:rPr>
        <w:t>El examen de Papanicolaou (Pap) sigue siendo el método de tamizaje más utilizado a nivel mundial. Sin embargo, presenta limitaciones significativas: su sensibilidad se ha estimado, en revisiones sistemáticas, entre 51% y 95%, con valores agregados situados habitualmente entre 70% y 80%</w:t>
      </w:r>
      <w:r>
        <w:rPr>
          <w:rFonts w:ascii="Calibri" w:eastAsia="Calibri" w:hAnsi="Calibri" w:cs="Calibri"/>
          <w:sz w:val="24"/>
          <w:szCs w:val="24"/>
          <w:vertAlign w:val="superscript"/>
        </w:rPr>
        <w:t>(4)</w:t>
      </w:r>
      <w:r>
        <w:rPr>
          <w:rFonts w:ascii="Calibri" w:eastAsia="Calibri" w:hAnsi="Calibri" w:cs="Calibri"/>
          <w:sz w:val="24"/>
          <w:szCs w:val="24"/>
        </w:rPr>
        <w:t>, y requiere personal altamente capacitado para la interpretación de las muestras. La variabilidad interobservador, la fatiga visual y la subjetividad inherente al análisis citológico contribuyen a tasas no despreciables de falsos negativos y positivos, particularmente en contextos de alta carga laboral. Estas limitaciones se agravan en regiones con escasez de especialistas y recursos, como ocurre en zonas rurales y extremas de Chile.</w:t>
      </w:r>
    </w:p>
    <w:p w14:paraId="7024D60F" w14:textId="77777777" w:rsidR="002F6628" w:rsidRDefault="00303CC7">
      <w:pPr>
        <w:spacing w:after="120" w:line="232" w:lineRule="auto"/>
        <w:jc w:val="both"/>
      </w:pPr>
      <w:r>
        <w:rPr>
          <w:rFonts w:ascii="Calibri" w:eastAsia="Calibri" w:hAnsi="Calibri" w:cs="Calibri"/>
          <w:sz w:val="24"/>
          <w:szCs w:val="24"/>
        </w:rPr>
        <w:t>En la última década, los avances en inteligencia artificial (IA) y aprendizaje automático (machine learning, ML) han abierto nuevas posibilidades para el análisis automatizado de imágenes citológicas, histopatológicas y de datos clínicos tabulares. Las redes neuronales convolucionales (CNN) han demostrado un rendimiento competitivo, e incluso comparable al de expertos humanos, en tareas de clasificación de lesiones cervicales a partir de imágenes de colposcopía</w:t>
      </w:r>
      <w:r>
        <w:rPr>
          <w:rFonts w:ascii="Calibri" w:eastAsia="Calibri" w:hAnsi="Calibri" w:cs="Calibri"/>
          <w:sz w:val="24"/>
          <w:szCs w:val="24"/>
          <w:vertAlign w:val="superscript"/>
        </w:rPr>
        <w:t>(5)</w:t>
      </w:r>
      <w:r>
        <w:rPr>
          <w:rFonts w:ascii="Calibri" w:eastAsia="Calibri" w:hAnsi="Calibri" w:cs="Calibri"/>
          <w:sz w:val="24"/>
          <w:szCs w:val="24"/>
        </w:rPr>
        <w:t xml:space="preserve">. </w:t>
      </w:r>
      <w:r>
        <w:rPr>
          <w:rFonts w:ascii="Calibri" w:eastAsia="Calibri" w:hAnsi="Calibri" w:cs="Calibri"/>
          <w:sz w:val="24"/>
          <w:szCs w:val="24"/>
        </w:rPr>
        <w:lastRenderedPageBreak/>
        <w:t xml:space="preserve">Paralelamente, los métodos tradicionales de ML </w:t>
      </w:r>
      <w:r w:rsidR="00EE7EB3">
        <w:rPr>
          <w:rFonts w:ascii="Calibri" w:eastAsia="Calibri" w:hAnsi="Calibri" w:cs="Calibri"/>
          <w:sz w:val="24"/>
          <w:szCs w:val="24"/>
        </w:rPr>
        <w:t xml:space="preserve">, tales </w:t>
      </w:r>
      <w:r>
        <w:rPr>
          <w:rFonts w:ascii="Calibri" w:eastAsia="Calibri" w:hAnsi="Calibri" w:cs="Calibri"/>
          <w:sz w:val="24"/>
          <w:szCs w:val="24"/>
        </w:rPr>
        <w:t>como Random Forest, Support Vector Machines (SVM) y XGBoost</w:t>
      </w:r>
      <w:r w:rsidR="006D586D">
        <w:rPr>
          <w:rFonts w:ascii="Calibri" w:eastAsia="Calibri" w:hAnsi="Calibri" w:cs="Calibri"/>
          <w:sz w:val="24"/>
          <w:szCs w:val="24"/>
        </w:rPr>
        <w:t>,</w:t>
      </w:r>
      <w:r>
        <w:rPr>
          <w:rFonts w:ascii="Calibri" w:eastAsia="Calibri" w:hAnsi="Calibri" w:cs="Calibri"/>
          <w:sz w:val="24"/>
          <w:szCs w:val="24"/>
        </w:rPr>
        <w:t xml:space="preserve"> han sido ampliamente utilizados con datos tabulares de factores de riesgo, logrando altas precisiones en la predicción del riesgo de CaCu</w:t>
      </w:r>
      <w:r>
        <w:rPr>
          <w:rFonts w:ascii="Calibri" w:eastAsia="Calibri" w:hAnsi="Calibri" w:cs="Calibri"/>
          <w:sz w:val="24"/>
          <w:szCs w:val="24"/>
          <w:vertAlign w:val="superscript"/>
        </w:rPr>
        <w:t>(6)</w:t>
      </w:r>
      <w:r>
        <w:rPr>
          <w:rFonts w:ascii="Calibri" w:eastAsia="Calibri" w:hAnsi="Calibri" w:cs="Calibri"/>
          <w:sz w:val="24"/>
          <w:szCs w:val="24"/>
        </w:rPr>
        <w:t>,</w:t>
      </w:r>
      <w:r>
        <w:rPr>
          <w:rFonts w:ascii="Calibri" w:eastAsia="Calibri" w:hAnsi="Calibri" w:cs="Calibri"/>
          <w:sz w:val="24"/>
          <w:szCs w:val="24"/>
          <w:vertAlign w:val="superscript"/>
        </w:rPr>
        <w:t>(7)</w:t>
      </w:r>
      <w:r>
        <w:rPr>
          <w:rFonts w:ascii="Calibri" w:eastAsia="Calibri" w:hAnsi="Calibri" w:cs="Calibri"/>
          <w:sz w:val="24"/>
          <w:szCs w:val="24"/>
        </w:rPr>
        <w:t>.</w:t>
      </w:r>
    </w:p>
    <w:p w14:paraId="5034E5D3" w14:textId="77777777" w:rsidR="002F6628" w:rsidRDefault="00303CC7">
      <w:pPr>
        <w:spacing w:after="120" w:line="232" w:lineRule="auto"/>
        <w:jc w:val="both"/>
      </w:pPr>
      <w:r>
        <w:rPr>
          <w:rFonts w:ascii="Calibri" w:eastAsia="Calibri" w:hAnsi="Calibri" w:cs="Calibri"/>
          <w:sz w:val="24"/>
          <w:szCs w:val="24"/>
        </w:rPr>
        <w:t>A pesar de estos avances, la adopción clínica de sistemas basados en IA enfrenta barreras significativas. La opacidad algorítmica</w:t>
      </w:r>
      <w:r w:rsidR="006D586D">
        <w:rPr>
          <w:rFonts w:ascii="Calibri" w:eastAsia="Calibri" w:hAnsi="Calibri" w:cs="Calibri"/>
          <w:sz w:val="24"/>
          <w:szCs w:val="24"/>
        </w:rPr>
        <w:t xml:space="preserve">, i.e., </w:t>
      </w:r>
      <w:r>
        <w:rPr>
          <w:rFonts w:ascii="Calibri" w:eastAsia="Calibri" w:hAnsi="Calibri" w:cs="Calibri"/>
          <w:sz w:val="24"/>
          <w:szCs w:val="24"/>
        </w:rPr>
        <w:t>el denominado problema de la "caja negra"</w:t>
      </w:r>
      <w:r w:rsidR="006D586D">
        <w:rPr>
          <w:rFonts w:ascii="Calibri" w:eastAsia="Calibri" w:hAnsi="Calibri" w:cs="Calibri"/>
          <w:sz w:val="24"/>
          <w:szCs w:val="24"/>
        </w:rPr>
        <w:t>,</w:t>
      </w:r>
      <w:r>
        <w:rPr>
          <w:rFonts w:ascii="Calibri" w:eastAsia="Calibri" w:hAnsi="Calibri" w:cs="Calibri"/>
          <w:sz w:val="24"/>
          <w:szCs w:val="24"/>
        </w:rPr>
        <w:t xml:space="preserve"> limita la confianza de los profesionales médicos, quienes requieren comprender el razonamiento detrás de cada predicción para tomar decisiones informadas</w:t>
      </w:r>
      <w:r>
        <w:rPr>
          <w:rFonts w:ascii="Calibri" w:eastAsia="Calibri" w:hAnsi="Calibri" w:cs="Calibri"/>
          <w:sz w:val="24"/>
          <w:szCs w:val="24"/>
          <w:vertAlign w:val="superscript"/>
        </w:rPr>
        <w:t>(8)</w:t>
      </w:r>
      <w:r>
        <w:rPr>
          <w:rFonts w:ascii="Calibri" w:eastAsia="Calibri" w:hAnsi="Calibri" w:cs="Calibri"/>
          <w:sz w:val="24"/>
          <w:szCs w:val="24"/>
        </w:rPr>
        <w:t>. La falta de explicabilidad se ha identificado como una de las principales barreras para la integración efectiva de la IA en flujos de trabajo clínicos reales, donde los profesionales de salud demandan explicaciones contextualizadas y accionables, y no únicamente métricas de desempeño agregadas</w:t>
      </w:r>
      <w:r>
        <w:rPr>
          <w:rFonts w:ascii="Calibri" w:eastAsia="Calibri" w:hAnsi="Calibri" w:cs="Calibri"/>
          <w:sz w:val="24"/>
          <w:szCs w:val="24"/>
          <w:vertAlign w:val="superscript"/>
        </w:rPr>
        <w:t>(9)</w:t>
      </w:r>
      <w:r>
        <w:rPr>
          <w:rFonts w:ascii="Calibri" w:eastAsia="Calibri" w:hAnsi="Calibri" w:cs="Calibri"/>
          <w:sz w:val="24"/>
          <w:szCs w:val="24"/>
        </w:rPr>
        <w:t>. Además, la mayoría de los modelos se entrenan y validan en condiciones controladas, con conjuntos de datos de laboratorio que no reflejan la heterogeneidad de las muestras clínicas reales, lo que genera degradación del rendimiento al ser implementados en entornos operativos distintos a los de entrenamiento (domain shift), fenómeno ya documentado en otras aplicaciones de aprendizaje profundo en imagenología médica</w:t>
      </w:r>
      <w:r>
        <w:rPr>
          <w:rFonts w:ascii="Calibri" w:eastAsia="Calibri" w:hAnsi="Calibri" w:cs="Calibri"/>
          <w:sz w:val="24"/>
          <w:szCs w:val="24"/>
          <w:vertAlign w:val="superscript"/>
        </w:rPr>
        <w:t>(10)</w:t>
      </w:r>
      <w:r>
        <w:rPr>
          <w:rFonts w:ascii="Calibri" w:eastAsia="Calibri" w:hAnsi="Calibri" w:cs="Calibri"/>
          <w:sz w:val="24"/>
          <w:szCs w:val="24"/>
        </w:rPr>
        <w:t>. La resiliencia operativa, entendida como la capacidad del sistema para mantener un rendimiento aceptable ante fallos de conectividad, variabilidad de datos y restricciones computacionales, es otro aspecto crítico que ha recibido escasa atención en la literatura sobre CaCu, aunque estrategias como el aprendizaje federado han comenzado a explorarse como alternativas para el despliegue de modelos de IA en entornos de salud con recursos limitados y datos distribuidos</w:t>
      </w:r>
      <w:r>
        <w:rPr>
          <w:rFonts w:ascii="Calibri" w:eastAsia="Calibri" w:hAnsi="Calibri" w:cs="Calibri"/>
          <w:sz w:val="24"/>
          <w:szCs w:val="24"/>
          <w:vertAlign w:val="superscript"/>
        </w:rPr>
        <w:t>(11)</w:t>
      </w:r>
      <w:r>
        <w:rPr>
          <w:rFonts w:ascii="Calibri" w:eastAsia="Calibri" w:hAnsi="Calibri" w:cs="Calibri"/>
          <w:sz w:val="24"/>
          <w:szCs w:val="24"/>
        </w:rPr>
        <w:t>.</w:t>
      </w:r>
    </w:p>
    <w:p w14:paraId="1861AA8B" w14:textId="77777777" w:rsidR="002F6628" w:rsidRDefault="00303CC7">
      <w:pPr>
        <w:spacing w:after="120" w:line="232" w:lineRule="auto"/>
        <w:jc w:val="both"/>
      </w:pPr>
      <w:r>
        <w:rPr>
          <w:rFonts w:ascii="Calibri" w:eastAsia="Calibri" w:hAnsi="Calibri" w:cs="Calibri"/>
          <w:sz w:val="24"/>
          <w:szCs w:val="24"/>
        </w:rPr>
        <w:t>Este artículo aborda estas problemáticas mediante un análisis comparativo de métodos de ML aplicados a la detección temprana del CaCu. Los objetivos específicos son: (i) consolidar un marco teórico que integre los fundamentos clínicos, computacionales y de explicabilidad relevantes para el problema; (ii) identificar y analizar las brechas en el estado del arte; (iii) proponer un marco para la comparación empírica de algoritmos sobre conjuntos de datos públicos; y (iv) evaluar el nivel de explicabilidad inherente de los principales métodos bajo criterios estandarizados. El artículo se estructura de la siguiente manera: la Sección 2 presenta el marco teórico; la Sección 3 desarrolla la revisión del estado del arte; la Sección 4 describe la metodología propuesta; la Sección 5 presenta el análisis de explicabilidad; y la Sección 6 expone las conclusiones y el trabajo futuro.</w:t>
      </w:r>
    </w:p>
    <w:p w14:paraId="75D856A2" w14:textId="77777777" w:rsidR="002F6628" w:rsidRDefault="00303CC7">
      <w:pPr>
        <w:spacing w:before="220" w:after="150"/>
        <w:jc w:val="center"/>
      </w:pPr>
      <w:r>
        <w:rPr>
          <w:rFonts w:ascii="Calibri" w:eastAsia="Calibri" w:hAnsi="Calibri" w:cs="Calibri"/>
          <w:b/>
          <w:bCs/>
          <w:sz w:val="32"/>
          <w:szCs w:val="32"/>
        </w:rPr>
        <w:t>MARCO TEÓRICO</w:t>
      </w:r>
    </w:p>
    <w:p w14:paraId="07807147" w14:textId="77777777" w:rsidR="002F6628" w:rsidRDefault="00303CC7">
      <w:pPr>
        <w:spacing w:before="170" w:after="120"/>
        <w:jc w:val="center"/>
      </w:pPr>
      <w:r>
        <w:rPr>
          <w:rFonts w:ascii="Calibri" w:eastAsia="Calibri" w:hAnsi="Calibri" w:cs="Calibri"/>
          <w:b/>
          <w:bCs/>
          <w:sz w:val="28"/>
          <w:szCs w:val="28"/>
        </w:rPr>
        <w:t>2.1. El Cáncer Cervicouterino: Biología, Historia Natural y Clasificación Citológica</w:t>
      </w:r>
    </w:p>
    <w:p w14:paraId="65865DF9" w14:textId="77777777" w:rsidR="002F6628" w:rsidRDefault="00303CC7">
      <w:pPr>
        <w:spacing w:after="120" w:line="232" w:lineRule="auto"/>
        <w:jc w:val="both"/>
      </w:pPr>
      <w:r>
        <w:rPr>
          <w:rFonts w:ascii="Calibri" w:eastAsia="Calibri" w:hAnsi="Calibri" w:cs="Calibri"/>
          <w:sz w:val="24"/>
          <w:szCs w:val="24"/>
        </w:rPr>
        <w:t>El CaCu se origina, en la gran mayoría de los casos, a partir de lesiones precursoras del epitelio cervical asociadas a la infección persistente por VPH de alto riesgo oncogénico</w:t>
      </w:r>
      <w:r>
        <w:rPr>
          <w:rFonts w:ascii="Calibri" w:eastAsia="Calibri" w:hAnsi="Calibri" w:cs="Calibri"/>
          <w:sz w:val="24"/>
          <w:szCs w:val="24"/>
          <w:vertAlign w:val="superscript"/>
        </w:rPr>
        <w:t>(3)</w:t>
      </w:r>
      <w:r>
        <w:rPr>
          <w:rFonts w:ascii="Calibri" w:eastAsia="Calibri" w:hAnsi="Calibri" w:cs="Calibri"/>
          <w:sz w:val="24"/>
          <w:szCs w:val="24"/>
        </w:rPr>
        <w:t>. El proceso de carcinogénesis cervical es progresivo y habitualmente lento, transitando por etapas de neoplasia intraepitelial cervical (NIC) de distinto grado antes de evolucionar a carcinoma invasor, lo que fundamenta la utilidad clínica del tamizaje periódico. Para estandarizar la interpretación de las muestras citológicas se utiliza mayoritariamente el Sistema Bethesda, que clasifica los hallazgos en categorías como negativo para lesión intraepitelial o malignidad, células escamosas atípicas de significado indeterminado (ASC-US), y lesión intraepitelial escamosa de bajo grado (LSIL) y de alto grado (HSIL), entre otras</w:t>
      </w:r>
      <w:r>
        <w:rPr>
          <w:rFonts w:ascii="Calibri" w:eastAsia="Calibri" w:hAnsi="Calibri" w:cs="Calibri"/>
          <w:sz w:val="24"/>
          <w:szCs w:val="24"/>
          <w:vertAlign w:val="superscript"/>
        </w:rPr>
        <w:t>(12)</w:t>
      </w:r>
      <w:r>
        <w:rPr>
          <w:rFonts w:ascii="Calibri" w:eastAsia="Calibri" w:hAnsi="Calibri" w:cs="Calibri"/>
          <w:sz w:val="24"/>
          <w:szCs w:val="24"/>
        </w:rPr>
        <w:t xml:space="preserve">. Esta clasificación constituye la base de las anotaciones utilizadas en la mayoría de los conjuntos de datos públicos empleados para entrenar modelos de ML, </w:t>
      </w:r>
      <w:r>
        <w:rPr>
          <w:rFonts w:ascii="Calibri" w:eastAsia="Calibri" w:hAnsi="Calibri" w:cs="Calibri"/>
          <w:sz w:val="24"/>
          <w:szCs w:val="24"/>
        </w:rPr>
        <w:lastRenderedPageBreak/>
        <w:t>incluyendo el conjunto RIVA descrito en la Sección 3.2. En el plano de la salud pública, la Organización Mundial de la Salud ha establecido una estrategia global para acelerar la eliminación del CaCu como problema de salud pública, fijando metas de cobertura de vacunación contra el VPH, tamizaje y tratamiento que enfatizan la necesidad de tecnologías de apoyo diagnóstico escalables, especialmente en contextos de recursos limitados</w:t>
      </w:r>
      <w:r>
        <w:rPr>
          <w:rFonts w:ascii="Calibri" w:eastAsia="Calibri" w:hAnsi="Calibri" w:cs="Calibri"/>
          <w:sz w:val="24"/>
          <w:szCs w:val="24"/>
          <w:vertAlign w:val="superscript"/>
        </w:rPr>
        <w:t>(13)</w:t>
      </w:r>
      <w:r>
        <w:rPr>
          <w:rFonts w:ascii="Calibri" w:eastAsia="Calibri" w:hAnsi="Calibri" w:cs="Calibri"/>
          <w:sz w:val="24"/>
          <w:szCs w:val="24"/>
        </w:rPr>
        <w:t>.</w:t>
      </w:r>
    </w:p>
    <w:p w14:paraId="6ED00799" w14:textId="77777777" w:rsidR="002F6628" w:rsidRDefault="00303CC7">
      <w:pPr>
        <w:spacing w:before="170" w:after="120"/>
        <w:jc w:val="center"/>
      </w:pPr>
      <w:r>
        <w:rPr>
          <w:rFonts w:ascii="Calibri" w:eastAsia="Calibri" w:hAnsi="Calibri" w:cs="Calibri"/>
          <w:b/>
          <w:bCs/>
          <w:sz w:val="28"/>
          <w:szCs w:val="28"/>
        </w:rPr>
        <w:t>2.2. Fundamentos de Aprendizaje Automático y Profundo Aplicados a Datos Biomédicos</w:t>
      </w:r>
    </w:p>
    <w:p w14:paraId="3DC0793C" w14:textId="77777777" w:rsidR="002F6628" w:rsidRDefault="00303CC7">
      <w:pPr>
        <w:spacing w:after="120" w:line="232" w:lineRule="auto"/>
        <w:jc w:val="both"/>
      </w:pPr>
      <w:r>
        <w:rPr>
          <w:rFonts w:ascii="Calibri" w:eastAsia="Calibri" w:hAnsi="Calibri" w:cs="Calibri"/>
          <w:sz w:val="24"/>
          <w:szCs w:val="24"/>
        </w:rPr>
        <w:t>Los algoritmos de ML utilizados en la detección del CaCu pueden agruparse en modelos de aprendizaje supervisado clásico y modelos de aprendizaje profundo. Entre los primeros, las Máquinas de Soporte Vectorial (SVM) buscan un hiperplano de separación óptimo entre clases, maximizando el margen entre ellas</w:t>
      </w:r>
      <w:r>
        <w:rPr>
          <w:rFonts w:ascii="Calibri" w:eastAsia="Calibri" w:hAnsi="Calibri" w:cs="Calibri"/>
          <w:sz w:val="24"/>
          <w:szCs w:val="24"/>
          <w:vertAlign w:val="superscript"/>
        </w:rPr>
        <w:t>(14)</w:t>
      </w:r>
      <w:r>
        <w:rPr>
          <w:rFonts w:ascii="Calibri" w:eastAsia="Calibri" w:hAnsi="Calibri" w:cs="Calibri"/>
          <w:sz w:val="24"/>
          <w:szCs w:val="24"/>
        </w:rPr>
        <w:t>; Random Forest (RF) construye un ensamble de árboles de decisión entrenados sobre subconjuntos aleatorios de datos y características, promediando sus predicciones para reducir la varianza</w:t>
      </w:r>
      <w:r>
        <w:rPr>
          <w:rFonts w:ascii="Calibri" w:eastAsia="Calibri" w:hAnsi="Calibri" w:cs="Calibri"/>
          <w:sz w:val="24"/>
          <w:szCs w:val="24"/>
          <w:vertAlign w:val="superscript"/>
        </w:rPr>
        <w:t>(15)</w:t>
      </w:r>
      <w:r>
        <w:rPr>
          <w:rFonts w:ascii="Calibri" w:eastAsia="Calibri" w:hAnsi="Calibri" w:cs="Calibri"/>
          <w:sz w:val="24"/>
          <w:szCs w:val="24"/>
        </w:rPr>
        <w:t>; y XGBoost implementa un esquema de gradient boosting altamente optimizado, que ha demostrado un desempeño sobresaliente en numerosas competencias y aplicaciones con datos tabulares</w:t>
      </w:r>
      <w:r>
        <w:rPr>
          <w:rFonts w:ascii="Calibri" w:eastAsia="Calibri" w:hAnsi="Calibri" w:cs="Calibri"/>
          <w:sz w:val="24"/>
          <w:szCs w:val="24"/>
          <w:vertAlign w:val="superscript"/>
        </w:rPr>
        <w:t>(16)</w:t>
      </w:r>
      <w:r>
        <w:rPr>
          <w:rFonts w:ascii="Calibri" w:eastAsia="Calibri" w:hAnsi="Calibri" w:cs="Calibri"/>
          <w:sz w:val="24"/>
          <w:szCs w:val="24"/>
        </w:rPr>
        <w:t>. En el ámbito del aprendizaje profundo, las redes neuronales convolucionales (CNN) aprenden jerarquías de características directamente desde los datos de imagen mediante capas de convolución y agrupamiento, sin requerir la extracción manual de características</w:t>
      </w:r>
      <w:r>
        <w:rPr>
          <w:rFonts w:ascii="Calibri" w:eastAsia="Calibri" w:hAnsi="Calibri" w:cs="Calibri"/>
          <w:sz w:val="24"/>
          <w:szCs w:val="24"/>
          <w:vertAlign w:val="superscript"/>
        </w:rPr>
        <w:t>(17)</w:t>
      </w:r>
      <w:r>
        <w:rPr>
          <w:rFonts w:ascii="Calibri" w:eastAsia="Calibri" w:hAnsi="Calibri" w:cs="Calibri"/>
          <w:sz w:val="24"/>
          <w:szCs w:val="24"/>
        </w:rPr>
        <w:t>. Arquitecturas pre-entrenadas como MobileNet, diseñada para operar eficientemente en dispositivos con recursos computacionales limitados</w:t>
      </w:r>
      <w:r>
        <w:rPr>
          <w:rFonts w:ascii="Calibri" w:eastAsia="Calibri" w:hAnsi="Calibri" w:cs="Calibri"/>
          <w:sz w:val="24"/>
          <w:szCs w:val="24"/>
          <w:vertAlign w:val="superscript"/>
        </w:rPr>
        <w:t>(18)</w:t>
      </w:r>
      <w:r>
        <w:rPr>
          <w:rFonts w:ascii="Calibri" w:eastAsia="Calibri" w:hAnsi="Calibri" w:cs="Calibri"/>
          <w:sz w:val="24"/>
          <w:szCs w:val="24"/>
        </w:rPr>
        <w:t>; InceptionV3, que introduce módulos de convolución en paralelo con distintos tamaños de núcleo</w:t>
      </w:r>
      <w:r>
        <w:rPr>
          <w:rFonts w:ascii="Calibri" w:eastAsia="Calibri" w:hAnsi="Calibri" w:cs="Calibri"/>
          <w:sz w:val="24"/>
          <w:szCs w:val="24"/>
          <w:vertAlign w:val="superscript"/>
        </w:rPr>
        <w:t>(19)</w:t>
      </w:r>
      <w:r>
        <w:rPr>
          <w:rFonts w:ascii="Calibri" w:eastAsia="Calibri" w:hAnsi="Calibri" w:cs="Calibri"/>
          <w:sz w:val="24"/>
          <w:szCs w:val="24"/>
        </w:rPr>
        <w:t>; y ResNet, que incorpora conexiones residuales para permitir el entrenamiento de redes muy profundas</w:t>
      </w:r>
      <w:r>
        <w:rPr>
          <w:rFonts w:ascii="Calibri" w:eastAsia="Calibri" w:hAnsi="Calibri" w:cs="Calibri"/>
          <w:sz w:val="24"/>
          <w:szCs w:val="24"/>
          <w:vertAlign w:val="superscript"/>
        </w:rPr>
        <w:t>(20)</w:t>
      </w:r>
      <w:r>
        <w:rPr>
          <w:rFonts w:ascii="Calibri" w:eastAsia="Calibri" w:hAnsi="Calibri" w:cs="Calibri"/>
          <w:sz w:val="24"/>
          <w:szCs w:val="24"/>
        </w:rPr>
        <w:t>, han sido ampliamente adoptadas mediante transferencia de aprendizaje (transfer learning) para la clasificación de imágenes citológicas e histopatológicas. Para tareas de segmentación, la arquitectura U-Net y sus variantes permiten delimitar con precisión regiones de interés, como lesiones o núcleos celulares, a partir de un número relativamente reducido de imágenes anotadas</w:t>
      </w:r>
      <w:r>
        <w:rPr>
          <w:rFonts w:ascii="Calibri" w:eastAsia="Calibri" w:hAnsi="Calibri" w:cs="Calibri"/>
          <w:sz w:val="24"/>
          <w:szCs w:val="24"/>
          <w:vertAlign w:val="superscript"/>
        </w:rPr>
        <w:t>(21)</w:t>
      </w:r>
      <w:r>
        <w:rPr>
          <w:rFonts w:ascii="Calibri" w:eastAsia="Calibri" w:hAnsi="Calibri" w:cs="Calibri"/>
          <w:sz w:val="24"/>
          <w:szCs w:val="24"/>
        </w:rPr>
        <w:t>. Finalmente, dado que los conjuntos de datos clínicos de CaCu suelen presentar un desbalance considerable entre casos positivos y negativos, es habitual recurrir a técnicas de sobremuestreo sintético como SMOTE para mitigar el sesgo hacia la clase mayoritaria durante el entrenamiento</w:t>
      </w:r>
      <w:r>
        <w:rPr>
          <w:rFonts w:ascii="Calibri" w:eastAsia="Calibri" w:hAnsi="Calibri" w:cs="Calibri"/>
          <w:sz w:val="24"/>
          <w:szCs w:val="24"/>
          <w:vertAlign w:val="superscript"/>
        </w:rPr>
        <w:t>(22)</w:t>
      </w:r>
      <w:r>
        <w:rPr>
          <w:rFonts w:ascii="Calibri" w:eastAsia="Calibri" w:hAnsi="Calibri" w:cs="Calibri"/>
          <w:sz w:val="24"/>
          <w:szCs w:val="24"/>
        </w:rPr>
        <w:t>.</w:t>
      </w:r>
    </w:p>
    <w:p w14:paraId="1BF7C7FE" w14:textId="77777777" w:rsidR="002F6628" w:rsidRDefault="00303CC7">
      <w:pPr>
        <w:spacing w:before="170" w:after="120"/>
        <w:jc w:val="center"/>
      </w:pPr>
      <w:r>
        <w:rPr>
          <w:rFonts w:ascii="Calibri" w:eastAsia="Calibri" w:hAnsi="Calibri" w:cs="Calibri"/>
          <w:b/>
          <w:bCs/>
          <w:sz w:val="28"/>
          <w:szCs w:val="28"/>
        </w:rPr>
        <w:t>2.3. Inteligencia Artificial Explicable (XAI): Fundamentos Conceptuales</w:t>
      </w:r>
    </w:p>
    <w:p w14:paraId="0BC022E9" w14:textId="77777777" w:rsidR="002F6628" w:rsidRDefault="00303CC7">
      <w:pPr>
        <w:spacing w:after="120" w:line="232" w:lineRule="auto"/>
        <w:jc w:val="both"/>
      </w:pPr>
      <w:r>
        <w:rPr>
          <w:rFonts w:ascii="Calibri" w:eastAsia="Calibri" w:hAnsi="Calibri" w:cs="Calibri"/>
          <w:sz w:val="24"/>
          <w:szCs w:val="24"/>
        </w:rPr>
        <w:t>La Inteligencia Artificial Explicable (XAI) comprende el conjunto de técnicas y principios orientados a hacer comprensibles, para un usuario humano, las predicciones generadas por modelos de ML, particularmente aquellos de naturaleza opaca o de "caja negra"</w:t>
      </w:r>
      <w:r>
        <w:rPr>
          <w:rFonts w:ascii="Calibri" w:eastAsia="Calibri" w:hAnsi="Calibri" w:cs="Calibri"/>
          <w:sz w:val="24"/>
          <w:szCs w:val="24"/>
          <w:vertAlign w:val="superscript"/>
        </w:rPr>
        <w:t>(8)</w:t>
      </w:r>
      <w:r>
        <w:rPr>
          <w:rFonts w:ascii="Calibri" w:eastAsia="Calibri" w:hAnsi="Calibri" w:cs="Calibri"/>
          <w:sz w:val="24"/>
          <w:szCs w:val="24"/>
        </w:rPr>
        <w:t>. Las técnicas de XAI se clasifican habitualmente en métodos intrínsecos, correspondientes a modelos que son interpretables por diseño (como la regresión logística o los árboles de decisión), y métodos post-hoc, que generan explicaciones para modelos ya entrenados sin modificar su arquitectura</w:t>
      </w:r>
      <w:r>
        <w:rPr>
          <w:rFonts w:ascii="Calibri" w:eastAsia="Calibri" w:hAnsi="Calibri" w:cs="Calibri"/>
          <w:sz w:val="24"/>
          <w:szCs w:val="24"/>
          <w:vertAlign w:val="superscript"/>
        </w:rPr>
        <w:t>(8)</w:t>
      </w:r>
      <w:r>
        <w:rPr>
          <w:rFonts w:ascii="Calibri" w:eastAsia="Calibri" w:hAnsi="Calibri" w:cs="Calibri"/>
          <w:sz w:val="24"/>
          <w:szCs w:val="24"/>
        </w:rPr>
        <w:t>. Entre los métodos post-hoc más utilizados se encuentran SHAP (SHapley Additive exPlanations), que atribuye a cada característica una contribución a la predicción basada en la teoría de juegos cooperativos</w:t>
      </w:r>
      <w:r>
        <w:rPr>
          <w:rFonts w:ascii="Calibri" w:eastAsia="Calibri" w:hAnsi="Calibri" w:cs="Calibri"/>
          <w:sz w:val="24"/>
          <w:szCs w:val="24"/>
          <w:vertAlign w:val="superscript"/>
        </w:rPr>
        <w:t>(23)</w:t>
      </w:r>
      <w:r>
        <w:rPr>
          <w:rFonts w:ascii="Calibri" w:eastAsia="Calibri" w:hAnsi="Calibri" w:cs="Calibri"/>
          <w:sz w:val="24"/>
          <w:szCs w:val="24"/>
        </w:rPr>
        <w:t>; LIME (Local Interpretable Model-agnostic Explanations), que aproxima localmente el comportamiento de un modelo complejo mediante un modelo interpretable simple en la vecindad de una instancia</w:t>
      </w:r>
      <w:r>
        <w:rPr>
          <w:rFonts w:ascii="Calibri" w:eastAsia="Calibri" w:hAnsi="Calibri" w:cs="Calibri"/>
          <w:sz w:val="24"/>
          <w:szCs w:val="24"/>
          <w:vertAlign w:val="superscript"/>
        </w:rPr>
        <w:t>(24)</w:t>
      </w:r>
      <w:r>
        <w:rPr>
          <w:rFonts w:ascii="Calibri" w:eastAsia="Calibri" w:hAnsi="Calibri" w:cs="Calibri"/>
          <w:sz w:val="24"/>
          <w:szCs w:val="24"/>
        </w:rPr>
        <w:t>; y Grad-CAM (Gradient-weighted Class Activation Mapping), que genera mapas de calor sobre imágenes para resaltar las regiones que más influyeron en la predicción de una CNN</w:t>
      </w:r>
      <w:r>
        <w:rPr>
          <w:rFonts w:ascii="Calibri" w:eastAsia="Calibri" w:hAnsi="Calibri" w:cs="Calibri"/>
          <w:sz w:val="24"/>
          <w:szCs w:val="24"/>
          <w:vertAlign w:val="superscript"/>
        </w:rPr>
        <w:t>(25)</w:t>
      </w:r>
      <w:r>
        <w:rPr>
          <w:rFonts w:ascii="Calibri" w:eastAsia="Calibri" w:hAnsi="Calibri" w:cs="Calibri"/>
          <w:sz w:val="24"/>
          <w:szCs w:val="24"/>
        </w:rPr>
        <w:t xml:space="preserve">. No obstante la disponibilidad de estas técnicas, la </w:t>
      </w:r>
      <w:r>
        <w:rPr>
          <w:rFonts w:ascii="Calibri" w:eastAsia="Calibri" w:hAnsi="Calibri" w:cs="Calibri"/>
          <w:sz w:val="24"/>
          <w:szCs w:val="24"/>
        </w:rPr>
        <w:lastRenderedPageBreak/>
        <w:t>evidencia sobre las necesidades reales de explicabilidad de los clínicos indica que estos valoran explicaciones contextualizadas, accionables y alineadas con su razonamiento diagnóstico, más que visualizaciones técnicas genéricas, lo que representa un desafío adicional para la adopción efectiva de XAI en la práctica clínica</w:t>
      </w:r>
      <w:r>
        <w:rPr>
          <w:rFonts w:ascii="Calibri" w:eastAsia="Calibri" w:hAnsi="Calibri" w:cs="Calibri"/>
          <w:sz w:val="24"/>
          <w:szCs w:val="24"/>
          <w:vertAlign w:val="superscript"/>
        </w:rPr>
        <w:t>(9)</w:t>
      </w:r>
      <w:r>
        <w:rPr>
          <w:rFonts w:ascii="Calibri" w:eastAsia="Calibri" w:hAnsi="Calibri" w:cs="Calibri"/>
          <w:sz w:val="24"/>
          <w:szCs w:val="24"/>
        </w:rPr>
        <w:t>.</w:t>
      </w:r>
    </w:p>
    <w:p w14:paraId="6507EAA2" w14:textId="77777777" w:rsidR="002F6628" w:rsidRDefault="00303CC7">
      <w:pPr>
        <w:spacing w:before="220" w:after="150"/>
        <w:jc w:val="center"/>
      </w:pPr>
      <w:r>
        <w:rPr>
          <w:rFonts w:ascii="Calibri" w:eastAsia="Calibri" w:hAnsi="Calibri" w:cs="Calibri"/>
          <w:b/>
          <w:bCs/>
          <w:sz w:val="32"/>
          <w:szCs w:val="32"/>
        </w:rPr>
        <w:t>ESTADO DEL ARTE</w:t>
      </w:r>
    </w:p>
    <w:p w14:paraId="7BC12635" w14:textId="77777777" w:rsidR="002F6628" w:rsidRDefault="00303CC7">
      <w:pPr>
        <w:spacing w:before="170" w:after="120"/>
        <w:jc w:val="center"/>
      </w:pPr>
      <w:r>
        <w:rPr>
          <w:rFonts w:ascii="Calibri" w:eastAsia="Calibri" w:hAnsi="Calibri" w:cs="Calibri"/>
          <w:b/>
          <w:bCs/>
          <w:sz w:val="28"/>
          <w:szCs w:val="28"/>
        </w:rPr>
        <w:t>3.1. Métodos de Machine Learning en Datos Tabulares de Factores de Riesgo</w:t>
      </w:r>
    </w:p>
    <w:p w14:paraId="3BE3CBE5" w14:textId="77777777" w:rsidR="002F6628" w:rsidRDefault="00303CC7">
      <w:pPr>
        <w:spacing w:after="120" w:line="232" w:lineRule="auto"/>
        <w:jc w:val="both"/>
      </w:pPr>
      <w:r>
        <w:rPr>
          <w:rFonts w:ascii="Calibri" w:eastAsia="Calibri" w:hAnsi="Calibri" w:cs="Calibri"/>
          <w:sz w:val="24"/>
          <w:szCs w:val="24"/>
        </w:rPr>
        <w:t>En el ámbito de los datos tabulares, el conjunto de datos de factores de riesgo de la Universidad de California, Irvine (UCI), originalmente compilado a partir de registros del Hospital Universitario de Caracas, Venezuela</w:t>
      </w:r>
      <w:r>
        <w:rPr>
          <w:rFonts w:ascii="Calibri" w:eastAsia="Calibri" w:hAnsi="Calibri" w:cs="Calibri"/>
          <w:sz w:val="24"/>
          <w:szCs w:val="24"/>
          <w:vertAlign w:val="superscript"/>
        </w:rPr>
        <w:t>(26)</w:t>
      </w:r>
      <w:r>
        <w:rPr>
          <w:rFonts w:ascii="Calibri" w:eastAsia="Calibri" w:hAnsi="Calibri" w:cs="Calibri"/>
          <w:sz w:val="24"/>
          <w:szCs w:val="24"/>
        </w:rPr>
        <w:t>, ha sido el más utilizado en la literatura. Este conjunto contiene 858 registros con 36 atributos demográficos, conductuales y clínicos. Sobre este conjunto, diversos estudios han comparado el rendimiento de clasificadores como Random Forest, SVM, Logistic Regression, Decision Trees, Naïve Bayes y K-Nearest Neighbors. Un estudio reciente demostró que Random Forest alcanzó la mayor precisión en validación cruzada (97,99%) y en prueba (97,10%), con una AUC-ROC de 99,74%</w:t>
      </w:r>
      <w:r>
        <w:rPr>
          <w:rFonts w:ascii="Calibri" w:eastAsia="Calibri" w:hAnsi="Calibri" w:cs="Calibri"/>
          <w:sz w:val="24"/>
          <w:szCs w:val="24"/>
          <w:vertAlign w:val="superscript"/>
        </w:rPr>
        <w:t>(27)</w:t>
      </w:r>
      <w:r>
        <w:rPr>
          <w:rFonts w:ascii="Calibri" w:eastAsia="Calibri" w:hAnsi="Calibri" w:cs="Calibri"/>
          <w:sz w:val="24"/>
          <w:szCs w:val="24"/>
        </w:rPr>
        <w:t>. Otro estudio, centrado en la selección de características mediante umbral de varianza, comparó XGBoost, Random Forest, Extra Trees, Bagging y Decision Tree, encontrando que un modelo basado en XGBoost logró una precisión de 97,01%</w:t>
      </w:r>
      <w:r>
        <w:rPr>
          <w:rFonts w:ascii="Calibri" w:eastAsia="Calibri" w:hAnsi="Calibri" w:cs="Calibri"/>
          <w:sz w:val="24"/>
          <w:szCs w:val="24"/>
          <w:vertAlign w:val="superscript"/>
        </w:rPr>
        <w:t>(6)</w:t>
      </w:r>
      <w:r>
        <w:rPr>
          <w:rFonts w:ascii="Calibri" w:eastAsia="Calibri" w:hAnsi="Calibri" w:cs="Calibri"/>
          <w:sz w:val="24"/>
          <w:szCs w:val="24"/>
        </w:rPr>
        <w:t>. Adicionalmente, Haq et al. compararon sistemáticamente múltiples algoritmos de clasificación sobre datos de factores de riesgo, destacando el desempeño consistente de los métodos basados en ensambles de árboles</w:t>
      </w:r>
      <w:r>
        <w:rPr>
          <w:rFonts w:ascii="Calibri" w:eastAsia="Calibri" w:hAnsi="Calibri" w:cs="Calibri"/>
          <w:sz w:val="24"/>
          <w:szCs w:val="24"/>
          <w:vertAlign w:val="superscript"/>
        </w:rPr>
        <w:t>(7)</w:t>
      </w:r>
      <w:r>
        <w:rPr>
          <w:rFonts w:ascii="Calibri" w:eastAsia="Calibri" w:hAnsi="Calibri" w:cs="Calibri"/>
          <w:sz w:val="24"/>
          <w:szCs w:val="24"/>
        </w:rPr>
        <w:t>, mientras que Okyay et al. evaluaron el riesgo de CaCu mediante ML en una cohorte clínica adicional, reforzando la robustez de estos hallazgos en distintas poblaciones</w:t>
      </w:r>
      <w:r>
        <w:rPr>
          <w:rFonts w:ascii="Calibri" w:eastAsia="Calibri" w:hAnsi="Calibri" w:cs="Calibri"/>
          <w:sz w:val="24"/>
          <w:szCs w:val="24"/>
          <w:vertAlign w:val="superscript"/>
        </w:rPr>
        <w:t>(38)</w:t>
      </w:r>
      <w:r>
        <w:rPr>
          <w:rFonts w:ascii="Calibri" w:eastAsia="Calibri" w:hAnsi="Calibri" w:cs="Calibri"/>
          <w:sz w:val="24"/>
          <w:szCs w:val="24"/>
        </w:rPr>
        <w:t>.</w:t>
      </w:r>
    </w:p>
    <w:p w14:paraId="2D11E7C9" w14:textId="77777777" w:rsidR="002F6628" w:rsidRDefault="00303CC7">
      <w:pPr>
        <w:spacing w:before="170" w:after="120"/>
        <w:jc w:val="center"/>
      </w:pPr>
      <w:r>
        <w:rPr>
          <w:rFonts w:ascii="Calibri" w:eastAsia="Calibri" w:hAnsi="Calibri" w:cs="Calibri"/>
          <w:b/>
          <w:bCs/>
          <w:sz w:val="28"/>
          <w:szCs w:val="28"/>
        </w:rPr>
        <w:t>3.2. Métodos de Machine Learning en Imágenes Citológicas e Histopatológicas</w:t>
      </w:r>
    </w:p>
    <w:p w14:paraId="22F5CA76" w14:textId="77777777" w:rsidR="002F6628" w:rsidRDefault="00303CC7">
      <w:pPr>
        <w:spacing w:after="120" w:line="232" w:lineRule="auto"/>
        <w:jc w:val="both"/>
      </w:pPr>
      <w:r>
        <w:rPr>
          <w:rFonts w:ascii="Calibri" w:eastAsia="Calibri" w:hAnsi="Calibri" w:cs="Calibri"/>
          <w:sz w:val="24"/>
          <w:szCs w:val="24"/>
        </w:rPr>
        <w:t>En el ámbito del análisis de imágenes, los conjuntos de datos disponibles incluyen Herlev (917 imágenes de células cervicales aisladas en 7 categorías), SIPaKMeD (966 parches y 4.049 imágenes celulares en 5 categorías), CRIC Cervix, APACC, conjuntos de imágenes histopatológicas de láminas completas (whole slide images) para clasificación multiclase</w:t>
      </w:r>
      <w:r>
        <w:rPr>
          <w:rFonts w:ascii="Calibri" w:eastAsia="Calibri" w:hAnsi="Calibri" w:cs="Calibri"/>
          <w:sz w:val="24"/>
          <w:szCs w:val="24"/>
          <w:vertAlign w:val="superscript"/>
        </w:rPr>
        <w:t>(28)</w:t>
      </w:r>
      <w:r>
        <w:rPr>
          <w:rFonts w:ascii="Calibri" w:eastAsia="Calibri" w:hAnsi="Calibri" w:cs="Calibri"/>
          <w:sz w:val="24"/>
          <w:szCs w:val="24"/>
        </w:rPr>
        <w:t>, y conjuntos más recientes como RIVA (959 imágenes de frotis convencional con anotaciones de hasta cuatro expertos según el Sistema Bethesda, totalizando 26.158 anotaciones)</w:t>
      </w:r>
      <w:r>
        <w:rPr>
          <w:rFonts w:ascii="Calibri" w:eastAsia="Calibri" w:hAnsi="Calibri" w:cs="Calibri"/>
          <w:sz w:val="24"/>
          <w:szCs w:val="24"/>
          <w:vertAlign w:val="superscript"/>
        </w:rPr>
        <w:t>(30)</w:t>
      </w:r>
      <w:r>
        <w:rPr>
          <w:rFonts w:ascii="Calibri" w:eastAsia="Calibri" w:hAnsi="Calibri" w:cs="Calibri"/>
          <w:sz w:val="24"/>
          <w:szCs w:val="24"/>
        </w:rPr>
        <w:t xml:space="preserve"> y BiCervi, un conjunto de imágenes de citología cervical publicado recientemente para la clasificación de frotis de Papanicolaou</w:t>
      </w:r>
      <w:r>
        <w:rPr>
          <w:rFonts w:ascii="Calibri" w:eastAsia="Calibri" w:hAnsi="Calibri" w:cs="Calibri"/>
          <w:sz w:val="24"/>
          <w:szCs w:val="24"/>
          <w:vertAlign w:val="superscript"/>
        </w:rPr>
        <w:t>(29)</w:t>
      </w:r>
      <w:r>
        <w:rPr>
          <w:rFonts w:ascii="Calibri" w:eastAsia="Calibri" w:hAnsi="Calibri" w:cs="Calibri"/>
          <w:sz w:val="24"/>
          <w:szCs w:val="24"/>
        </w:rPr>
        <w:t>. Sobre estos conjuntos, las arquitecturas CNN como MobileNet, InceptionV3 y ResNet han demostrado un rendimiento sobresaliente. Un estudio observacional basado en población universitaria reportó que MobileNet alcanzó una AUC de 0,97, con una especificidad de 0,99 y una sensibilidad de 0,78 para la detección de células alteradas en frotis de Pap</w:t>
      </w:r>
      <w:r>
        <w:rPr>
          <w:rFonts w:ascii="Calibri" w:eastAsia="Calibri" w:hAnsi="Calibri" w:cs="Calibri"/>
          <w:sz w:val="24"/>
          <w:szCs w:val="24"/>
          <w:vertAlign w:val="superscript"/>
        </w:rPr>
        <w:t>(31)</w:t>
      </w:r>
      <w:r>
        <w:rPr>
          <w:rFonts w:ascii="Calibri" w:eastAsia="Calibri" w:hAnsi="Calibri" w:cs="Calibri"/>
          <w:sz w:val="24"/>
          <w:szCs w:val="24"/>
        </w:rPr>
        <w:t>, mientras que una revisión reciente sobre enfoques multimodales y explicables reporta que InceptionV3 alcanzó una sensibilidad de 0,93 y una AUC de 0,947 en tareas comparables</w:t>
      </w:r>
      <w:r>
        <w:rPr>
          <w:rFonts w:ascii="Calibri" w:eastAsia="Calibri" w:hAnsi="Calibri" w:cs="Calibri"/>
          <w:sz w:val="24"/>
          <w:szCs w:val="24"/>
          <w:vertAlign w:val="superscript"/>
        </w:rPr>
        <w:t>(32)</w:t>
      </w:r>
      <w:r>
        <w:rPr>
          <w:rFonts w:ascii="Calibri" w:eastAsia="Calibri" w:hAnsi="Calibri" w:cs="Calibri"/>
          <w:sz w:val="24"/>
          <w:szCs w:val="24"/>
        </w:rPr>
        <w:t>. Los modelos de segmentación semántica tipo U-Net y sus variantes (Residual U-Net, Attention U-Net, Dense-U-Net) han sido ampliamente utilizados para delimitar lesiones en colposcopía y citología, logrando valores del coeficiente de Dice superiores a 0,85 en diversos estudios sobre diagnóstico basado en patología y colposcopía</w:t>
      </w:r>
      <w:r>
        <w:rPr>
          <w:rFonts w:ascii="Calibri" w:eastAsia="Calibri" w:hAnsi="Calibri" w:cs="Calibri"/>
          <w:sz w:val="24"/>
          <w:szCs w:val="24"/>
          <w:vertAlign w:val="superscript"/>
        </w:rPr>
        <w:t>(33)</w:t>
      </w:r>
      <w:r>
        <w:rPr>
          <w:rFonts w:ascii="Calibri" w:eastAsia="Calibri" w:hAnsi="Calibri" w:cs="Calibri"/>
          <w:sz w:val="24"/>
          <w:szCs w:val="24"/>
        </w:rPr>
        <w:t>.</w:t>
      </w:r>
    </w:p>
    <w:p w14:paraId="4A64CC6F" w14:textId="77777777" w:rsidR="002F6628" w:rsidRDefault="00303CC7">
      <w:pPr>
        <w:spacing w:before="170" w:after="120"/>
        <w:jc w:val="center"/>
      </w:pPr>
      <w:r>
        <w:rPr>
          <w:rFonts w:ascii="Calibri" w:eastAsia="Calibri" w:hAnsi="Calibri" w:cs="Calibri"/>
          <w:b/>
          <w:bCs/>
          <w:sz w:val="28"/>
          <w:szCs w:val="28"/>
        </w:rPr>
        <w:t>3.3. Métodos Ensemble y AutoML</w:t>
      </w:r>
    </w:p>
    <w:p w14:paraId="1803A7AD" w14:textId="77777777" w:rsidR="002F6628" w:rsidRDefault="00303CC7">
      <w:pPr>
        <w:spacing w:after="120" w:line="232" w:lineRule="auto"/>
        <w:jc w:val="both"/>
      </w:pPr>
      <w:r>
        <w:rPr>
          <w:rFonts w:ascii="Calibri" w:eastAsia="Calibri" w:hAnsi="Calibri" w:cs="Calibri"/>
          <w:sz w:val="24"/>
          <w:szCs w:val="24"/>
        </w:rPr>
        <w:lastRenderedPageBreak/>
        <w:t>Los métodos ensemble han ganado popularidad por su capacidad para combinar las fortalezas de múltiples algoritmos y reducir la varianza asociada a modelos individuales. Estudios recientes han reportado que enfoques de stacking ensemble combinados con ingeniería de características mediante autoencoders dispersos (FSAE) y plataformas de automatización como H2O AutoML logran altos niveles de precisión y robustez, además de incorporar mecanismos de explicabilidad integrados en el propio flujo de modelado</w:t>
      </w:r>
      <w:r>
        <w:rPr>
          <w:rFonts w:ascii="Calibri" w:eastAsia="Calibri" w:hAnsi="Calibri" w:cs="Calibri"/>
          <w:sz w:val="24"/>
          <w:szCs w:val="24"/>
          <w:vertAlign w:val="superscript"/>
        </w:rPr>
        <w:t>(34)</w:t>
      </w:r>
      <w:r>
        <w:rPr>
          <w:rFonts w:ascii="Calibri" w:eastAsia="Calibri" w:hAnsi="Calibri" w:cs="Calibri"/>
          <w:sz w:val="24"/>
          <w:szCs w:val="24"/>
        </w:rPr>
        <w:t>.</w:t>
      </w:r>
    </w:p>
    <w:p w14:paraId="5F445A28" w14:textId="77777777" w:rsidR="002F6628" w:rsidRDefault="00303CC7">
      <w:pPr>
        <w:spacing w:before="170" w:after="120"/>
        <w:jc w:val="center"/>
      </w:pPr>
      <w:r>
        <w:rPr>
          <w:rFonts w:ascii="Calibri" w:eastAsia="Calibri" w:hAnsi="Calibri" w:cs="Calibri"/>
          <w:b/>
          <w:bCs/>
          <w:sz w:val="28"/>
          <w:szCs w:val="28"/>
        </w:rPr>
        <w:t>3.4. Inteligencia Artificial Explicable en el Contexto del CaCu</w:t>
      </w:r>
    </w:p>
    <w:p w14:paraId="5C43A737" w14:textId="77777777" w:rsidR="002F6628" w:rsidRDefault="00303CC7">
      <w:pPr>
        <w:spacing w:after="120" w:line="232" w:lineRule="auto"/>
        <w:jc w:val="both"/>
      </w:pPr>
      <w:r>
        <w:rPr>
          <w:rFonts w:ascii="Calibri" w:eastAsia="Calibri" w:hAnsi="Calibri" w:cs="Calibri"/>
          <w:sz w:val="24"/>
          <w:szCs w:val="24"/>
        </w:rPr>
        <w:t>La explicabilidad se ha convertido en un requisito fundamental para la adopción clínica de sistemas basados en IA en oncología cervical. Grad-CAM ha sido ampliamente utilizado con CNN para clasificación de imágenes citológicas, permitiendo a los clínicos verificar que el modelo atiende a regiones morfológicamente relevantes de la muestra</w:t>
      </w:r>
      <w:r>
        <w:rPr>
          <w:rFonts w:ascii="Calibri" w:eastAsia="Calibri" w:hAnsi="Calibri" w:cs="Calibri"/>
          <w:sz w:val="24"/>
          <w:szCs w:val="24"/>
          <w:vertAlign w:val="superscript"/>
        </w:rPr>
        <w:t>(36)</w:t>
      </w:r>
      <w:r>
        <w:rPr>
          <w:rFonts w:ascii="Calibri" w:eastAsia="Calibri" w:hAnsi="Calibri" w:cs="Calibri"/>
          <w:sz w:val="24"/>
          <w:szCs w:val="24"/>
        </w:rPr>
        <w:t>. SHAP, por su parte, ha sido aplicado en modelos de predicción de riesgo con datos tabulares para identificar los factores de mayor influencia en la predicción, tales como el número de parejas sexuales, la edad de inicio de la actividad sexual y el uso prolongado de anticonceptivos hormonales. Una revisión de alcance (scoping review) reciente sobre ML y deep learning en el diagnóstico, pronóstico y tratamiento del CaCu destaca que, aunque la investigación en XAI ha avanzado significativamente, menos del 5% de los modelos desarrollados en el ámbito académico integran interfaces de explicabilidad post-hoc validadas bajo criterios médicos estandarizados</w:t>
      </w:r>
      <w:r>
        <w:rPr>
          <w:rFonts w:ascii="Calibri" w:eastAsia="Calibri" w:hAnsi="Calibri" w:cs="Calibri"/>
          <w:sz w:val="24"/>
          <w:szCs w:val="24"/>
          <w:vertAlign w:val="superscript"/>
        </w:rPr>
        <w:t>(35)</w:t>
      </w:r>
      <w:r>
        <w:rPr>
          <w:rFonts w:ascii="Calibri" w:eastAsia="Calibri" w:hAnsi="Calibri" w:cs="Calibri"/>
          <w:sz w:val="24"/>
          <w:szCs w:val="24"/>
        </w:rPr>
        <w:t>. Esta brecha entre la investigación y la práctica clínica constituye uno de los principales obstáculos para la implementación efectiva de estas tecnologías.</w:t>
      </w:r>
    </w:p>
    <w:p w14:paraId="2A72DE65" w14:textId="77777777" w:rsidR="002F6628" w:rsidRDefault="00303CC7">
      <w:pPr>
        <w:spacing w:before="170" w:after="120"/>
        <w:jc w:val="center"/>
      </w:pPr>
      <w:r>
        <w:rPr>
          <w:rFonts w:ascii="Calibri" w:eastAsia="Calibri" w:hAnsi="Calibri" w:cs="Calibri"/>
          <w:b/>
          <w:bCs/>
          <w:sz w:val="28"/>
          <w:szCs w:val="28"/>
        </w:rPr>
        <w:t>3.5. Brechas Identificadas en el Estado del Arte</w:t>
      </w:r>
    </w:p>
    <w:p w14:paraId="13CA945F" w14:textId="77777777" w:rsidR="002F6628" w:rsidRDefault="00303CC7">
      <w:pPr>
        <w:spacing w:after="120" w:line="232" w:lineRule="auto"/>
        <w:jc w:val="both"/>
      </w:pPr>
      <w:r>
        <w:rPr>
          <w:rFonts w:ascii="Calibri" w:eastAsia="Calibri" w:hAnsi="Calibri" w:cs="Calibri"/>
          <w:sz w:val="24"/>
          <w:szCs w:val="24"/>
        </w:rPr>
        <w:t>A partir de la revisión de la literatura, se identifican tres brechas críticas que motivan la presente investigación.</w:t>
      </w:r>
    </w:p>
    <w:p w14:paraId="5DAAC585" w14:textId="77777777" w:rsidR="002F6628" w:rsidRDefault="00303CC7">
      <w:pPr>
        <w:spacing w:after="120" w:line="232" w:lineRule="auto"/>
        <w:jc w:val="both"/>
      </w:pPr>
      <w:r>
        <w:rPr>
          <w:rFonts w:ascii="Calibri" w:eastAsia="Calibri" w:hAnsi="Calibri" w:cs="Calibri"/>
          <w:b/>
          <w:bCs/>
          <w:sz w:val="24"/>
          <w:szCs w:val="24"/>
        </w:rPr>
        <w:t xml:space="preserve">Brecha 1: </w:t>
      </w:r>
      <w:r>
        <w:rPr>
          <w:rFonts w:ascii="Calibri" w:eastAsia="Calibri" w:hAnsi="Calibri" w:cs="Calibri"/>
          <w:sz w:val="24"/>
          <w:szCs w:val="24"/>
        </w:rPr>
        <w:t>Opacidad algorítmica y falta de validación clínica de XAI. La mayoría de los estudios reportan métricas de rendimiento técnico (precisión, AUC, F1), pero no evalúan el impacto de las explicaciones en la confianza y en la toma de decisiones de los clínicos</w:t>
      </w:r>
      <w:r>
        <w:rPr>
          <w:rFonts w:ascii="Calibri" w:eastAsia="Calibri" w:hAnsi="Calibri" w:cs="Calibri"/>
          <w:sz w:val="24"/>
          <w:szCs w:val="24"/>
          <w:vertAlign w:val="superscript"/>
        </w:rPr>
        <w:t>(9)</w:t>
      </w:r>
      <w:r>
        <w:rPr>
          <w:rFonts w:ascii="Calibri" w:eastAsia="Calibri" w:hAnsi="Calibri" w:cs="Calibri"/>
          <w:sz w:val="24"/>
          <w:szCs w:val="24"/>
        </w:rPr>
        <w:t>,</w:t>
      </w:r>
      <w:r>
        <w:rPr>
          <w:rFonts w:ascii="Calibri" w:eastAsia="Calibri" w:hAnsi="Calibri" w:cs="Calibri"/>
          <w:sz w:val="24"/>
          <w:szCs w:val="24"/>
          <w:vertAlign w:val="superscript"/>
        </w:rPr>
        <w:t>(35)</w:t>
      </w:r>
      <w:r>
        <w:rPr>
          <w:rFonts w:ascii="Calibri" w:eastAsia="Calibri" w:hAnsi="Calibri" w:cs="Calibri"/>
          <w:sz w:val="24"/>
          <w:szCs w:val="24"/>
        </w:rPr>
        <w:t>. La validación de las técnicas XAI en entornos clínicos reales, más allá de estudios de laboratorio, sigue siendo limitada.</w:t>
      </w:r>
    </w:p>
    <w:p w14:paraId="7B686451" w14:textId="77777777" w:rsidR="002F6628" w:rsidRDefault="00303CC7">
      <w:pPr>
        <w:spacing w:after="120" w:line="232" w:lineRule="auto"/>
        <w:jc w:val="both"/>
      </w:pPr>
      <w:r>
        <w:rPr>
          <w:rFonts w:ascii="Calibri" w:eastAsia="Calibri" w:hAnsi="Calibri" w:cs="Calibri"/>
          <w:b/>
          <w:bCs/>
          <w:sz w:val="24"/>
          <w:szCs w:val="24"/>
        </w:rPr>
        <w:t xml:space="preserve">Brecha 2: </w:t>
      </w:r>
      <w:r>
        <w:rPr>
          <w:rFonts w:ascii="Calibri" w:eastAsia="Calibri" w:hAnsi="Calibri" w:cs="Calibri"/>
          <w:sz w:val="24"/>
          <w:szCs w:val="24"/>
        </w:rPr>
        <w:t>Escasez de estudios comparativos sistemáticos. Aunque existen numerosos estudios individuales sobre métodos de ML para CaCu, son pocos los que realizan comparaciones sistemáticas y reproducibles sobre los mismos conjuntos de datos y métricas. Revisiones sistemáticas sobre la calidad de los estudios de tamizaje citológico han evidenciado, además, una variabilidad considerable en el diseño metodológico de los estudios primarios, lo que dificulta la comparabilidad de sus resultados</w:t>
      </w:r>
      <w:r>
        <w:rPr>
          <w:rFonts w:ascii="Calibri" w:eastAsia="Calibri" w:hAnsi="Calibri" w:cs="Calibri"/>
          <w:sz w:val="24"/>
          <w:szCs w:val="24"/>
          <w:vertAlign w:val="superscript"/>
        </w:rPr>
        <w:t>(37)</w:t>
      </w:r>
      <w:r>
        <w:rPr>
          <w:rFonts w:ascii="Calibri" w:eastAsia="Calibri" w:hAnsi="Calibri" w:cs="Calibri"/>
          <w:sz w:val="24"/>
          <w:szCs w:val="24"/>
        </w:rPr>
        <w:t>. Esta falta de estandarización dificulta la selección informada de modelos para aplicaciones específicas.</w:t>
      </w:r>
    </w:p>
    <w:p w14:paraId="6EDD71EE" w14:textId="77777777" w:rsidR="002F6628" w:rsidRDefault="00303CC7">
      <w:pPr>
        <w:spacing w:after="120" w:line="232" w:lineRule="auto"/>
        <w:jc w:val="both"/>
      </w:pPr>
      <w:r>
        <w:rPr>
          <w:rFonts w:ascii="Calibri" w:eastAsia="Calibri" w:hAnsi="Calibri" w:cs="Calibri"/>
          <w:b/>
          <w:bCs/>
          <w:sz w:val="24"/>
          <w:szCs w:val="24"/>
        </w:rPr>
        <w:t xml:space="preserve">Brecha 3: </w:t>
      </w:r>
      <w:r>
        <w:rPr>
          <w:rFonts w:ascii="Calibri" w:eastAsia="Calibri" w:hAnsi="Calibri" w:cs="Calibri"/>
          <w:sz w:val="24"/>
          <w:szCs w:val="24"/>
        </w:rPr>
        <w:t>Limitada consideración de la resiliencia operativa. La mayoría de los estudios se centran en el rendimiento en condiciones ideales de laboratorio, sin considerar la degradación del rendimiento ante variabilidad de datos (domain shift)</w:t>
      </w:r>
      <w:r>
        <w:rPr>
          <w:rFonts w:ascii="Calibri" w:eastAsia="Calibri" w:hAnsi="Calibri" w:cs="Calibri"/>
          <w:sz w:val="24"/>
          <w:szCs w:val="24"/>
          <w:vertAlign w:val="superscript"/>
        </w:rPr>
        <w:t>(10)</w:t>
      </w:r>
      <w:r>
        <w:rPr>
          <w:rFonts w:ascii="Calibri" w:eastAsia="Calibri" w:hAnsi="Calibri" w:cs="Calibri"/>
          <w:sz w:val="24"/>
          <w:szCs w:val="24"/>
        </w:rPr>
        <w:t>, fallos de conectividad o restricciones computacionales típicas de entornos de salud pública en regiones con recursos limitados, donde enfoques como el aprendizaje federado podrían ofrecer alternativas aún no exploradas específicamente para CaCu</w:t>
      </w:r>
      <w:r>
        <w:rPr>
          <w:rFonts w:ascii="Calibri" w:eastAsia="Calibri" w:hAnsi="Calibri" w:cs="Calibri"/>
          <w:sz w:val="24"/>
          <w:szCs w:val="24"/>
          <w:vertAlign w:val="superscript"/>
        </w:rPr>
        <w:t>(11)</w:t>
      </w:r>
      <w:r>
        <w:rPr>
          <w:rFonts w:ascii="Calibri" w:eastAsia="Calibri" w:hAnsi="Calibri" w:cs="Calibri"/>
          <w:sz w:val="24"/>
          <w:szCs w:val="24"/>
        </w:rPr>
        <w:t>.</w:t>
      </w:r>
    </w:p>
    <w:p w14:paraId="4068B710" w14:textId="77777777" w:rsidR="002F6628" w:rsidRDefault="00303CC7">
      <w:pPr>
        <w:spacing w:before="220" w:after="150"/>
        <w:jc w:val="center"/>
      </w:pPr>
      <w:r>
        <w:rPr>
          <w:rFonts w:ascii="Calibri" w:eastAsia="Calibri" w:hAnsi="Calibri" w:cs="Calibri"/>
          <w:b/>
          <w:bCs/>
          <w:sz w:val="32"/>
          <w:szCs w:val="32"/>
        </w:rPr>
        <w:lastRenderedPageBreak/>
        <w:t>METODOLOGÍA</w:t>
      </w:r>
    </w:p>
    <w:p w14:paraId="0C43C78B" w14:textId="77777777" w:rsidR="002F6628" w:rsidRDefault="00303CC7">
      <w:pPr>
        <w:spacing w:before="170" w:after="120"/>
        <w:jc w:val="center"/>
      </w:pPr>
      <w:r>
        <w:rPr>
          <w:rFonts w:ascii="Calibri" w:eastAsia="Calibri" w:hAnsi="Calibri" w:cs="Calibri"/>
          <w:b/>
          <w:bCs/>
          <w:sz w:val="28"/>
          <w:szCs w:val="28"/>
        </w:rPr>
        <w:t>4.1. Conjuntos de Datos Públicos para el Análisis Comparativo</w:t>
      </w:r>
    </w:p>
    <w:p w14:paraId="1F4AD419" w14:textId="77777777" w:rsidR="002F6628" w:rsidRDefault="00303CC7">
      <w:pPr>
        <w:spacing w:after="120" w:line="232" w:lineRule="auto"/>
        <w:jc w:val="both"/>
      </w:pPr>
      <w:r>
        <w:rPr>
          <w:rFonts w:ascii="Calibri" w:eastAsia="Calibri" w:hAnsi="Calibri" w:cs="Calibri"/>
          <w:sz w:val="24"/>
          <w:szCs w:val="24"/>
        </w:rPr>
        <w:t>Para el análisis comparativo propuesto, se seleccionan cuatro conjuntos de datos públicos ampliamente utilizados en la literatura descrita en la Sección 3, que cubren tanto datos tabulares como imágenes (Tabla 1).</w:t>
      </w:r>
    </w:p>
    <w:p w14:paraId="14B78A31" w14:textId="77777777" w:rsidR="002F6628" w:rsidRDefault="00303CC7">
      <w:pPr>
        <w:spacing w:before="80" w:after="140"/>
        <w:jc w:val="center"/>
      </w:pPr>
      <w:r>
        <w:rPr>
          <w:rFonts w:ascii="Calibri" w:eastAsia="Calibri" w:hAnsi="Calibri" w:cs="Calibri"/>
          <w:b/>
          <w:bCs/>
          <w:sz w:val="22"/>
          <w:szCs w:val="22"/>
        </w:rPr>
        <w:t>Tabla 1. Conjuntos de datos públicos para el análisis comparativo.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900"/>
        <w:gridCol w:w="2700"/>
        <w:gridCol w:w="2960"/>
        <w:gridCol w:w="1000"/>
      </w:tblGrid>
      <w:tr w:rsidR="002F6628" w14:paraId="459974AE" w14:textId="77777777">
        <w:trPr>
          <w:tblHeader/>
        </w:trPr>
        <w:tc>
          <w:tcPr>
            <w:tcW w:w="1800" w:type="dxa"/>
            <w:shd w:val="clear" w:color="auto" w:fill="D9D9D9"/>
            <w:tcMar>
              <w:top w:w="60" w:type="dxa"/>
              <w:left w:w="80" w:type="dxa"/>
              <w:bottom w:w="60" w:type="dxa"/>
              <w:right w:w="80" w:type="dxa"/>
            </w:tcMar>
            <w:vAlign w:val="center"/>
          </w:tcPr>
          <w:p w14:paraId="603D3BBC" w14:textId="77777777" w:rsidR="002F6628" w:rsidRDefault="00303CC7">
            <w:pPr>
              <w:jc w:val="center"/>
            </w:pPr>
            <w:r>
              <w:rPr>
                <w:rFonts w:ascii="Calibri" w:eastAsia="Calibri" w:hAnsi="Calibri" w:cs="Calibri"/>
                <w:b/>
                <w:bCs/>
                <w:sz w:val="18"/>
                <w:szCs w:val="18"/>
              </w:rPr>
              <w:t>Dataset</w:t>
            </w:r>
          </w:p>
        </w:tc>
        <w:tc>
          <w:tcPr>
            <w:tcW w:w="900" w:type="dxa"/>
            <w:shd w:val="clear" w:color="auto" w:fill="D9D9D9"/>
            <w:tcMar>
              <w:top w:w="60" w:type="dxa"/>
              <w:left w:w="80" w:type="dxa"/>
              <w:bottom w:w="60" w:type="dxa"/>
              <w:right w:w="80" w:type="dxa"/>
            </w:tcMar>
            <w:vAlign w:val="center"/>
          </w:tcPr>
          <w:p w14:paraId="28299582" w14:textId="77777777" w:rsidR="002F6628" w:rsidRDefault="00303CC7">
            <w:pPr>
              <w:jc w:val="center"/>
            </w:pPr>
            <w:r>
              <w:rPr>
                <w:rFonts w:ascii="Calibri" w:eastAsia="Calibri" w:hAnsi="Calibri" w:cs="Calibri"/>
                <w:b/>
                <w:bCs/>
                <w:sz w:val="18"/>
                <w:szCs w:val="18"/>
              </w:rPr>
              <w:t>Tipo</w:t>
            </w:r>
          </w:p>
        </w:tc>
        <w:tc>
          <w:tcPr>
            <w:tcW w:w="2700" w:type="dxa"/>
            <w:shd w:val="clear" w:color="auto" w:fill="D9D9D9"/>
            <w:tcMar>
              <w:top w:w="60" w:type="dxa"/>
              <w:left w:w="80" w:type="dxa"/>
              <w:bottom w:w="60" w:type="dxa"/>
              <w:right w:w="80" w:type="dxa"/>
            </w:tcMar>
            <w:vAlign w:val="center"/>
          </w:tcPr>
          <w:p w14:paraId="5E595984" w14:textId="77777777" w:rsidR="002F6628" w:rsidRDefault="00303CC7">
            <w:pPr>
              <w:jc w:val="center"/>
            </w:pPr>
            <w:r>
              <w:rPr>
                <w:rFonts w:ascii="Calibri" w:eastAsia="Calibri" w:hAnsi="Calibri" w:cs="Calibri"/>
                <w:b/>
                <w:bCs/>
                <w:sz w:val="18"/>
                <w:szCs w:val="18"/>
              </w:rPr>
              <w:t>Tamaño / Clases</w:t>
            </w:r>
          </w:p>
        </w:tc>
        <w:tc>
          <w:tcPr>
            <w:tcW w:w="2960" w:type="dxa"/>
            <w:shd w:val="clear" w:color="auto" w:fill="D9D9D9"/>
            <w:tcMar>
              <w:top w:w="60" w:type="dxa"/>
              <w:left w:w="80" w:type="dxa"/>
              <w:bottom w:w="60" w:type="dxa"/>
              <w:right w:w="80" w:type="dxa"/>
            </w:tcMar>
            <w:vAlign w:val="center"/>
          </w:tcPr>
          <w:p w14:paraId="24CC0D1F" w14:textId="77777777" w:rsidR="002F6628" w:rsidRDefault="00303CC7">
            <w:pPr>
              <w:jc w:val="center"/>
            </w:pPr>
            <w:r>
              <w:rPr>
                <w:rFonts w:ascii="Calibri" w:eastAsia="Calibri" w:hAnsi="Calibri" w:cs="Calibri"/>
                <w:b/>
                <w:bCs/>
                <w:sz w:val="18"/>
                <w:szCs w:val="18"/>
              </w:rPr>
              <w:t>Descripción</w:t>
            </w:r>
          </w:p>
        </w:tc>
        <w:tc>
          <w:tcPr>
            <w:tcW w:w="1000" w:type="dxa"/>
            <w:shd w:val="clear" w:color="auto" w:fill="D9D9D9"/>
            <w:tcMar>
              <w:top w:w="60" w:type="dxa"/>
              <w:left w:w="80" w:type="dxa"/>
              <w:bottom w:w="60" w:type="dxa"/>
              <w:right w:w="80" w:type="dxa"/>
            </w:tcMar>
            <w:vAlign w:val="center"/>
          </w:tcPr>
          <w:p w14:paraId="432034E1" w14:textId="77777777" w:rsidR="002F6628" w:rsidRDefault="00303CC7">
            <w:pPr>
              <w:jc w:val="center"/>
            </w:pPr>
            <w:r>
              <w:rPr>
                <w:rFonts w:ascii="Calibri" w:eastAsia="Calibri" w:hAnsi="Calibri" w:cs="Calibri"/>
                <w:b/>
                <w:bCs/>
                <w:sz w:val="18"/>
                <w:szCs w:val="18"/>
              </w:rPr>
              <w:t>Acceso</w:t>
            </w:r>
          </w:p>
        </w:tc>
      </w:tr>
      <w:tr w:rsidR="002F6628" w14:paraId="6842C1D8" w14:textId="77777777">
        <w:tc>
          <w:tcPr>
            <w:tcW w:w="1800" w:type="dxa"/>
            <w:tcMar>
              <w:top w:w="50" w:type="dxa"/>
              <w:left w:w="80" w:type="dxa"/>
              <w:bottom w:w="50" w:type="dxa"/>
              <w:right w:w="80" w:type="dxa"/>
            </w:tcMar>
            <w:vAlign w:val="center"/>
          </w:tcPr>
          <w:p w14:paraId="2B1E01FE" w14:textId="77777777" w:rsidR="002F6628" w:rsidRDefault="00303CC7">
            <w:r>
              <w:rPr>
                <w:rFonts w:ascii="Calibri" w:eastAsia="Calibri" w:hAnsi="Calibri" w:cs="Calibri"/>
                <w:sz w:val="18"/>
                <w:szCs w:val="18"/>
              </w:rPr>
              <w:t>UCI Cervical Cancer Risk Factors</w:t>
            </w:r>
          </w:p>
        </w:tc>
        <w:tc>
          <w:tcPr>
            <w:tcW w:w="900" w:type="dxa"/>
            <w:tcMar>
              <w:top w:w="50" w:type="dxa"/>
              <w:left w:w="80" w:type="dxa"/>
              <w:bottom w:w="50" w:type="dxa"/>
              <w:right w:w="80" w:type="dxa"/>
            </w:tcMar>
            <w:vAlign w:val="center"/>
          </w:tcPr>
          <w:p w14:paraId="393F2B64" w14:textId="77777777" w:rsidR="002F6628" w:rsidRDefault="00303CC7">
            <w:r>
              <w:rPr>
                <w:rFonts w:ascii="Calibri" w:eastAsia="Calibri" w:hAnsi="Calibri" w:cs="Calibri"/>
                <w:sz w:val="18"/>
                <w:szCs w:val="18"/>
              </w:rPr>
              <w:t>Tabular</w:t>
            </w:r>
          </w:p>
        </w:tc>
        <w:tc>
          <w:tcPr>
            <w:tcW w:w="2700" w:type="dxa"/>
            <w:tcMar>
              <w:top w:w="50" w:type="dxa"/>
              <w:left w:w="80" w:type="dxa"/>
              <w:bottom w:w="50" w:type="dxa"/>
              <w:right w:w="80" w:type="dxa"/>
            </w:tcMar>
            <w:vAlign w:val="center"/>
          </w:tcPr>
          <w:p w14:paraId="4770650F" w14:textId="77777777" w:rsidR="002F6628" w:rsidRDefault="00303CC7">
            <w:r>
              <w:rPr>
                <w:rFonts w:ascii="Calibri" w:eastAsia="Calibri" w:hAnsi="Calibri" w:cs="Calibri"/>
                <w:sz w:val="18"/>
                <w:szCs w:val="18"/>
              </w:rPr>
              <w:t>858 registros, 36 atributos; 2 clases (CaCu / No CaCu)</w:t>
            </w:r>
          </w:p>
        </w:tc>
        <w:tc>
          <w:tcPr>
            <w:tcW w:w="2960" w:type="dxa"/>
            <w:tcMar>
              <w:top w:w="50" w:type="dxa"/>
              <w:left w:w="80" w:type="dxa"/>
              <w:bottom w:w="50" w:type="dxa"/>
              <w:right w:w="80" w:type="dxa"/>
            </w:tcMar>
            <w:vAlign w:val="center"/>
          </w:tcPr>
          <w:p w14:paraId="3DE1C019" w14:textId="77777777" w:rsidR="002F6628" w:rsidRDefault="00303CC7">
            <w:r>
              <w:rPr>
                <w:rFonts w:ascii="Calibri" w:eastAsia="Calibri" w:hAnsi="Calibri" w:cs="Calibri"/>
                <w:sz w:val="18"/>
                <w:szCs w:val="18"/>
              </w:rPr>
              <w:t>Datos demográficos, conductuales y clínicos de pacientes del Hospital Universitario de Caracas (26)</w:t>
            </w:r>
          </w:p>
        </w:tc>
        <w:tc>
          <w:tcPr>
            <w:tcW w:w="1000" w:type="dxa"/>
            <w:tcMar>
              <w:top w:w="50" w:type="dxa"/>
              <w:left w:w="80" w:type="dxa"/>
              <w:bottom w:w="50" w:type="dxa"/>
              <w:right w:w="80" w:type="dxa"/>
            </w:tcMar>
            <w:vAlign w:val="center"/>
          </w:tcPr>
          <w:p w14:paraId="18935C25" w14:textId="77777777" w:rsidR="002F6628" w:rsidRDefault="00303CC7">
            <w:r>
              <w:rPr>
                <w:rFonts w:ascii="Calibri" w:eastAsia="Calibri" w:hAnsi="Calibri" w:cs="Calibri"/>
                <w:sz w:val="18"/>
                <w:szCs w:val="18"/>
              </w:rPr>
              <w:t>UCI ML Repository</w:t>
            </w:r>
          </w:p>
        </w:tc>
      </w:tr>
      <w:tr w:rsidR="002F6628" w14:paraId="34195876" w14:textId="77777777">
        <w:tc>
          <w:tcPr>
            <w:tcW w:w="1800" w:type="dxa"/>
            <w:tcMar>
              <w:top w:w="50" w:type="dxa"/>
              <w:left w:w="80" w:type="dxa"/>
              <w:bottom w:w="50" w:type="dxa"/>
              <w:right w:w="80" w:type="dxa"/>
            </w:tcMar>
            <w:vAlign w:val="center"/>
          </w:tcPr>
          <w:p w14:paraId="64136378" w14:textId="77777777" w:rsidR="002F6628" w:rsidRDefault="00303CC7">
            <w:r>
              <w:rPr>
                <w:rFonts w:ascii="Calibri" w:eastAsia="Calibri" w:hAnsi="Calibri" w:cs="Calibri"/>
                <w:sz w:val="18"/>
                <w:szCs w:val="18"/>
              </w:rPr>
              <w:t>Herlev</w:t>
            </w:r>
          </w:p>
        </w:tc>
        <w:tc>
          <w:tcPr>
            <w:tcW w:w="900" w:type="dxa"/>
            <w:tcMar>
              <w:top w:w="50" w:type="dxa"/>
              <w:left w:w="80" w:type="dxa"/>
              <w:bottom w:w="50" w:type="dxa"/>
              <w:right w:w="80" w:type="dxa"/>
            </w:tcMar>
            <w:vAlign w:val="center"/>
          </w:tcPr>
          <w:p w14:paraId="56DBD0ED" w14:textId="77777777" w:rsidR="002F6628" w:rsidRDefault="00303CC7">
            <w:r>
              <w:rPr>
                <w:rFonts w:ascii="Calibri" w:eastAsia="Calibri" w:hAnsi="Calibri" w:cs="Calibri"/>
                <w:sz w:val="18"/>
                <w:szCs w:val="18"/>
              </w:rPr>
              <w:t>Imágenes</w:t>
            </w:r>
          </w:p>
        </w:tc>
        <w:tc>
          <w:tcPr>
            <w:tcW w:w="2700" w:type="dxa"/>
            <w:tcMar>
              <w:top w:w="50" w:type="dxa"/>
              <w:left w:w="80" w:type="dxa"/>
              <w:bottom w:w="50" w:type="dxa"/>
              <w:right w:w="80" w:type="dxa"/>
            </w:tcMar>
            <w:vAlign w:val="center"/>
          </w:tcPr>
          <w:p w14:paraId="49EB083C" w14:textId="77777777" w:rsidR="002F6628" w:rsidRDefault="00303CC7">
            <w:r>
              <w:rPr>
                <w:rFonts w:ascii="Calibri" w:eastAsia="Calibri" w:hAnsi="Calibri" w:cs="Calibri"/>
                <w:sz w:val="18"/>
                <w:szCs w:val="18"/>
              </w:rPr>
              <w:t>917 imágenes de células aisladas; 7 categorías</w:t>
            </w:r>
          </w:p>
        </w:tc>
        <w:tc>
          <w:tcPr>
            <w:tcW w:w="2960" w:type="dxa"/>
            <w:tcMar>
              <w:top w:w="50" w:type="dxa"/>
              <w:left w:w="80" w:type="dxa"/>
              <w:bottom w:w="50" w:type="dxa"/>
              <w:right w:w="80" w:type="dxa"/>
            </w:tcMar>
            <w:vAlign w:val="center"/>
          </w:tcPr>
          <w:p w14:paraId="58A7D477" w14:textId="77777777" w:rsidR="002F6628" w:rsidRDefault="00303CC7">
            <w:r>
              <w:rPr>
                <w:rFonts w:ascii="Calibri" w:eastAsia="Calibri" w:hAnsi="Calibri" w:cs="Calibri"/>
                <w:sz w:val="18"/>
                <w:szCs w:val="18"/>
              </w:rPr>
              <w:t>Imágenes de frotis de Pap con anotaciones para diferentes etapas de lesiones preneoplásicas</w:t>
            </w:r>
          </w:p>
        </w:tc>
        <w:tc>
          <w:tcPr>
            <w:tcW w:w="1000" w:type="dxa"/>
            <w:tcMar>
              <w:top w:w="50" w:type="dxa"/>
              <w:left w:w="80" w:type="dxa"/>
              <w:bottom w:w="50" w:type="dxa"/>
              <w:right w:w="80" w:type="dxa"/>
            </w:tcMar>
            <w:vAlign w:val="center"/>
          </w:tcPr>
          <w:p w14:paraId="398EBDEF" w14:textId="77777777" w:rsidR="002F6628" w:rsidRDefault="00303CC7">
            <w:r>
              <w:rPr>
                <w:rFonts w:ascii="Calibri" w:eastAsia="Calibri" w:hAnsi="Calibri" w:cs="Calibri"/>
                <w:sz w:val="18"/>
                <w:szCs w:val="18"/>
              </w:rPr>
              <w:t>MDE-Lab</w:t>
            </w:r>
          </w:p>
        </w:tc>
      </w:tr>
      <w:tr w:rsidR="002F6628" w14:paraId="0AC85DBC" w14:textId="77777777">
        <w:tc>
          <w:tcPr>
            <w:tcW w:w="1800" w:type="dxa"/>
            <w:tcMar>
              <w:top w:w="50" w:type="dxa"/>
              <w:left w:w="80" w:type="dxa"/>
              <w:bottom w:w="50" w:type="dxa"/>
              <w:right w:w="80" w:type="dxa"/>
            </w:tcMar>
            <w:vAlign w:val="center"/>
          </w:tcPr>
          <w:p w14:paraId="4B636A27" w14:textId="77777777" w:rsidR="002F6628" w:rsidRDefault="00303CC7">
            <w:r>
              <w:rPr>
                <w:rFonts w:ascii="Calibri" w:eastAsia="Calibri" w:hAnsi="Calibri" w:cs="Calibri"/>
                <w:sz w:val="18"/>
                <w:szCs w:val="18"/>
              </w:rPr>
              <w:t>SIPaKMeD</w:t>
            </w:r>
          </w:p>
        </w:tc>
        <w:tc>
          <w:tcPr>
            <w:tcW w:w="900" w:type="dxa"/>
            <w:tcMar>
              <w:top w:w="50" w:type="dxa"/>
              <w:left w:w="80" w:type="dxa"/>
              <w:bottom w:w="50" w:type="dxa"/>
              <w:right w:w="80" w:type="dxa"/>
            </w:tcMar>
            <w:vAlign w:val="center"/>
          </w:tcPr>
          <w:p w14:paraId="3FEC385A" w14:textId="77777777" w:rsidR="002F6628" w:rsidRDefault="00303CC7">
            <w:r>
              <w:rPr>
                <w:rFonts w:ascii="Calibri" w:eastAsia="Calibri" w:hAnsi="Calibri" w:cs="Calibri"/>
                <w:sz w:val="18"/>
                <w:szCs w:val="18"/>
              </w:rPr>
              <w:t>Imágenes</w:t>
            </w:r>
          </w:p>
        </w:tc>
        <w:tc>
          <w:tcPr>
            <w:tcW w:w="2700" w:type="dxa"/>
            <w:tcMar>
              <w:top w:w="50" w:type="dxa"/>
              <w:left w:w="80" w:type="dxa"/>
              <w:bottom w:w="50" w:type="dxa"/>
              <w:right w:w="80" w:type="dxa"/>
            </w:tcMar>
            <w:vAlign w:val="center"/>
          </w:tcPr>
          <w:p w14:paraId="643ABAE5" w14:textId="77777777" w:rsidR="002F6628" w:rsidRDefault="00303CC7">
            <w:r>
              <w:rPr>
                <w:rFonts w:ascii="Calibri" w:eastAsia="Calibri" w:hAnsi="Calibri" w:cs="Calibri"/>
                <w:sz w:val="18"/>
                <w:szCs w:val="18"/>
              </w:rPr>
              <w:t>966 parches, 4.049 células; 5 categorías</w:t>
            </w:r>
          </w:p>
        </w:tc>
        <w:tc>
          <w:tcPr>
            <w:tcW w:w="2960" w:type="dxa"/>
            <w:tcMar>
              <w:top w:w="50" w:type="dxa"/>
              <w:left w:w="80" w:type="dxa"/>
              <w:bottom w:w="50" w:type="dxa"/>
              <w:right w:w="80" w:type="dxa"/>
            </w:tcMar>
            <w:vAlign w:val="center"/>
          </w:tcPr>
          <w:p w14:paraId="3C20DA1A" w14:textId="77777777" w:rsidR="002F6628" w:rsidRDefault="00303CC7">
            <w:r>
              <w:rPr>
                <w:rFonts w:ascii="Calibri" w:eastAsia="Calibri" w:hAnsi="Calibri" w:cs="Calibri"/>
                <w:sz w:val="18"/>
                <w:szCs w:val="18"/>
              </w:rPr>
              <w:t>Imágenes de células cervicales con anotaciones de segmentación</w:t>
            </w:r>
          </w:p>
        </w:tc>
        <w:tc>
          <w:tcPr>
            <w:tcW w:w="1000" w:type="dxa"/>
            <w:tcMar>
              <w:top w:w="50" w:type="dxa"/>
              <w:left w:w="80" w:type="dxa"/>
              <w:bottom w:w="50" w:type="dxa"/>
              <w:right w:w="80" w:type="dxa"/>
            </w:tcMar>
            <w:vAlign w:val="center"/>
          </w:tcPr>
          <w:p w14:paraId="535BFB66" w14:textId="77777777" w:rsidR="002F6628" w:rsidRDefault="00303CC7">
            <w:r>
              <w:rPr>
                <w:rFonts w:ascii="Calibri" w:eastAsia="Calibri" w:hAnsi="Calibri" w:cs="Calibri"/>
                <w:sz w:val="18"/>
                <w:szCs w:val="18"/>
              </w:rPr>
              <w:t>Público</w:t>
            </w:r>
          </w:p>
        </w:tc>
      </w:tr>
      <w:tr w:rsidR="002F6628" w14:paraId="7AB4B003" w14:textId="77777777">
        <w:tc>
          <w:tcPr>
            <w:tcW w:w="1800" w:type="dxa"/>
            <w:tcMar>
              <w:top w:w="50" w:type="dxa"/>
              <w:left w:w="80" w:type="dxa"/>
              <w:bottom w:w="50" w:type="dxa"/>
              <w:right w:w="80" w:type="dxa"/>
            </w:tcMar>
            <w:vAlign w:val="center"/>
          </w:tcPr>
          <w:p w14:paraId="43C0BB6E" w14:textId="77777777" w:rsidR="002F6628" w:rsidRDefault="00303CC7">
            <w:r>
              <w:rPr>
                <w:rFonts w:ascii="Calibri" w:eastAsia="Calibri" w:hAnsi="Calibri" w:cs="Calibri"/>
                <w:sz w:val="18"/>
                <w:szCs w:val="18"/>
              </w:rPr>
              <w:t>RIVA</w:t>
            </w:r>
          </w:p>
        </w:tc>
        <w:tc>
          <w:tcPr>
            <w:tcW w:w="900" w:type="dxa"/>
            <w:tcMar>
              <w:top w:w="50" w:type="dxa"/>
              <w:left w:w="80" w:type="dxa"/>
              <w:bottom w:w="50" w:type="dxa"/>
              <w:right w:w="80" w:type="dxa"/>
            </w:tcMar>
            <w:vAlign w:val="center"/>
          </w:tcPr>
          <w:p w14:paraId="53E34566" w14:textId="77777777" w:rsidR="002F6628" w:rsidRDefault="00303CC7">
            <w:r>
              <w:rPr>
                <w:rFonts w:ascii="Calibri" w:eastAsia="Calibri" w:hAnsi="Calibri" w:cs="Calibri"/>
                <w:sz w:val="18"/>
                <w:szCs w:val="18"/>
              </w:rPr>
              <w:t>Imágenes</w:t>
            </w:r>
          </w:p>
        </w:tc>
        <w:tc>
          <w:tcPr>
            <w:tcW w:w="2700" w:type="dxa"/>
            <w:tcMar>
              <w:top w:w="50" w:type="dxa"/>
              <w:left w:w="80" w:type="dxa"/>
              <w:bottom w:w="50" w:type="dxa"/>
              <w:right w:w="80" w:type="dxa"/>
            </w:tcMar>
            <w:vAlign w:val="center"/>
          </w:tcPr>
          <w:p w14:paraId="50EA3D1C" w14:textId="77777777" w:rsidR="002F6628" w:rsidRDefault="00303CC7">
            <w:r>
              <w:rPr>
                <w:rFonts w:ascii="Calibri" w:eastAsia="Calibri" w:hAnsi="Calibri" w:cs="Calibri"/>
                <w:sz w:val="18"/>
                <w:szCs w:val="18"/>
              </w:rPr>
              <w:t>959 imágenes (1024×1024 px); 8 categorías (Bethesda)</w:t>
            </w:r>
          </w:p>
        </w:tc>
        <w:tc>
          <w:tcPr>
            <w:tcW w:w="2960" w:type="dxa"/>
            <w:tcMar>
              <w:top w:w="50" w:type="dxa"/>
              <w:left w:w="80" w:type="dxa"/>
              <w:bottom w:w="50" w:type="dxa"/>
              <w:right w:w="80" w:type="dxa"/>
            </w:tcMar>
            <w:vAlign w:val="center"/>
          </w:tcPr>
          <w:p w14:paraId="453739F5" w14:textId="77777777" w:rsidR="002F6628" w:rsidRDefault="00303CC7">
            <w:r>
              <w:rPr>
                <w:rFonts w:ascii="Calibri" w:eastAsia="Calibri" w:hAnsi="Calibri" w:cs="Calibri"/>
                <w:sz w:val="18"/>
                <w:szCs w:val="18"/>
              </w:rPr>
              <w:t>Frotis convencional con anotaciones de hasta 4 expertos; 26.158 anotaciones (30)</w:t>
            </w:r>
          </w:p>
        </w:tc>
        <w:tc>
          <w:tcPr>
            <w:tcW w:w="1000" w:type="dxa"/>
            <w:tcMar>
              <w:top w:w="50" w:type="dxa"/>
              <w:left w:w="80" w:type="dxa"/>
              <w:bottom w:w="50" w:type="dxa"/>
              <w:right w:w="80" w:type="dxa"/>
            </w:tcMar>
            <w:vAlign w:val="center"/>
          </w:tcPr>
          <w:p w14:paraId="72B73D39" w14:textId="77777777" w:rsidR="002F6628" w:rsidRDefault="00303CC7">
            <w:r>
              <w:rPr>
                <w:rFonts w:ascii="Calibri" w:eastAsia="Calibri" w:hAnsi="Calibri" w:cs="Calibri"/>
                <w:sz w:val="18"/>
                <w:szCs w:val="18"/>
              </w:rPr>
              <w:t>Nature Scientific Data</w:t>
            </w:r>
          </w:p>
        </w:tc>
      </w:tr>
    </w:tbl>
    <w:p w14:paraId="00D14A1F" w14:textId="77777777" w:rsidR="002F6628" w:rsidRDefault="00303CC7">
      <w:pPr>
        <w:spacing w:after="120" w:line="232" w:lineRule="auto"/>
        <w:jc w:val="both"/>
      </w:pPr>
      <w:r>
        <w:rPr>
          <w:rFonts w:ascii="Calibri" w:eastAsia="Calibri" w:hAnsi="Calibri" w:cs="Calibri"/>
          <w:sz w:val="24"/>
          <w:szCs w:val="24"/>
        </w:rPr>
        <w:t>Adicionalmente, conjuntos más recientes como BiCervi</w:t>
      </w:r>
      <w:r>
        <w:rPr>
          <w:rFonts w:ascii="Calibri" w:eastAsia="Calibri" w:hAnsi="Calibri" w:cs="Calibri"/>
          <w:sz w:val="24"/>
          <w:szCs w:val="24"/>
          <w:vertAlign w:val="superscript"/>
        </w:rPr>
        <w:t>(29)</w:t>
      </w:r>
      <w:r>
        <w:rPr>
          <w:rFonts w:ascii="Calibri" w:eastAsia="Calibri" w:hAnsi="Calibri" w:cs="Calibri"/>
          <w:sz w:val="24"/>
          <w:szCs w:val="24"/>
        </w:rPr>
        <w:t xml:space="preserve"> y los repositorios de imágenes histopatológicas de láminas completas</w:t>
      </w:r>
      <w:r>
        <w:rPr>
          <w:rFonts w:ascii="Calibri" w:eastAsia="Calibri" w:hAnsi="Calibri" w:cs="Calibri"/>
          <w:sz w:val="24"/>
          <w:szCs w:val="24"/>
          <w:vertAlign w:val="superscript"/>
        </w:rPr>
        <w:t>(28)</w:t>
      </w:r>
      <w:r>
        <w:rPr>
          <w:rFonts w:ascii="Calibri" w:eastAsia="Calibri" w:hAnsi="Calibri" w:cs="Calibri"/>
          <w:sz w:val="24"/>
          <w:szCs w:val="24"/>
        </w:rPr>
        <w:t xml:space="preserve"> se consideran como fuentes de validación complementaria para evaluar la generalización de los modelos entrenados.</w:t>
      </w:r>
    </w:p>
    <w:p w14:paraId="78153171" w14:textId="77777777" w:rsidR="002F6628" w:rsidRDefault="00303CC7">
      <w:pPr>
        <w:spacing w:before="170" w:after="120"/>
        <w:jc w:val="center"/>
      </w:pPr>
      <w:r>
        <w:rPr>
          <w:rFonts w:ascii="Calibri" w:eastAsia="Calibri" w:hAnsi="Calibri" w:cs="Calibri"/>
          <w:b/>
          <w:bCs/>
          <w:sz w:val="28"/>
          <w:szCs w:val="28"/>
        </w:rPr>
        <w:t>4.2. Algoritmos de Machine Learning para la Comparación</w:t>
      </w:r>
    </w:p>
    <w:p w14:paraId="6016C65E" w14:textId="77777777" w:rsidR="002F6628" w:rsidRDefault="00303CC7">
      <w:pPr>
        <w:spacing w:after="120" w:line="232" w:lineRule="auto"/>
        <w:jc w:val="both"/>
      </w:pPr>
      <w:r>
        <w:rPr>
          <w:rFonts w:ascii="Calibri" w:eastAsia="Calibri" w:hAnsi="Calibri" w:cs="Calibri"/>
          <w:sz w:val="24"/>
          <w:szCs w:val="24"/>
        </w:rPr>
        <w:t>Se seleccionan seis algoritmos representativos de diferentes familias de ML, cubriendo tanto métodos intrínsecamente interpretables como métodos de caja negra, de acuerdo con los fundamentos presentados en la Sección 2.2:</w:t>
      </w:r>
    </w:p>
    <w:p w14:paraId="64C4F55D" w14:textId="77777777" w:rsidR="002F6628" w:rsidRDefault="00303CC7">
      <w:pPr>
        <w:spacing w:after="120" w:line="232" w:lineRule="auto"/>
        <w:ind w:left="260"/>
        <w:jc w:val="both"/>
      </w:pPr>
      <w:r>
        <w:rPr>
          <w:rFonts w:ascii="Calibri" w:eastAsia="Calibri" w:hAnsi="Calibri" w:cs="Calibri"/>
          <w:sz w:val="24"/>
          <w:szCs w:val="24"/>
        </w:rPr>
        <w:t>a) Regresión Logística (RL): modelo lineal interpretable, ampliamente utilizado como referencia basal.</w:t>
      </w:r>
    </w:p>
    <w:p w14:paraId="7305DC3B" w14:textId="77777777" w:rsidR="002F6628" w:rsidRDefault="00303CC7">
      <w:pPr>
        <w:spacing w:after="120" w:line="232" w:lineRule="auto"/>
        <w:ind w:left="260"/>
        <w:jc w:val="both"/>
      </w:pPr>
      <w:r>
        <w:rPr>
          <w:rFonts w:ascii="Calibri" w:eastAsia="Calibri" w:hAnsi="Calibri" w:cs="Calibri"/>
          <w:sz w:val="24"/>
          <w:szCs w:val="24"/>
        </w:rPr>
        <w:t>b) Support Vector Machine (SVM)</w:t>
      </w:r>
      <w:r>
        <w:rPr>
          <w:rFonts w:ascii="Calibri" w:eastAsia="Calibri" w:hAnsi="Calibri" w:cs="Calibri"/>
          <w:sz w:val="24"/>
          <w:szCs w:val="24"/>
          <w:vertAlign w:val="superscript"/>
        </w:rPr>
        <w:t>(14)</w:t>
      </w:r>
      <w:r>
        <w:rPr>
          <w:rFonts w:ascii="Calibri" w:eastAsia="Calibri" w:hAnsi="Calibri" w:cs="Calibri"/>
          <w:sz w:val="24"/>
          <w:szCs w:val="24"/>
        </w:rPr>
        <w:t>: método de kernel que encuentra hiperplanos de separación óptimos.</w:t>
      </w:r>
    </w:p>
    <w:p w14:paraId="42DEAF68" w14:textId="77777777" w:rsidR="002F6628" w:rsidRDefault="00303CC7">
      <w:pPr>
        <w:spacing w:after="120" w:line="232" w:lineRule="auto"/>
        <w:ind w:left="260"/>
        <w:jc w:val="both"/>
      </w:pPr>
      <w:r>
        <w:rPr>
          <w:rFonts w:ascii="Calibri" w:eastAsia="Calibri" w:hAnsi="Calibri" w:cs="Calibri"/>
          <w:sz w:val="24"/>
          <w:szCs w:val="24"/>
        </w:rPr>
        <w:t>c) Decision Tree (DT): modelo basado en árboles, intrínsecamente interpretable.</w:t>
      </w:r>
    </w:p>
    <w:p w14:paraId="73FBF8E0" w14:textId="77777777" w:rsidR="002F6628" w:rsidRDefault="00303CC7">
      <w:pPr>
        <w:spacing w:after="120" w:line="232" w:lineRule="auto"/>
        <w:ind w:left="260"/>
        <w:jc w:val="both"/>
      </w:pPr>
      <w:r>
        <w:rPr>
          <w:rFonts w:ascii="Calibri" w:eastAsia="Calibri" w:hAnsi="Calibri" w:cs="Calibri"/>
          <w:sz w:val="24"/>
          <w:szCs w:val="24"/>
        </w:rPr>
        <w:t>d) Random Forest (RF)</w:t>
      </w:r>
      <w:r>
        <w:rPr>
          <w:rFonts w:ascii="Calibri" w:eastAsia="Calibri" w:hAnsi="Calibri" w:cs="Calibri"/>
          <w:sz w:val="24"/>
          <w:szCs w:val="24"/>
          <w:vertAlign w:val="superscript"/>
        </w:rPr>
        <w:t>(15)</w:t>
      </w:r>
      <w:r>
        <w:rPr>
          <w:rFonts w:ascii="Calibri" w:eastAsia="Calibri" w:hAnsi="Calibri" w:cs="Calibri"/>
          <w:sz w:val="24"/>
          <w:szCs w:val="24"/>
        </w:rPr>
        <w:t>: ensamble de árboles de decisión, con alta precisión en datos tabulares.</w:t>
      </w:r>
    </w:p>
    <w:p w14:paraId="2487B03F" w14:textId="77777777" w:rsidR="002F6628" w:rsidRDefault="00303CC7">
      <w:pPr>
        <w:spacing w:after="120" w:line="232" w:lineRule="auto"/>
        <w:ind w:left="260"/>
        <w:jc w:val="both"/>
      </w:pPr>
      <w:r>
        <w:rPr>
          <w:rFonts w:ascii="Calibri" w:eastAsia="Calibri" w:hAnsi="Calibri" w:cs="Calibri"/>
          <w:sz w:val="24"/>
          <w:szCs w:val="24"/>
        </w:rPr>
        <w:t>e) XGBoost (XGB)</w:t>
      </w:r>
      <w:r>
        <w:rPr>
          <w:rFonts w:ascii="Calibri" w:eastAsia="Calibri" w:hAnsi="Calibri" w:cs="Calibri"/>
          <w:sz w:val="24"/>
          <w:szCs w:val="24"/>
          <w:vertAlign w:val="superscript"/>
        </w:rPr>
        <w:t>(16)</w:t>
      </w:r>
      <w:r>
        <w:rPr>
          <w:rFonts w:ascii="Calibri" w:eastAsia="Calibri" w:hAnsi="Calibri" w:cs="Calibri"/>
          <w:sz w:val="24"/>
          <w:szCs w:val="24"/>
        </w:rPr>
        <w:t>: método de gradient boosting optimizado, con alto rendimiento en competiciones de ML.</w:t>
      </w:r>
    </w:p>
    <w:p w14:paraId="048138EE" w14:textId="77777777" w:rsidR="002F6628" w:rsidRDefault="00303CC7">
      <w:pPr>
        <w:spacing w:after="120" w:line="232" w:lineRule="auto"/>
        <w:ind w:left="260"/>
        <w:jc w:val="both"/>
      </w:pPr>
      <w:r>
        <w:rPr>
          <w:rFonts w:ascii="Calibri" w:eastAsia="Calibri" w:hAnsi="Calibri" w:cs="Calibri"/>
          <w:sz w:val="24"/>
          <w:szCs w:val="24"/>
        </w:rPr>
        <w:t>f) Red Neuronal Convolucional (CNN): para el análisis de imágenes, se consideran arquitecturas pre-entrenadas MobileNet</w:t>
      </w:r>
      <w:r>
        <w:rPr>
          <w:rFonts w:ascii="Calibri" w:eastAsia="Calibri" w:hAnsi="Calibri" w:cs="Calibri"/>
          <w:sz w:val="24"/>
          <w:szCs w:val="24"/>
          <w:vertAlign w:val="superscript"/>
        </w:rPr>
        <w:t>(18)</w:t>
      </w:r>
      <w:r>
        <w:rPr>
          <w:rFonts w:ascii="Calibri" w:eastAsia="Calibri" w:hAnsi="Calibri" w:cs="Calibri"/>
          <w:sz w:val="24"/>
          <w:szCs w:val="24"/>
        </w:rPr>
        <w:t>, InceptionV3</w:t>
      </w:r>
      <w:r>
        <w:rPr>
          <w:rFonts w:ascii="Calibri" w:eastAsia="Calibri" w:hAnsi="Calibri" w:cs="Calibri"/>
          <w:sz w:val="24"/>
          <w:szCs w:val="24"/>
          <w:vertAlign w:val="superscript"/>
        </w:rPr>
        <w:t>(19)</w:t>
      </w:r>
      <w:r>
        <w:rPr>
          <w:rFonts w:ascii="Calibri" w:eastAsia="Calibri" w:hAnsi="Calibri" w:cs="Calibri"/>
          <w:sz w:val="24"/>
          <w:szCs w:val="24"/>
        </w:rPr>
        <w:t xml:space="preserve"> y ResNet</w:t>
      </w:r>
      <w:r>
        <w:rPr>
          <w:rFonts w:ascii="Calibri" w:eastAsia="Calibri" w:hAnsi="Calibri" w:cs="Calibri"/>
          <w:sz w:val="24"/>
          <w:szCs w:val="24"/>
          <w:vertAlign w:val="superscript"/>
        </w:rPr>
        <w:t>(20)</w:t>
      </w:r>
      <w:r>
        <w:rPr>
          <w:rFonts w:ascii="Calibri" w:eastAsia="Calibri" w:hAnsi="Calibri" w:cs="Calibri"/>
          <w:sz w:val="24"/>
          <w:szCs w:val="24"/>
        </w:rPr>
        <w:t xml:space="preserve"> con transfer learning.</w:t>
      </w:r>
    </w:p>
    <w:p w14:paraId="6C71C658" w14:textId="77777777" w:rsidR="002F6628" w:rsidRDefault="00303CC7">
      <w:pPr>
        <w:spacing w:before="170" w:after="120"/>
        <w:jc w:val="center"/>
      </w:pPr>
      <w:r>
        <w:rPr>
          <w:rFonts w:ascii="Calibri" w:eastAsia="Calibri" w:hAnsi="Calibri" w:cs="Calibri"/>
          <w:b/>
          <w:bCs/>
          <w:sz w:val="28"/>
          <w:szCs w:val="28"/>
        </w:rPr>
        <w:t>4.3. Métricas de Evaluación</w:t>
      </w:r>
    </w:p>
    <w:p w14:paraId="63D30D89" w14:textId="77777777" w:rsidR="002F6628" w:rsidRDefault="00303CC7">
      <w:pPr>
        <w:spacing w:after="120" w:line="232" w:lineRule="auto"/>
        <w:jc w:val="both"/>
      </w:pPr>
      <w:r>
        <w:rPr>
          <w:rFonts w:ascii="Calibri" w:eastAsia="Calibri" w:hAnsi="Calibri" w:cs="Calibri"/>
          <w:sz w:val="24"/>
          <w:szCs w:val="24"/>
        </w:rPr>
        <w:lastRenderedPageBreak/>
        <w:t>Para garantizar una comparación exhaustiva y reproducible, se proponen las siguientes métricas: Exactitud (Accuracy), proporción de predicciones correctas sobre el total; Sensibilidad (Recall), capacidad del modelo para identificar correctamente los casos positivos (CaCu); Especificidad (Specificity), capacidad del modelo para identificar correctamente los casos negativos; Precisión (Precision), proporción de predicciones positivas que son correctas; F1-Score, media armónica entre precisión y sensibilidad; y AUC-ROC, área bajo la curva ROC como medida de la capacidad discriminativa del modelo. Adicionalmente, para los modelos basados en imágenes, se consideran métricas de segmentación cuando corresponda (Dice, IoU).</w:t>
      </w:r>
    </w:p>
    <w:p w14:paraId="32BB2C71" w14:textId="77777777" w:rsidR="002F6628" w:rsidRDefault="00303CC7">
      <w:pPr>
        <w:spacing w:before="170" w:after="120"/>
        <w:jc w:val="center"/>
      </w:pPr>
      <w:r>
        <w:rPr>
          <w:rFonts w:ascii="Calibri" w:eastAsia="Calibri" w:hAnsi="Calibri" w:cs="Calibri"/>
          <w:b/>
          <w:bCs/>
          <w:sz w:val="28"/>
          <w:szCs w:val="28"/>
        </w:rPr>
        <w:t>4.4. Marco Experimental Propuesto</w:t>
      </w:r>
    </w:p>
    <w:p w14:paraId="51A4C590" w14:textId="77777777" w:rsidR="002F6628" w:rsidRDefault="00303CC7">
      <w:pPr>
        <w:spacing w:after="120" w:line="232" w:lineRule="auto"/>
        <w:jc w:val="both"/>
      </w:pPr>
      <w:r>
        <w:rPr>
          <w:rFonts w:ascii="Calibri" w:eastAsia="Calibri" w:hAnsi="Calibri" w:cs="Calibri"/>
          <w:sz w:val="24"/>
          <w:szCs w:val="24"/>
        </w:rPr>
        <w:t>El análisis empírico se estructurará en las siguientes fases: (1) Preprocesamiento de datos: limpieza de valores faltantes, codificación de variables categóricas, normalización (Min-Max o estandarización), y balanceo de clases mediante SMOTE</w:t>
      </w:r>
      <w:r>
        <w:rPr>
          <w:rFonts w:ascii="Calibri" w:eastAsia="Calibri" w:hAnsi="Calibri" w:cs="Calibri"/>
          <w:sz w:val="24"/>
          <w:szCs w:val="24"/>
          <w:vertAlign w:val="superscript"/>
        </w:rPr>
        <w:t>(22)</w:t>
      </w:r>
      <w:r>
        <w:rPr>
          <w:rFonts w:ascii="Calibri" w:eastAsia="Calibri" w:hAnsi="Calibri" w:cs="Calibri"/>
          <w:sz w:val="24"/>
          <w:szCs w:val="24"/>
        </w:rPr>
        <w:t xml:space="preserve"> cuando sea necesario, dado el desbalance típico entre casos positivos y negativos de CaCu descrito en la Sección 2.2; (2) Entrenamiento y validación: división estratificada en conjuntos de entrenamiento (70%), validación (15%) y prueba (15%), con validación cruzada de 5 folds para el ajuste de hiperparámetros; (3) Evaluación: cálculo de las métricas definidas en la Sección 4.3 para cada algoritmo en cada conjunto de datos; y (4) Análisis de explicabilidad: aplicación de técnicas XAI (SHAP, LIME, Grad-CAM) para evaluar la transparencia de las predicciones, de acuerdo con el marco descrito en la Sección 2.3.</w:t>
      </w:r>
    </w:p>
    <w:p w14:paraId="393C0F56" w14:textId="77777777" w:rsidR="002F6628" w:rsidRDefault="00303CC7">
      <w:pPr>
        <w:spacing w:before="80" w:after="140"/>
        <w:jc w:val="center"/>
      </w:pPr>
      <w:r>
        <w:rPr>
          <w:rFonts w:ascii="Calibri" w:eastAsia="Calibri" w:hAnsi="Calibri" w:cs="Calibri"/>
          <w:b/>
          <w:bCs/>
          <w:sz w:val="22"/>
          <w:szCs w:val="22"/>
        </w:rPr>
        <w:t>Tabla 2. Resultados esperados del análisis comparativo (a completar tras la ejecución experimental).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4"/>
        <w:gridCol w:w="1007"/>
        <w:gridCol w:w="1064"/>
        <w:gridCol w:w="1064"/>
        <w:gridCol w:w="1064"/>
        <w:gridCol w:w="1064"/>
        <w:gridCol w:w="1064"/>
        <w:gridCol w:w="1019"/>
      </w:tblGrid>
      <w:tr w:rsidR="002F6628" w14:paraId="044A9969" w14:textId="77777777">
        <w:trPr>
          <w:tblHeader/>
        </w:trPr>
        <w:tc>
          <w:tcPr>
            <w:tcW w:w="1800" w:type="dxa"/>
            <w:shd w:val="clear" w:color="auto" w:fill="D9D9D9"/>
            <w:tcMar>
              <w:top w:w="60" w:type="dxa"/>
              <w:left w:w="80" w:type="dxa"/>
              <w:bottom w:w="60" w:type="dxa"/>
              <w:right w:w="80" w:type="dxa"/>
            </w:tcMar>
            <w:vAlign w:val="center"/>
          </w:tcPr>
          <w:p w14:paraId="502530E8" w14:textId="77777777" w:rsidR="002F6628" w:rsidRDefault="00303CC7">
            <w:pPr>
              <w:jc w:val="center"/>
            </w:pPr>
            <w:r>
              <w:rPr>
                <w:rFonts w:ascii="Calibri" w:eastAsia="Calibri" w:hAnsi="Calibri" w:cs="Calibri"/>
                <w:b/>
                <w:bCs/>
                <w:sz w:val="18"/>
                <w:szCs w:val="18"/>
              </w:rPr>
              <w:t>Algoritmo</w:t>
            </w:r>
          </w:p>
        </w:tc>
        <w:tc>
          <w:tcPr>
            <w:tcW w:w="900" w:type="dxa"/>
            <w:shd w:val="clear" w:color="auto" w:fill="D9D9D9"/>
            <w:tcMar>
              <w:top w:w="60" w:type="dxa"/>
              <w:left w:w="80" w:type="dxa"/>
              <w:bottom w:w="60" w:type="dxa"/>
              <w:right w:w="80" w:type="dxa"/>
            </w:tcMar>
            <w:vAlign w:val="center"/>
          </w:tcPr>
          <w:p w14:paraId="3DD205E1" w14:textId="77777777" w:rsidR="002F6628" w:rsidRDefault="00303CC7">
            <w:pPr>
              <w:jc w:val="center"/>
            </w:pPr>
            <w:r>
              <w:rPr>
                <w:rFonts w:ascii="Calibri" w:eastAsia="Calibri" w:hAnsi="Calibri" w:cs="Calibri"/>
                <w:b/>
                <w:bCs/>
                <w:sz w:val="18"/>
                <w:szCs w:val="18"/>
              </w:rPr>
              <w:t>Dataset</w:t>
            </w:r>
          </w:p>
        </w:tc>
        <w:tc>
          <w:tcPr>
            <w:tcW w:w="950" w:type="dxa"/>
            <w:shd w:val="clear" w:color="auto" w:fill="D9D9D9"/>
            <w:tcMar>
              <w:top w:w="60" w:type="dxa"/>
              <w:left w:w="80" w:type="dxa"/>
              <w:bottom w:w="60" w:type="dxa"/>
              <w:right w:w="80" w:type="dxa"/>
            </w:tcMar>
            <w:vAlign w:val="center"/>
          </w:tcPr>
          <w:p w14:paraId="3D385B29" w14:textId="77777777" w:rsidR="002F6628" w:rsidRDefault="00303CC7">
            <w:pPr>
              <w:jc w:val="center"/>
            </w:pPr>
            <w:r>
              <w:rPr>
                <w:rFonts w:ascii="Calibri" w:eastAsia="Calibri" w:hAnsi="Calibri" w:cs="Calibri"/>
                <w:b/>
                <w:bCs/>
                <w:sz w:val="18"/>
                <w:szCs w:val="18"/>
              </w:rPr>
              <w:t>Accuracy</w:t>
            </w:r>
          </w:p>
        </w:tc>
        <w:tc>
          <w:tcPr>
            <w:tcW w:w="950" w:type="dxa"/>
            <w:shd w:val="clear" w:color="auto" w:fill="D9D9D9"/>
            <w:tcMar>
              <w:top w:w="60" w:type="dxa"/>
              <w:left w:w="80" w:type="dxa"/>
              <w:bottom w:w="60" w:type="dxa"/>
              <w:right w:w="80" w:type="dxa"/>
            </w:tcMar>
            <w:vAlign w:val="center"/>
          </w:tcPr>
          <w:p w14:paraId="360E063E" w14:textId="77777777" w:rsidR="002F6628" w:rsidRDefault="00303CC7">
            <w:pPr>
              <w:jc w:val="center"/>
            </w:pPr>
            <w:r>
              <w:rPr>
                <w:rFonts w:ascii="Calibri" w:eastAsia="Calibri" w:hAnsi="Calibri" w:cs="Calibri"/>
                <w:b/>
                <w:bCs/>
                <w:sz w:val="18"/>
                <w:szCs w:val="18"/>
              </w:rPr>
              <w:t>Sensitivity</w:t>
            </w:r>
          </w:p>
        </w:tc>
        <w:tc>
          <w:tcPr>
            <w:tcW w:w="950" w:type="dxa"/>
            <w:shd w:val="clear" w:color="auto" w:fill="D9D9D9"/>
            <w:tcMar>
              <w:top w:w="60" w:type="dxa"/>
              <w:left w:w="80" w:type="dxa"/>
              <w:bottom w:w="60" w:type="dxa"/>
              <w:right w:w="80" w:type="dxa"/>
            </w:tcMar>
            <w:vAlign w:val="center"/>
          </w:tcPr>
          <w:p w14:paraId="531243E7" w14:textId="77777777" w:rsidR="002F6628" w:rsidRDefault="00303CC7">
            <w:pPr>
              <w:jc w:val="center"/>
            </w:pPr>
            <w:r>
              <w:rPr>
                <w:rFonts w:ascii="Calibri" w:eastAsia="Calibri" w:hAnsi="Calibri" w:cs="Calibri"/>
                <w:b/>
                <w:bCs/>
                <w:sz w:val="18"/>
                <w:szCs w:val="18"/>
              </w:rPr>
              <w:t>Specificity</w:t>
            </w:r>
          </w:p>
        </w:tc>
        <w:tc>
          <w:tcPr>
            <w:tcW w:w="950" w:type="dxa"/>
            <w:shd w:val="clear" w:color="auto" w:fill="D9D9D9"/>
            <w:tcMar>
              <w:top w:w="60" w:type="dxa"/>
              <w:left w:w="80" w:type="dxa"/>
              <w:bottom w:w="60" w:type="dxa"/>
              <w:right w:w="80" w:type="dxa"/>
            </w:tcMar>
            <w:vAlign w:val="center"/>
          </w:tcPr>
          <w:p w14:paraId="7EC3C46A" w14:textId="77777777" w:rsidR="002F6628" w:rsidRDefault="00303CC7">
            <w:pPr>
              <w:jc w:val="center"/>
            </w:pPr>
            <w:r>
              <w:rPr>
                <w:rFonts w:ascii="Calibri" w:eastAsia="Calibri" w:hAnsi="Calibri" w:cs="Calibri"/>
                <w:b/>
                <w:bCs/>
                <w:sz w:val="18"/>
                <w:szCs w:val="18"/>
              </w:rPr>
              <w:t>Precision</w:t>
            </w:r>
          </w:p>
        </w:tc>
        <w:tc>
          <w:tcPr>
            <w:tcW w:w="950" w:type="dxa"/>
            <w:shd w:val="clear" w:color="auto" w:fill="D9D9D9"/>
            <w:tcMar>
              <w:top w:w="60" w:type="dxa"/>
              <w:left w:w="80" w:type="dxa"/>
              <w:bottom w:w="60" w:type="dxa"/>
              <w:right w:w="80" w:type="dxa"/>
            </w:tcMar>
            <w:vAlign w:val="center"/>
          </w:tcPr>
          <w:p w14:paraId="37530BFF" w14:textId="77777777" w:rsidR="002F6628" w:rsidRDefault="00303CC7">
            <w:pPr>
              <w:jc w:val="center"/>
            </w:pPr>
            <w:r>
              <w:rPr>
                <w:rFonts w:ascii="Calibri" w:eastAsia="Calibri" w:hAnsi="Calibri" w:cs="Calibri"/>
                <w:b/>
                <w:bCs/>
                <w:sz w:val="18"/>
                <w:szCs w:val="18"/>
              </w:rPr>
              <w:t>F1-Score</w:t>
            </w:r>
          </w:p>
        </w:tc>
        <w:tc>
          <w:tcPr>
            <w:tcW w:w="910" w:type="dxa"/>
            <w:shd w:val="clear" w:color="auto" w:fill="D9D9D9"/>
            <w:tcMar>
              <w:top w:w="60" w:type="dxa"/>
              <w:left w:w="80" w:type="dxa"/>
              <w:bottom w:w="60" w:type="dxa"/>
              <w:right w:w="80" w:type="dxa"/>
            </w:tcMar>
            <w:vAlign w:val="center"/>
          </w:tcPr>
          <w:p w14:paraId="08000849" w14:textId="77777777" w:rsidR="002F6628" w:rsidRDefault="00303CC7">
            <w:pPr>
              <w:jc w:val="center"/>
            </w:pPr>
            <w:r>
              <w:rPr>
                <w:rFonts w:ascii="Calibri" w:eastAsia="Calibri" w:hAnsi="Calibri" w:cs="Calibri"/>
                <w:b/>
                <w:bCs/>
                <w:sz w:val="18"/>
                <w:szCs w:val="18"/>
              </w:rPr>
              <w:t>AUC-ROC</w:t>
            </w:r>
          </w:p>
        </w:tc>
      </w:tr>
      <w:tr w:rsidR="002F6628" w14:paraId="66891149" w14:textId="77777777">
        <w:tc>
          <w:tcPr>
            <w:tcW w:w="1800" w:type="dxa"/>
            <w:tcMar>
              <w:top w:w="50" w:type="dxa"/>
              <w:left w:w="80" w:type="dxa"/>
              <w:bottom w:w="50" w:type="dxa"/>
              <w:right w:w="80" w:type="dxa"/>
            </w:tcMar>
            <w:vAlign w:val="center"/>
          </w:tcPr>
          <w:p w14:paraId="3CEC1029" w14:textId="77777777" w:rsidR="002F6628" w:rsidRDefault="00303CC7">
            <w:r>
              <w:rPr>
                <w:rFonts w:ascii="Calibri" w:eastAsia="Calibri" w:hAnsi="Calibri" w:cs="Calibri"/>
                <w:sz w:val="18"/>
                <w:szCs w:val="18"/>
              </w:rPr>
              <w:t>Regresión Logística</w:t>
            </w:r>
          </w:p>
        </w:tc>
        <w:tc>
          <w:tcPr>
            <w:tcW w:w="900" w:type="dxa"/>
            <w:tcMar>
              <w:top w:w="50" w:type="dxa"/>
              <w:left w:w="80" w:type="dxa"/>
              <w:bottom w:w="50" w:type="dxa"/>
              <w:right w:w="80" w:type="dxa"/>
            </w:tcMar>
            <w:vAlign w:val="center"/>
          </w:tcPr>
          <w:p w14:paraId="4734C584" w14:textId="77777777" w:rsidR="002F6628" w:rsidRDefault="00303CC7">
            <w:r>
              <w:rPr>
                <w:rFonts w:ascii="Calibri" w:eastAsia="Calibri" w:hAnsi="Calibri" w:cs="Calibri"/>
                <w:sz w:val="18"/>
                <w:szCs w:val="18"/>
              </w:rPr>
              <w:t>UCI</w:t>
            </w:r>
          </w:p>
        </w:tc>
        <w:tc>
          <w:tcPr>
            <w:tcW w:w="950" w:type="dxa"/>
            <w:tcMar>
              <w:top w:w="50" w:type="dxa"/>
              <w:left w:w="80" w:type="dxa"/>
              <w:bottom w:w="50" w:type="dxa"/>
              <w:right w:w="80" w:type="dxa"/>
            </w:tcMar>
            <w:vAlign w:val="center"/>
          </w:tcPr>
          <w:p w14:paraId="4E8A43E0"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295AC9EF"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1B019C56"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27D73FCC"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07B74390" w14:textId="77777777" w:rsidR="002F6628" w:rsidRDefault="00303CC7">
            <w:r>
              <w:rPr>
                <w:rFonts w:ascii="Calibri" w:eastAsia="Calibri" w:hAnsi="Calibri" w:cs="Calibri"/>
                <w:sz w:val="18"/>
                <w:szCs w:val="18"/>
              </w:rPr>
              <w:t>—</w:t>
            </w:r>
          </w:p>
        </w:tc>
        <w:tc>
          <w:tcPr>
            <w:tcW w:w="910" w:type="dxa"/>
            <w:tcMar>
              <w:top w:w="50" w:type="dxa"/>
              <w:left w:w="80" w:type="dxa"/>
              <w:bottom w:w="50" w:type="dxa"/>
              <w:right w:w="80" w:type="dxa"/>
            </w:tcMar>
            <w:vAlign w:val="center"/>
          </w:tcPr>
          <w:p w14:paraId="1CA7A59C" w14:textId="77777777" w:rsidR="002F6628" w:rsidRDefault="00303CC7">
            <w:r>
              <w:rPr>
                <w:rFonts w:ascii="Calibri" w:eastAsia="Calibri" w:hAnsi="Calibri" w:cs="Calibri"/>
                <w:sz w:val="18"/>
                <w:szCs w:val="18"/>
              </w:rPr>
              <w:t>—</w:t>
            </w:r>
          </w:p>
        </w:tc>
      </w:tr>
      <w:tr w:rsidR="002F6628" w14:paraId="603AF4D1" w14:textId="77777777">
        <w:tc>
          <w:tcPr>
            <w:tcW w:w="1800" w:type="dxa"/>
            <w:tcMar>
              <w:top w:w="50" w:type="dxa"/>
              <w:left w:w="80" w:type="dxa"/>
              <w:bottom w:w="50" w:type="dxa"/>
              <w:right w:w="80" w:type="dxa"/>
            </w:tcMar>
            <w:vAlign w:val="center"/>
          </w:tcPr>
          <w:p w14:paraId="3368FF87" w14:textId="77777777" w:rsidR="002F6628" w:rsidRDefault="00303CC7">
            <w:r>
              <w:rPr>
                <w:rFonts w:ascii="Calibri" w:eastAsia="Calibri" w:hAnsi="Calibri" w:cs="Calibri"/>
                <w:sz w:val="18"/>
                <w:szCs w:val="18"/>
              </w:rPr>
              <w:t>SVM</w:t>
            </w:r>
          </w:p>
        </w:tc>
        <w:tc>
          <w:tcPr>
            <w:tcW w:w="900" w:type="dxa"/>
            <w:tcMar>
              <w:top w:w="50" w:type="dxa"/>
              <w:left w:w="80" w:type="dxa"/>
              <w:bottom w:w="50" w:type="dxa"/>
              <w:right w:w="80" w:type="dxa"/>
            </w:tcMar>
            <w:vAlign w:val="center"/>
          </w:tcPr>
          <w:p w14:paraId="5E1FA7FF" w14:textId="77777777" w:rsidR="002F6628" w:rsidRDefault="00303CC7">
            <w:r>
              <w:rPr>
                <w:rFonts w:ascii="Calibri" w:eastAsia="Calibri" w:hAnsi="Calibri" w:cs="Calibri"/>
                <w:sz w:val="18"/>
                <w:szCs w:val="18"/>
              </w:rPr>
              <w:t>UCI</w:t>
            </w:r>
          </w:p>
        </w:tc>
        <w:tc>
          <w:tcPr>
            <w:tcW w:w="950" w:type="dxa"/>
            <w:tcMar>
              <w:top w:w="50" w:type="dxa"/>
              <w:left w:w="80" w:type="dxa"/>
              <w:bottom w:w="50" w:type="dxa"/>
              <w:right w:w="80" w:type="dxa"/>
            </w:tcMar>
            <w:vAlign w:val="center"/>
          </w:tcPr>
          <w:p w14:paraId="7F7CC630"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70CC167F"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6087F81A"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5B45E1EC"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22F90AD4" w14:textId="77777777" w:rsidR="002F6628" w:rsidRDefault="00303CC7">
            <w:r>
              <w:rPr>
                <w:rFonts w:ascii="Calibri" w:eastAsia="Calibri" w:hAnsi="Calibri" w:cs="Calibri"/>
                <w:sz w:val="18"/>
                <w:szCs w:val="18"/>
              </w:rPr>
              <w:t>—</w:t>
            </w:r>
          </w:p>
        </w:tc>
        <w:tc>
          <w:tcPr>
            <w:tcW w:w="910" w:type="dxa"/>
            <w:tcMar>
              <w:top w:w="50" w:type="dxa"/>
              <w:left w:w="80" w:type="dxa"/>
              <w:bottom w:w="50" w:type="dxa"/>
              <w:right w:w="80" w:type="dxa"/>
            </w:tcMar>
            <w:vAlign w:val="center"/>
          </w:tcPr>
          <w:p w14:paraId="472136AA" w14:textId="77777777" w:rsidR="002F6628" w:rsidRDefault="00303CC7">
            <w:r>
              <w:rPr>
                <w:rFonts w:ascii="Calibri" w:eastAsia="Calibri" w:hAnsi="Calibri" w:cs="Calibri"/>
                <w:sz w:val="18"/>
                <w:szCs w:val="18"/>
              </w:rPr>
              <w:t>—</w:t>
            </w:r>
          </w:p>
        </w:tc>
      </w:tr>
      <w:tr w:rsidR="002F6628" w14:paraId="55977CD3" w14:textId="77777777">
        <w:tc>
          <w:tcPr>
            <w:tcW w:w="1800" w:type="dxa"/>
            <w:tcMar>
              <w:top w:w="50" w:type="dxa"/>
              <w:left w:w="80" w:type="dxa"/>
              <w:bottom w:w="50" w:type="dxa"/>
              <w:right w:w="80" w:type="dxa"/>
            </w:tcMar>
            <w:vAlign w:val="center"/>
          </w:tcPr>
          <w:p w14:paraId="50CEE6B1" w14:textId="77777777" w:rsidR="002F6628" w:rsidRDefault="00303CC7">
            <w:r>
              <w:rPr>
                <w:rFonts w:ascii="Calibri" w:eastAsia="Calibri" w:hAnsi="Calibri" w:cs="Calibri"/>
                <w:sz w:val="18"/>
                <w:szCs w:val="18"/>
              </w:rPr>
              <w:t>Decision Tree</w:t>
            </w:r>
          </w:p>
        </w:tc>
        <w:tc>
          <w:tcPr>
            <w:tcW w:w="900" w:type="dxa"/>
            <w:tcMar>
              <w:top w:w="50" w:type="dxa"/>
              <w:left w:w="80" w:type="dxa"/>
              <w:bottom w:w="50" w:type="dxa"/>
              <w:right w:w="80" w:type="dxa"/>
            </w:tcMar>
            <w:vAlign w:val="center"/>
          </w:tcPr>
          <w:p w14:paraId="2C74FC4E" w14:textId="77777777" w:rsidR="002F6628" w:rsidRDefault="00303CC7">
            <w:r>
              <w:rPr>
                <w:rFonts w:ascii="Calibri" w:eastAsia="Calibri" w:hAnsi="Calibri" w:cs="Calibri"/>
                <w:sz w:val="18"/>
                <w:szCs w:val="18"/>
              </w:rPr>
              <w:t>UCI</w:t>
            </w:r>
          </w:p>
        </w:tc>
        <w:tc>
          <w:tcPr>
            <w:tcW w:w="950" w:type="dxa"/>
            <w:tcMar>
              <w:top w:w="50" w:type="dxa"/>
              <w:left w:w="80" w:type="dxa"/>
              <w:bottom w:w="50" w:type="dxa"/>
              <w:right w:w="80" w:type="dxa"/>
            </w:tcMar>
            <w:vAlign w:val="center"/>
          </w:tcPr>
          <w:p w14:paraId="1EFFF44F"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5C4C4879"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758538A0"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12DA36D5"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587641A6" w14:textId="77777777" w:rsidR="002F6628" w:rsidRDefault="00303CC7">
            <w:r>
              <w:rPr>
                <w:rFonts w:ascii="Calibri" w:eastAsia="Calibri" w:hAnsi="Calibri" w:cs="Calibri"/>
                <w:sz w:val="18"/>
                <w:szCs w:val="18"/>
              </w:rPr>
              <w:t>—</w:t>
            </w:r>
          </w:p>
        </w:tc>
        <w:tc>
          <w:tcPr>
            <w:tcW w:w="910" w:type="dxa"/>
            <w:tcMar>
              <w:top w:w="50" w:type="dxa"/>
              <w:left w:w="80" w:type="dxa"/>
              <w:bottom w:w="50" w:type="dxa"/>
              <w:right w:w="80" w:type="dxa"/>
            </w:tcMar>
            <w:vAlign w:val="center"/>
          </w:tcPr>
          <w:p w14:paraId="4BC166F4" w14:textId="77777777" w:rsidR="002F6628" w:rsidRDefault="00303CC7">
            <w:r>
              <w:rPr>
                <w:rFonts w:ascii="Calibri" w:eastAsia="Calibri" w:hAnsi="Calibri" w:cs="Calibri"/>
                <w:sz w:val="18"/>
                <w:szCs w:val="18"/>
              </w:rPr>
              <w:t>—</w:t>
            </w:r>
          </w:p>
        </w:tc>
      </w:tr>
      <w:tr w:rsidR="002F6628" w14:paraId="74F2844E" w14:textId="77777777">
        <w:tc>
          <w:tcPr>
            <w:tcW w:w="1800" w:type="dxa"/>
            <w:tcMar>
              <w:top w:w="50" w:type="dxa"/>
              <w:left w:w="80" w:type="dxa"/>
              <w:bottom w:w="50" w:type="dxa"/>
              <w:right w:w="80" w:type="dxa"/>
            </w:tcMar>
            <w:vAlign w:val="center"/>
          </w:tcPr>
          <w:p w14:paraId="2F9C90DB" w14:textId="77777777" w:rsidR="002F6628" w:rsidRDefault="00303CC7">
            <w:r>
              <w:rPr>
                <w:rFonts w:ascii="Calibri" w:eastAsia="Calibri" w:hAnsi="Calibri" w:cs="Calibri"/>
                <w:sz w:val="18"/>
                <w:szCs w:val="18"/>
              </w:rPr>
              <w:t>Random Forest</w:t>
            </w:r>
          </w:p>
        </w:tc>
        <w:tc>
          <w:tcPr>
            <w:tcW w:w="900" w:type="dxa"/>
            <w:tcMar>
              <w:top w:w="50" w:type="dxa"/>
              <w:left w:w="80" w:type="dxa"/>
              <w:bottom w:w="50" w:type="dxa"/>
              <w:right w:w="80" w:type="dxa"/>
            </w:tcMar>
            <w:vAlign w:val="center"/>
          </w:tcPr>
          <w:p w14:paraId="246DF21C" w14:textId="77777777" w:rsidR="002F6628" w:rsidRDefault="00303CC7">
            <w:r>
              <w:rPr>
                <w:rFonts w:ascii="Calibri" w:eastAsia="Calibri" w:hAnsi="Calibri" w:cs="Calibri"/>
                <w:sz w:val="18"/>
                <w:szCs w:val="18"/>
              </w:rPr>
              <w:t>UCI</w:t>
            </w:r>
          </w:p>
        </w:tc>
        <w:tc>
          <w:tcPr>
            <w:tcW w:w="950" w:type="dxa"/>
            <w:tcMar>
              <w:top w:w="50" w:type="dxa"/>
              <w:left w:w="80" w:type="dxa"/>
              <w:bottom w:w="50" w:type="dxa"/>
              <w:right w:w="80" w:type="dxa"/>
            </w:tcMar>
            <w:vAlign w:val="center"/>
          </w:tcPr>
          <w:p w14:paraId="28EDD9C4"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47C7F384"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5CD5FB73"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181C4538"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0F98320A" w14:textId="77777777" w:rsidR="002F6628" w:rsidRDefault="00303CC7">
            <w:r>
              <w:rPr>
                <w:rFonts w:ascii="Calibri" w:eastAsia="Calibri" w:hAnsi="Calibri" w:cs="Calibri"/>
                <w:sz w:val="18"/>
                <w:szCs w:val="18"/>
              </w:rPr>
              <w:t>—</w:t>
            </w:r>
          </w:p>
        </w:tc>
        <w:tc>
          <w:tcPr>
            <w:tcW w:w="910" w:type="dxa"/>
            <w:tcMar>
              <w:top w:w="50" w:type="dxa"/>
              <w:left w:w="80" w:type="dxa"/>
              <w:bottom w:w="50" w:type="dxa"/>
              <w:right w:w="80" w:type="dxa"/>
            </w:tcMar>
            <w:vAlign w:val="center"/>
          </w:tcPr>
          <w:p w14:paraId="5CC4620D" w14:textId="77777777" w:rsidR="002F6628" w:rsidRDefault="00303CC7">
            <w:r>
              <w:rPr>
                <w:rFonts w:ascii="Calibri" w:eastAsia="Calibri" w:hAnsi="Calibri" w:cs="Calibri"/>
                <w:sz w:val="18"/>
                <w:szCs w:val="18"/>
              </w:rPr>
              <w:t>—</w:t>
            </w:r>
          </w:p>
        </w:tc>
      </w:tr>
      <w:tr w:rsidR="002F6628" w14:paraId="007BAEA7" w14:textId="77777777">
        <w:tc>
          <w:tcPr>
            <w:tcW w:w="1800" w:type="dxa"/>
            <w:tcMar>
              <w:top w:w="50" w:type="dxa"/>
              <w:left w:w="80" w:type="dxa"/>
              <w:bottom w:w="50" w:type="dxa"/>
              <w:right w:w="80" w:type="dxa"/>
            </w:tcMar>
            <w:vAlign w:val="center"/>
          </w:tcPr>
          <w:p w14:paraId="16CAA0A5" w14:textId="77777777" w:rsidR="002F6628" w:rsidRDefault="00303CC7">
            <w:r>
              <w:rPr>
                <w:rFonts w:ascii="Calibri" w:eastAsia="Calibri" w:hAnsi="Calibri" w:cs="Calibri"/>
                <w:sz w:val="18"/>
                <w:szCs w:val="18"/>
              </w:rPr>
              <w:t>XGBoost</w:t>
            </w:r>
          </w:p>
        </w:tc>
        <w:tc>
          <w:tcPr>
            <w:tcW w:w="900" w:type="dxa"/>
            <w:tcMar>
              <w:top w:w="50" w:type="dxa"/>
              <w:left w:w="80" w:type="dxa"/>
              <w:bottom w:w="50" w:type="dxa"/>
              <w:right w:w="80" w:type="dxa"/>
            </w:tcMar>
            <w:vAlign w:val="center"/>
          </w:tcPr>
          <w:p w14:paraId="76819A9A" w14:textId="77777777" w:rsidR="002F6628" w:rsidRDefault="00303CC7">
            <w:r>
              <w:rPr>
                <w:rFonts w:ascii="Calibri" w:eastAsia="Calibri" w:hAnsi="Calibri" w:cs="Calibri"/>
                <w:sz w:val="18"/>
                <w:szCs w:val="18"/>
              </w:rPr>
              <w:t>UCI</w:t>
            </w:r>
          </w:p>
        </w:tc>
        <w:tc>
          <w:tcPr>
            <w:tcW w:w="950" w:type="dxa"/>
            <w:tcMar>
              <w:top w:w="50" w:type="dxa"/>
              <w:left w:w="80" w:type="dxa"/>
              <w:bottom w:w="50" w:type="dxa"/>
              <w:right w:w="80" w:type="dxa"/>
            </w:tcMar>
            <w:vAlign w:val="center"/>
          </w:tcPr>
          <w:p w14:paraId="6514FCC8"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713261A4"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34D8BA61"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7972E0FE"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472E7499" w14:textId="77777777" w:rsidR="002F6628" w:rsidRDefault="00303CC7">
            <w:r>
              <w:rPr>
                <w:rFonts w:ascii="Calibri" w:eastAsia="Calibri" w:hAnsi="Calibri" w:cs="Calibri"/>
                <w:sz w:val="18"/>
                <w:szCs w:val="18"/>
              </w:rPr>
              <w:t>—</w:t>
            </w:r>
          </w:p>
        </w:tc>
        <w:tc>
          <w:tcPr>
            <w:tcW w:w="910" w:type="dxa"/>
            <w:tcMar>
              <w:top w:w="50" w:type="dxa"/>
              <w:left w:w="80" w:type="dxa"/>
              <w:bottom w:w="50" w:type="dxa"/>
              <w:right w:w="80" w:type="dxa"/>
            </w:tcMar>
            <w:vAlign w:val="center"/>
          </w:tcPr>
          <w:p w14:paraId="5C3BE2E1" w14:textId="77777777" w:rsidR="002F6628" w:rsidRDefault="00303CC7">
            <w:r>
              <w:rPr>
                <w:rFonts w:ascii="Calibri" w:eastAsia="Calibri" w:hAnsi="Calibri" w:cs="Calibri"/>
                <w:sz w:val="18"/>
                <w:szCs w:val="18"/>
              </w:rPr>
              <w:t>—</w:t>
            </w:r>
          </w:p>
        </w:tc>
      </w:tr>
      <w:tr w:rsidR="002F6628" w14:paraId="6C7EAF07" w14:textId="77777777">
        <w:tc>
          <w:tcPr>
            <w:tcW w:w="1800" w:type="dxa"/>
            <w:tcMar>
              <w:top w:w="50" w:type="dxa"/>
              <w:left w:w="80" w:type="dxa"/>
              <w:bottom w:w="50" w:type="dxa"/>
              <w:right w:w="80" w:type="dxa"/>
            </w:tcMar>
            <w:vAlign w:val="center"/>
          </w:tcPr>
          <w:p w14:paraId="23E7F923" w14:textId="77777777" w:rsidR="002F6628" w:rsidRDefault="00303CC7">
            <w:r>
              <w:rPr>
                <w:rFonts w:ascii="Calibri" w:eastAsia="Calibri" w:hAnsi="Calibri" w:cs="Calibri"/>
                <w:sz w:val="18"/>
                <w:szCs w:val="18"/>
              </w:rPr>
              <w:t>MobileNet</w:t>
            </w:r>
          </w:p>
        </w:tc>
        <w:tc>
          <w:tcPr>
            <w:tcW w:w="900" w:type="dxa"/>
            <w:tcMar>
              <w:top w:w="50" w:type="dxa"/>
              <w:left w:w="80" w:type="dxa"/>
              <w:bottom w:w="50" w:type="dxa"/>
              <w:right w:w="80" w:type="dxa"/>
            </w:tcMar>
            <w:vAlign w:val="center"/>
          </w:tcPr>
          <w:p w14:paraId="154D7D99" w14:textId="77777777" w:rsidR="002F6628" w:rsidRDefault="00303CC7">
            <w:r>
              <w:rPr>
                <w:rFonts w:ascii="Calibri" w:eastAsia="Calibri" w:hAnsi="Calibri" w:cs="Calibri"/>
                <w:sz w:val="18"/>
                <w:szCs w:val="18"/>
              </w:rPr>
              <w:t>Herlev</w:t>
            </w:r>
          </w:p>
        </w:tc>
        <w:tc>
          <w:tcPr>
            <w:tcW w:w="950" w:type="dxa"/>
            <w:tcMar>
              <w:top w:w="50" w:type="dxa"/>
              <w:left w:w="80" w:type="dxa"/>
              <w:bottom w:w="50" w:type="dxa"/>
              <w:right w:w="80" w:type="dxa"/>
            </w:tcMar>
            <w:vAlign w:val="center"/>
          </w:tcPr>
          <w:p w14:paraId="58D8194E"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754FA8CD"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0C0BB271"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37C9572B"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4221D65A" w14:textId="77777777" w:rsidR="002F6628" w:rsidRDefault="00303CC7">
            <w:r>
              <w:rPr>
                <w:rFonts w:ascii="Calibri" w:eastAsia="Calibri" w:hAnsi="Calibri" w:cs="Calibri"/>
                <w:sz w:val="18"/>
                <w:szCs w:val="18"/>
              </w:rPr>
              <w:t>—</w:t>
            </w:r>
          </w:p>
        </w:tc>
        <w:tc>
          <w:tcPr>
            <w:tcW w:w="910" w:type="dxa"/>
            <w:tcMar>
              <w:top w:w="50" w:type="dxa"/>
              <w:left w:w="80" w:type="dxa"/>
              <w:bottom w:w="50" w:type="dxa"/>
              <w:right w:w="80" w:type="dxa"/>
            </w:tcMar>
            <w:vAlign w:val="center"/>
          </w:tcPr>
          <w:p w14:paraId="27290A59" w14:textId="77777777" w:rsidR="002F6628" w:rsidRDefault="00303CC7">
            <w:r>
              <w:rPr>
                <w:rFonts w:ascii="Calibri" w:eastAsia="Calibri" w:hAnsi="Calibri" w:cs="Calibri"/>
                <w:sz w:val="18"/>
                <w:szCs w:val="18"/>
              </w:rPr>
              <w:t>—</w:t>
            </w:r>
          </w:p>
        </w:tc>
      </w:tr>
      <w:tr w:rsidR="002F6628" w14:paraId="031B261F" w14:textId="77777777">
        <w:tc>
          <w:tcPr>
            <w:tcW w:w="1800" w:type="dxa"/>
            <w:tcMar>
              <w:top w:w="50" w:type="dxa"/>
              <w:left w:w="80" w:type="dxa"/>
              <w:bottom w:w="50" w:type="dxa"/>
              <w:right w:w="80" w:type="dxa"/>
            </w:tcMar>
            <w:vAlign w:val="center"/>
          </w:tcPr>
          <w:p w14:paraId="530D904F" w14:textId="77777777" w:rsidR="002F6628" w:rsidRDefault="00303CC7">
            <w:r>
              <w:rPr>
                <w:rFonts w:ascii="Calibri" w:eastAsia="Calibri" w:hAnsi="Calibri" w:cs="Calibri"/>
                <w:sz w:val="18"/>
                <w:szCs w:val="18"/>
              </w:rPr>
              <w:t>InceptionV3</w:t>
            </w:r>
          </w:p>
        </w:tc>
        <w:tc>
          <w:tcPr>
            <w:tcW w:w="900" w:type="dxa"/>
            <w:tcMar>
              <w:top w:w="50" w:type="dxa"/>
              <w:left w:w="80" w:type="dxa"/>
              <w:bottom w:w="50" w:type="dxa"/>
              <w:right w:w="80" w:type="dxa"/>
            </w:tcMar>
            <w:vAlign w:val="center"/>
          </w:tcPr>
          <w:p w14:paraId="4A660EC6" w14:textId="77777777" w:rsidR="002F6628" w:rsidRDefault="00303CC7">
            <w:r>
              <w:rPr>
                <w:rFonts w:ascii="Calibri" w:eastAsia="Calibri" w:hAnsi="Calibri" w:cs="Calibri"/>
                <w:sz w:val="18"/>
                <w:szCs w:val="18"/>
              </w:rPr>
              <w:t>Herlev</w:t>
            </w:r>
          </w:p>
        </w:tc>
        <w:tc>
          <w:tcPr>
            <w:tcW w:w="950" w:type="dxa"/>
            <w:tcMar>
              <w:top w:w="50" w:type="dxa"/>
              <w:left w:w="80" w:type="dxa"/>
              <w:bottom w:w="50" w:type="dxa"/>
              <w:right w:w="80" w:type="dxa"/>
            </w:tcMar>
            <w:vAlign w:val="center"/>
          </w:tcPr>
          <w:p w14:paraId="4851A73C"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7F897273"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56F894D2"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19721D79"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49E174FC" w14:textId="77777777" w:rsidR="002F6628" w:rsidRDefault="00303CC7">
            <w:r>
              <w:rPr>
                <w:rFonts w:ascii="Calibri" w:eastAsia="Calibri" w:hAnsi="Calibri" w:cs="Calibri"/>
                <w:sz w:val="18"/>
                <w:szCs w:val="18"/>
              </w:rPr>
              <w:t>—</w:t>
            </w:r>
          </w:p>
        </w:tc>
        <w:tc>
          <w:tcPr>
            <w:tcW w:w="910" w:type="dxa"/>
            <w:tcMar>
              <w:top w:w="50" w:type="dxa"/>
              <w:left w:w="80" w:type="dxa"/>
              <w:bottom w:w="50" w:type="dxa"/>
              <w:right w:w="80" w:type="dxa"/>
            </w:tcMar>
            <w:vAlign w:val="center"/>
          </w:tcPr>
          <w:p w14:paraId="6951D311" w14:textId="77777777" w:rsidR="002F6628" w:rsidRDefault="00303CC7">
            <w:r>
              <w:rPr>
                <w:rFonts w:ascii="Calibri" w:eastAsia="Calibri" w:hAnsi="Calibri" w:cs="Calibri"/>
                <w:sz w:val="18"/>
                <w:szCs w:val="18"/>
              </w:rPr>
              <w:t>—</w:t>
            </w:r>
          </w:p>
        </w:tc>
      </w:tr>
      <w:tr w:rsidR="002F6628" w14:paraId="6D065C12" w14:textId="77777777">
        <w:tc>
          <w:tcPr>
            <w:tcW w:w="1800" w:type="dxa"/>
            <w:tcMar>
              <w:top w:w="50" w:type="dxa"/>
              <w:left w:w="80" w:type="dxa"/>
              <w:bottom w:w="50" w:type="dxa"/>
              <w:right w:w="80" w:type="dxa"/>
            </w:tcMar>
            <w:vAlign w:val="center"/>
          </w:tcPr>
          <w:p w14:paraId="439218CD" w14:textId="77777777" w:rsidR="002F6628" w:rsidRDefault="00303CC7">
            <w:r>
              <w:rPr>
                <w:rFonts w:ascii="Calibri" w:eastAsia="Calibri" w:hAnsi="Calibri" w:cs="Calibri"/>
                <w:sz w:val="18"/>
                <w:szCs w:val="18"/>
              </w:rPr>
              <w:t>ResNet</w:t>
            </w:r>
          </w:p>
        </w:tc>
        <w:tc>
          <w:tcPr>
            <w:tcW w:w="900" w:type="dxa"/>
            <w:tcMar>
              <w:top w:w="50" w:type="dxa"/>
              <w:left w:w="80" w:type="dxa"/>
              <w:bottom w:w="50" w:type="dxa"/>
              <w:right w:w="80" w:type="dxa"/>
            </w:tcMar>
            <w:vAlign w:val="center"/>
          </w:tcPr>
          <w:p w14:paraId="56CE4A63" w14:textId="77777777" w:rsidR="002F6628" w:rsidRDefault="00303CC7">
            <w:r>
              <w:rPr>
                <w:rFonts w:ascii="Calibri" w:eastAsia="Calibri" w:hAnsi="Calibri" w:cs="Calibri"/>
                <w:sz w:val="18"/>
                <w:szCs w:val="18"/>
              </w:rPr>
              <w:t>Herlev</w:t>
            </w:r>
          </w:p>
        </w:tc>
        <w:tc>
          <w:tcPr>
            <w:tcW w:w="950" w:type="dxa"/>
            <w:tcMar>
              <w:top w:w="50" w:type="dxa"/>
              <w:left w:w="80" w:type="dxa"/>
              <w:bottom w:w="50" w:type="dxa"/>
              <w:right w:w="80" w:type="dxa"/>
            </w:tcMar>
            <w:vAlign w:val="center"/>
          </w:tcPr>
          <w:p w14:paraId="4308A79C"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3E12D7E0"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73F07BCC"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6BCA2FA0"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46920A55" w14:textId="77777777" w:rsidR="002F6628" w:rsidRDefault="00303CC7">
            <w:r>
              <w:rPr>
                <w:rFonts w:ascii="Calibri" w:eastAsia="Calibri" w:hAnsi="Calibri" w:cs="Calibri"/>
                <w:sz w:val="18"/>
                <w:szCs w:val="18"/>
              </w:rPr>
              <w:t>—</w:t>
            </w:r>
          </w:p>
        </w:tc>
        <w:tc>
          <w:tcPr>
            <w:tcW w:w="910" w:type="dxa"/>
            <w:tcMar>
              <w:top w:w="50" w:type="dxa"/>
              <w:left w:w="80" w:type="dxa"/>
              <w:bottom w:w="50" w:type="dxa"/>
              <w:right w:w="80" w:type="dxa"/>
            </w:tcMar>
            <w:vAlign w:val="center"/>
          </w:tcPr>
          <w:p w14:paraId="6BA3266F" w14:textId="77777777" w:rsidR="002F6628" w:rsidRDefault="00303CC7">
            <w:r>
              <w:rPr>
                <w:rFonts w:ascii="Calibri" w:eastAsia="Calibri" w:hAnsi="Calibri" w:cs="Calibri"/>
                <w:sz w:val="18"/>
                <w:szCs w:val="18"/>
              </w:rPr>
              <w:t>—</w:t>
            </w:r>
          </w:p>
        </w:tc>
      </w:tr>
      <w:tr w:rsidR="002F6628" w14:paraId="14CB0DBC" w14:textId="77777777">
        <w:tc>
          <w:tcPr>
            <w:tcW w:w="1800" w:type="dxa"/>
            <w:tcMar>
              <w:top w:w="50" w:type="dxa"/>
              <w:left w:w="80" w:type="dxa"/>
              <w:bottom w:w="50" w:type="dxa"/>
              <w:right w:w="80" w:type="dxa"/>
            </w:tcMar>
            <w:vAlign w:val="center"/>
          </w:tcPr>
          <w:p w14:paraId="28070006" w14:textId="77777777" w:rsidR="002F6628" w:rsidRDefault="00303CC7">
            <w:r>
              <w:rPr>
                <w:rFonts w:ascii="Calibri" w:eastAsia="Calibri" w:hAnsi="Calibri" w:cs="Calibri"/>
                <w:sz w:val="18"/>
                <w:szCs w:val="18"/>
              </w:rPr>
              <w:t>(Extensible a SIPaKMeD, RIVA)</w:t>
            </w:r>
          </w:p>
        </w:tc>
        <w:tc>
          <w:tcPr>
            <w:tcW w:w="900" w:type="dxa"/>
            <w:tcMar>
              <w:top w:w="50" w:type="dxa"/>
              <w:left w:w="80" w:type="dxa"/>
              <w:bottom w:w="50" w:type="dxa"/>
              <w:right w:w="80" w:type="dxa"/>
            </w:tcMar>
            <w:vAlign w:val="center"/>
          </w:tcPr>
          <w:p w14:paraId="2F98A5CC"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0E1D3EC1"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12FD3C12"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17F63CBB"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5C84A2A1" w14:textId="77777777" w:rsidR="002F6628" w:rsidRDefault="00303CC7">
            <w:r>
              <w:rPr>
                <w:rFonts w:ascii="Calibri" w:eastAsia="Calibri" w:hAnsi="Calibri" w:cs="Calibri"/>
                <w:sz w:val="18"/>
                <w:szCs w:val="18"/>
              </w:rPr>
              <w:t>…</w:t>
            </w:r>
          </w:p>
        </w:tc>
        <w:tc>
          <w:tcPr>
            <w:tcW w:w="950" w:type="dxa"/>
            <w:tcMar>
              <w:top w:w="50" w:type="dxa"/>
              <w:left w:w="80" w:type="dxa"/>
              <w:bottom w:w="50" w:type="dxa"/>
              <w:right w:w="80" w:type="dxa"/>
            </w:tcMar>
            <w:vAlign w:val="center"/>
          </w:tcPr>
          <w:p w14:paraId="675FEC61" w14:textId="77777777" w:rsidR="002F6628" w:rsidRDefault="00303CC7">
            <w:r>
              <w:rPr>
                <w:rFonts w:ascii="Calibri" w:eastAsia="Calibri" w:hAnsi="Calibri" w:cs="Calibri"/>
                <w:sz w:val="18"/>
                <w:szCs w:val="18"/>
              </w:rPr>
              <w:t>…</w:t>
            </w:r>
          </w:p>
        </w:tc>
        <w:tc>
          <w:tcPr>
            <w:tcW w:w="910" w:type="dxa"/>
            <w:tcMar>
              <w:top w:w="50" w:type="dxa"/>
              <w:left w:w="80" w:type="dxa"/>
              <w:bottom w:w="50" w:type="dxa"/>
              <w:right w:w="80" w:type="dxa"/>
            </w:tcMar>
            <w:vAlign w:val="center"/>
          </w:tcPr>
          <w:p w14:paraId="65FC22AC" w14:textId="77777777" w:rsidR="002F6628" w:rsidRDefault="00303CC7">
            <w:r>
              <w:rPr>
                <w:rFonts w:ascii="Calibri" w:eastAsia="Calibri" w:hAnsi="Calibri" w:cs="Calibri"/>
                <w:sz w:val="18"/>
                <w:szCs w:val="18"/>
              </w:rPr>
              <w:t>…</w:t>
            </w:r>
          </w:p>
        </w:tc>
      </w:tr>
    </w:tbl>
    <w:p w14:paraId="4CDA9254" w14:textId="77777777" w:rsidR="002F6628" w:rsidRDefault="00303CC7">
      <w:pPr>
        <w:spacing w:before="40" w:after="140"/>
        <w:jc w:val="center"/>
      </w:pPr>
      <w:r>
        <w:rPr>
          <w:rFonts w:ascii="Calibri" w:eastAsia="Calibri" w:hAnsi="Calibri" w:cs="Calibri"/>
          <w:i/>
          <w:iCs/>
          <w:sz w:val="18"/>
          <w:szCs w:val="18"/>
        </w:rPr>
        <w:t>Fuente: elaboración propia. Tabla a completar durante la ejecución de la etapa empírica de la investigación.</w:t>
      </w:r>
    </w:p>
    <w:p w14:paraId="782C80B8" w14:textId="77777777" w:rsidR="002F6628" w:rsidRDefault="00303CC7">
      <w:pPr>
        <w:spacing w:before="220" w:after="150"/>
        <w:jc w:val="center"/>
      </w:pPr>
      <w:r>
        <w:rPr>
          <w:rFonts w:ascii="Calibri" w:eastAsia="Calibri" w:hAnsi="Calibri" w:cs="Calibri"/>
          <w:b/>
          <w:bCs/>
          <w:sz w:val="32"/>
          <w:szCs w:val="32"/>
        </w:rPr>
        <w:t>ANÁLISIS DE EXPLICABILIDAD DE LOS ALGORITMOS</w:t>
      </w:r>
    </w:p>
    <w:p w14:paraId="5E531BBC" w14:textId="77777777" w:rsidR="002F6628" w:rsidRDefault="00303CC7">
      <w:pPr>
        <w:spacing w:before="170" w:after="120"/>
        <w:jc w:val="center"/>
      </w:pPr>
      <w:r>
        <w:rPr>
          <w:rFonts w:ascii="Calibri" w:eastAsia="Calibri" w:hAnsi="Calibri" w:cs="Calibri"/>
          <w:b/>
          <w:bCs/>
          <w:sz w:val="28"/>
          <w:szCs w:val="28"/>
        </w:rPr>
        <w:t>5.1. Criterios para la Evaluación de Explicabilidad</w:t>
      </w:r>
    </w:p>
    <w:p w14:paraId="355BF61B" w14:textId="77777777" w:rsidR="002F6628" w:rsidRDefault="00303CC7">
      <w:pPr>
        <w:spacing w:after="120" w:line="232" w:lineRule="auto"/>
        <w:jc w:val="both"/>
      </w:pPr>
      <w:r>
        <w:rPr>
          <w:rFonts w:ascii="Calibri" w:eastAsia="Calibri" w:hAnsi="Calibri" w:cs="Calibri"/>
          <w:sz w:val="24"/>
          <w:szCs w:val="24"/>
        </w:rPr>
        <w:t>Para evaluar el nivel de explicabilidad inherente de los algoritmos, se utiliza un marco basado en tres dimensiones, coherente con la conceptualización de XAI presentada en la Sección 2.3</w:t>
      </w:r>
      <w:r>
        <w:rPr>
          <w:rFonts w:ascii="Calibri" w:eastAsia="Calibri" w:hAnsi="Calibri" w:cs="Calibri"/>
          <w:sz w:val="24"/>
          <w:szCs w:val="24"/>
          <w:vertAlign w:val="superscript"/>
        </w:rPr>
        <w:t>(8)</w:t>
      </w:r>
      <w:r>
        <w:rPr>
          <w:rFonts w:ascii="Calibri" w:eastAsia="Calibri" w:hAnsi="Calibri" w:cs="Calibri"/>
          <w:sz w:val="24"/>
          <w:szCs w:val="24"/>
        </w:rPr>
        <w:t xml:space="preserve">: Transparencia (Transparency), capacidad del modelo para ser comprendido en su totalidad por un experto humano, incluyendo la simplicidad estructural y la posibilidad de inspeccionar los parámetros internos; Interpretabilidad (Interpretability), capacidad del modelo para </w:t>
      </w:r>
      <w:r>
        <w:rPr>
          <w:rFonts w:ascii="Calibri" w:eastAsia="Calibri" w:hAnsi="Calibri" w:cs="Calibri"/>
          <w:sz w:val="24"/>
          <w:szCs w:val="24"/>
        </w:rPr>
        <w:lastRenderedPageBreak/>
        <w:t>proporcionar explicaciones comprensibles sobre sus predicciones, ya sea a nivel global (qué características son más importantes en general) o local (por qué se hizo una predicción específica); y Auditabilidad (Auditability), capacidad del modelo para ser verificado y validado por terceros, incluyendo la trazabilidad de las decisiones y la posibilidad de generar explicaciones post-hoc mediante técnicas como SHAP</w:t>
      </w:r>
      <w:r>
        <w:rPr>
          <w:rFonts w:ascii="Calibri" w:eastAsia="Calibri" w:hAnsi="Calibri" w:cs="Calibri"/>
          <w:sz w:val="24"/>
          <w:szCs w:val="24"/>
          <w:vertAlign w:val="superscript"/>
        </w:rPr>
        <w:t>(23)</w:t>
      </w:r>
      <w:r>
        <w:rPr>
          <w:rFonts w:ascii="Calibri" w:eastAsia="Calibri" w:hAnsi="Calibri" w:cs="Calibri"/>
          <w:sz w:val="24"/>
          <w:szCs w:val="24"/>
        </w:rPr>
        <w:t>, LIME</w:t>
      </w:r>
      <w:r>
        <w:rPr>
          <w:rFonts w:ascii="Calibri" w:eastAsia="Calibri" w:hAnsi="Calibri" w:cs="Calibri"/>
          <w:sz w:val="24"/>
          <w:szCs w:val="24"/>
          <w:vertAlign w:val="superscript"/>
        </w:rPr>
        <w:t>(24)</w:t>
      </w:r>
      <w:r>
        <w:rPr>
          <w:rFonts w:ascii="Calibri" w:eastAsia="Calibri" w:hAnsi="Calibri" w:cs="Calibri"/>
          <w:sz w:val="24"/>
          <w:szCs w:val="24"/>
        </w:rPr>
        <w:t xml:space="preserve"> o Grad-CAM</w:t>
      </w:r>
      <w:r>
        <w:rPr>
          <w:rFonts w:ascii="Calibri" w:eastAsia="Calibri" w:hAnsi="Calibri" w:cs="Calibri"/>
          <w:sz w:val="24"/>
          <w:szCs w:val="24"/>
          <w:vertAlign w:val="superscript"/>
        </w:rPr>
        <w:t>(25)</w:t>
      </w:r>
      <w:r>
        <w:rPr>
          <w:rFonts w:ascii="Calibri" w:eastAsia="Calibri" w:hAnsi="Calibri" w:cs="Calibri"/>
          <w:sz w:val="24"/>
          <w:szCs w:val="24"/>
        </w:rPr>
        <w:t>.</w:t>
      </w:r>
    </w:p>
    <w:p w14:paraId="23FD387C" w14:textId="77777777" w:rsidR="002F6628" w:rsidRDefault="00303CC7">
      <w:pPr>
        <w:spacing w:before="170" w:after="120"/>
        <w:jc w:val="center"/>
      </w:pPr>
      <w:r>
        <w:rPr>
          <w:rFonts w:ascii="Calibri" w:eastAsia="Calibri" w:hAnsi="Calibri" w:cs="Calibri"/>
          <w:b/>
          <w:bCs/>
          <w:sz w:val="28"/>
          <w:szCs w:val="28"/>
        </w:rPr>
        <w:t>5.2. Evaluación Comparativa de Explicabilidad</w:t>
      </w:r>
    </w:p>
    <w:p w14:paraId="446CBC3F" w14:textId="77777777" w:rsidR="002F6628" w:rsidRDefault="00303CC7">
      <w:pPr>
        <w:spacing w:before="80" w:after="140"/>
        <w:jc w:val="center"/>
      </w:pPr>
      <w:r>
        <w:rPr>
          <w:rFonts w:ascii="Calibri" w:eastAsia="Calibri" w:hAnsi="Calibri" w:cs="Calibri"/>
          <w:b/>
          <w:bCs/>
          <w:sz w:val="22"/>
          <w:szCs w:val="22"/>
        </w:rPr>
        <w:t>Tabla 3. Nivel de explicabilidad de los algoritmos evaluados.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400"/>
        <w:gridCol w:w="2560"/>
        <w:gridCol w:w="1600"/>
        <w:gridCol w:w="1600"/>
      </w:tblGrid>
      <w:tr w:rsidR="002F6628" w14:paraId="2E774E7B" w14:textId="77777777">
        <w:trPr>
          <w:tblHeader/>
        </w:trPr>
        <w:tc>
          <w:tcPr>
            <w:tcW w:w="2200" w:type="dxa"/>
            <w:shd w:val="clear" w:color="auto" w:fill="D9D9D9"/>
            <w:tcMar>
              <w:top w:w="60" w:type="dxa"/>
              <w:left w:w="80" w:type="dxa"/>
              <w:bottom w:w="60" w:type="dxa"/>
              <w:right w:w="80" w:type="dxa"/>
            </w:tcMar>
            <w:vAlign w:val="center"/>
          </w:tcPr>
          <w:p w14:paraId="1A7E9681" w14:textId="77777777" w:rsidR="002F6628" w:rsidRDefault="00303CC7">
            <w:pPr>
              <w:jc w:val="center"/>
            </w:pPr>
            <w:r>
              <w:rPr>
                <w:rFonts w:ascii="Calibri" w:eastAsia="Calibri" w:hAnsi="Calibri" w:cs="Calibri"/>
                <w:b/>
                <w:bCs/>
                <w:sz w:val="18"/>
                <w:szCs w:val="18"/>
              </w:rPr>
              <w:t>Algoritmo</w:t>
            </w:r>
          </w:p>
        </w:tc>
        <w:tc>
          <w:tcPr>
            <w:tcW w:w="1400" w:type="dxa"/>
            <w:shd w:val="clear" w:color="auto" w:fill="D9D9D9"/>
            <w:tcMar>
              <w:top w:w="60" w:type="dxa"/>
              <w:left w:w="80" w:type="dxa"/>
              <w:bottom w:w="60" w:type="dxa"/>
              <w:right w:w="80" w:type="dxa"/>
            </w:tcMar>
            <w:vAlign w:val="center"/>
          </w:tcPr>
          <w:p w14:paraId="05608FA2" w14:textId="77777777" w:rsidR="002F6628" w:rsidRDefault="00303CC7">
            <w:pPr>
              <w:jc w:val="center"/>
            </w:pPr>
            <w:r>
              <w:rPr>
                <w:rFonts w:ascii="Calibri" w:eastAsia="Calibri" w:hAnsi="Calibri" w:cs="Calibri"/>
                <w:b/>
                <w:bCs/>
                <w:sz w:val="18"/>
                <w:szCs w:val="18"/>
              </w:rPr>
              <w:t>Transparencia</w:t>
            </w:r>
          </w:p>
        </w:tc>
        <w:tc>
          <w:tcPr>
            <w:tcW w:w="2560" w:type="dxa"/>
            <w:shd w:val="clear" w:color="auto" w:fill="D9D9D9"/>
            <w:tcMar>
              <w:top w:w="60" w:type="dxa"/>
              <w:left w:w="80" w:type="dxa"/>
              <w:bottom w:w="60" w:type="dxa"/>
              <w:right w:w="80" w:type="dxa"/>
            </w:tcMar>
            <w:vAlign w:val="center"/>
          </w:tcPr>
          <w:p w14:paraId="6472F93D" w14:textId="77777777" w:rsidR="002F6628" w:rsidRDefault="00303CC7">
            <w:pPr>
              <w:jc w:val="center"/>
            </w:pPr>
            <w:r>
              <w:rPr>
                <w:rFonts w:ascii="Calibri" w:eastAsia="Calibri" w:hAnsi="Calibri" w:cs="Calibri"/>
                <w:b/>
                <w:bCs/>
                <w:sz w:val="18"/>
                <w:szCs w:val="18"/>
              </w:rPr>
              <w:t>Interpretabilidad</w:t>
            </w:r>
          </w:p>
        </w:tc>
        <w:tc>
          <w:tcPr>
            <w:tcW w:w="1600" w:type="dxa"/>
            <w:shd w:val="clear" w:color="auto" w:fill="D9D9D9"/>
            <w:tcMar>
              <w:top w:w="60" w:type="dxa"/>
              <w:left w:w="80" w:type="dxa"/>
              <w:bottom w:w="60" w:type="dxa"/>
              <w:right w:w="80" w:type="dxa"/>
            </w:tcMar>
            <w:vAlign w:val="center"/>
          </w:tcPr>
          <w:p w14:paraId="29D08CA0" w14:textId="77777777" w:rsidR="002F6628" w:rsidRDefault="00303CC7">
            <w:pPr>
              <w:jc w:val="center"/>
            </w:pPr>
            <w:r>
              <w:rPr>
                <w:rFonts w:ascii="Calibri" w:eastAsia="Calibri" w:hAnsi="Calibri" w:cs="Calibri"/>
                <w:b/>
                <w:bCs/>
                <w:sz w:val="18"/>
                <w:szCs w:val="18"/>
              </w:rPr>
              <w:t>Auditabilidad</w:t>
            </w:r>
          </w:p>
        </w:tc>
        <w:tc>
          <w:tcPr>
            <w:tcW w:w="1600" w:type="dxa"/>
            <w:shd w:val="clear" w:color="auto" w:fill="D9D9D9"/>
            <w:tcMar>
              <w:top w:w="60" w:type="dxa"/>
              <w:left w:w="80" w:type="dxa"/>
              <w:bottom w:w="60" w:type="dxa"/>
              <w:right w:w="80" w:type="dxa"/>
            </w:tcMar>
            <w:vAlign w:val="center"/>
          </w:tcPr>
          <w:p w14:paraId="40AFAC71" w14:textId="77777777" w:rsidR="002F6628" w:rsidRDefault="00303CC7">
            <w:pPr>
              <w:jc w:val="center"/>
            </w:pPr>
            <w:r>
              <w:rPr>
                <w:rFonts w:ascii="Calibri" w:eastAsia="Calibri" w:hAnsi="Calibri" w:cs="Calibri"/>
                <w:b/>
                <w:bCs/>
                <w:sz w:val="18"/>
                <w:szCs w:val="18"/>
              </w:rPr>
              <w:t>Explicabilidad Global</w:t>
            </w:r>
          </w:p>
        </w:tc>
      </w:tr>
      <w:tr w:rsidR="002F6628" w14:paraId="22461649" w14:textId="77777777">
        <w:tc>
          <w:tcPr>
            <w:tcW w:w="2200" w:type="dxa"/>
            <w:tcMar>
              <w:top w:w="50" w:type="dxa"/>
              <w:left w:w="80" w:type="dxa"/>
              <w:bottom w:w="50" w:type="dxa"/>
              <w:right w:w="80" w:type="dxa"/>
            </w:tcMar>
            <w:vAlign w:val="center"/>
          </w:tcPr>
          <w:p w14:paraId="320A9FF3" w14:textId="77777777" w:rsidR="002F6628" w:rsidRDefault="00303CC7">
            <w:r>
              <w:rPr>
                <w:rFonts w:ascii="Calibri" w:eastAsia="Calibri" w:hAnsi="Calibri" w:cs="Calibri"/>
                <w:sz w:val="18"/>
                <w:szCs w:val="18"/>
              </w:rPr>
              <w:t>Regresión Logística</w:t>
            </w:r>
          </w:p>
        </w:tc>
        <w:tc>
          <w:tcPr>
            <w:tcW w:w="1400" w:type="dxa"/>
            <w:tcMar>
              <w:top w:w="50" w:type="dxa"/>
              <w:left w:w="80" w:type="dxa"/>
              <w:bottom w:w="50" w:type="dxa"/>
              <w:right w:w="80" w:type="dxa"/>
            </w:tcMar>
            <w:vAlign w:val="center"/>
          </w:tcPr>
          <w:p w14:paraId="5CA6E9E5" w14:textId="77777777" w:rsidR="002F6628" w:rsidRDefault="00303CC7">
            <w:r>
              <w:rPr>
                <w:rFonts w:ascii="Calibri" w:eastAsia="Calibri" w:hAnsi="Calibri" w:cs="Calibri"/>
                <w:sz w:val="18"/>
                <w:szCs w:val="18"/>
              </w:rPr>
              <w:t>Alta</w:t>
            </w:r>
          </w:p>
        </w:tc>
        <w:tc>
          <w:tcPr>
            <w:tcW w:w="2560" w:type="dxa"/>
            <w:tcMar>
              <w:top w:w="50" w:type="dxa"/>
              <w:left w:w="80" w:type="dxa"/>
              <w:bottom w:w="50" w:type="dxa"/>
              <w:right w:w="80" w:type="dxa"/>
            </w:tcMar>
            <w:vAlign w:val="center"/>
          </w:tcPr>
          <w:p w14:paraId="0A67CE03" w14:textId="77777777" w:rsidR="002F6628" w:rsidRDefault="00303CC7">
            <w:r>
              <w:rPr>
                <w:rFonts w:ascii="Calibri" w:eastAsia="Calibri" w:hAnsi="Calibri" w:cs="Calibri"/>
                <w:sz w:val="18"/>
                <w:szCs w:val="18"/>
              </w:rPr>
              <w:t>Alta (coeficientes)</w:t>
            </w:r>
          </w:p>
        </w:tc>
        <w:tc>
          <w:tcPr>
            <w:tcW w:w="1600" w:type="dxa"/>
            <w:tcMar>
              <w:top w:w="50" w:type="dxa"/>
              <w:left w:w="80" w:type="dxa"/>
              <w:bottom w:w="50" w:type="dxa"/>
              <w:right w:w="80" w:type="dxa"/>
            </w:tcMar>
            <w:vAlign w:val="center"/>
          </w:tcPr>
          <w:p w14:paraId="4B56F812" w14:textId="77777777" w:rsidR="002F6628" w:rsidRDefault="00303CC7">
            <w:r>
              <w:rPr>
                <w:rFonts w:ascii="Calibri" w:eastAsia="Calibri" w:hAnsi="Calibri" w:cs="Calibri"/>
                <w:sz w:val="18"/>
                <w:szCs w:val="18"/>
              </w:rPr>
              <w:t>Alta</w:t>
            </w:r>
          </w:p>
        </w:tc>
        <w:tc>
          <w:tcPr>
            <w:tcW w:w="1600" w:type="dxa"/>
            <w:tcMar>
              <w:top w:w="50" w:type="dxa"/>
              <w:left w:w="80" w:type="dxa"/>
              <w:bottom w:w="50" w:type="dxa"/>
              <w:right w:w="80" w:type="dxa"/>
            </w:tcMar>
            <w:vAlign w:val="center"/>
          </w:tcPr>
          <w:p w14:paraId="6277A01B" w14:textId="77777777" w:rsidR="002F6628" w:rsidRDefault="00303CC7">
            <w:r>
              <w:rPr>
                <w:rFonts w:ascii="Calibri" w:eastAsia="Calibri" w:hAnsi="Calibri" w:cs="Calibri"/>
                <w:sz w:val="18"/>
                <w:szCs w:val="18"/>
              </w:rPr>
              <w:t>Alta</w:t>
            </w:r>
          </w:p>
        </w:tc>
      </w:tr>
      <w:tr w:rsidR="002F6628" w14:paraId="5FC97EF3" w14:textId="77777777">
        <w:tc>
          <w:tcPr>
            <w:tcW w:w="2200" w:type="dxa"/>
            <w:tcMar>
              <w:top w:w="50" w:type="dxa"/>
              <w:left w:w="80" w:type="dxa"/>
              <w:bottom w:w="50" w:type="dxa"/>
              <w:right w:w="80" w:type="dxa"/>
            </w:tcMar>
            <w:vAlign w:val="center"/>
          </w:tcPr>
          <w:p w14:paraId="75D1A643" w14:textId="77777777" w:rsidR="002F6628" w:rsidRDefault="00303CC7">
            <w:r>
              <w:rPr>
                <w:rFonts w:ascii="Calibri" w:eastAsia="Calibri" w:hAnsi="Calibri" w:cs="Calibri"/>
                <w:sz w:val="18"/>
                <w:szCs w:val="18"/>
              </w:rPr>
              <w:t>Decision Tree</w:t>
            </w:r>
          </w:p>
        </w:tc>
        <w:tc>
          <w:tcPr>
            <w:tcW w:w="1400" w:type="dxa"/>
            <w:tcMar>
              <w:top w:w="50" w:type="dxa"/>
              <w:left w:w="80" w:type="dxa"/>
              <w:bottom w:w="50" w:type="dxa"/>
              <w:right w:w="80" w:type="dxa"/>
            </w:tcMar>
            <w:vAlign w:val="center"/>
          </w:tcPr>
          <w:p w14:paraId="06E45DF1" w14:textId="77777777" w:rsidR="002F6628" w:rsidRDefault="00303CC7">
            <w:r>
              <w:rPr>
                <w:rFonts w:ascii="Calibri" w:eastAsia="Calibri" w:hAnsi="Calibri" w:cs="Calibri"/>
                <w:sz w:val="18"/>
                <w:szCs w:val="18"/>
              </w:rPr>
              <w:t>Alta</w:t>
            </w:r>
          </w:p>
        </w:tc>
        <w:tc>
          <w:tcPr>
            <w:tcW w:w="2560" w:type="dxa"/>
            <w:tcMar>
              <w:top w:w="50" w:type="dxa"/>
              <w:left w:w="80" w:type="dxa"/>
              <w:bottom w:w="50" w:type="dxa"/>
              <w:right w:w="80" w:type="dxa"/>
            </w:tcMar>
            <w:vAlign w:val="center"/>
          </w:tcPr>
          <w:p w14:paraId="01F494EF" w14:textId="77777777" w:rsidR="002F6628" w:rsidRDefault="00303CC7">
            <w:r>
              <w:rPr>
                <w:rFonts w:ascii="Calibri" w:eastAsia="Calibri" w:hAnsi="Calibri" w:cs="Calibri"/>
                <w:sz w:val="18"/>
                <w:szCs w:val="18"/>
              </w:rPr>
              <w:t>Alta (reglas)</w:t>
            </w:r>
          </w:p>
        </w:tc>
        <w:tc>
          <w:tcPr>
            <w:tcW w:w="1600" w:type="dxa"/>
            <w:tcMar>
              <w:top w:w="50" w:type="dxa"/>
              <w:left w:w="80" w:type="dxa"/>
              <w:bottom w:w="50" w:type="dxa"/>
              <w:right w:w="80" w:type="dxa"/>
            </w:tcMar>
            <w:vAlign w:val="center"/>
          </w:tcPr>
          <w:p w14:paraId="1F025903" w14:textId="77777777" w:rsidR="002F6628" w:rsidRDefault="00303CC7">
            <w:r>
              <w:rPr>
                <w:rFonts w:ascii="Calibri" w:eastAsia="Calibri" w:hAnsi="Calibri" w:cs="Calibri"/>
                <w:sz w:val="18"/>
                <w:szCs w:val="18"/>
              </w:rPr>
              <w:t>Alta</w:t>
            </w:r>
          </w:p>
        </w:tc>
        <w:tc>
          <w:tcPr>
            <w:tcW w:w="1600" w:type="dxa"/>
            <w:tcMar>
              <w:top w:w="50" w:type="dxa"/>
              <w:left w:w="80" w:type="dxa"/>
              <w:bottom w:w="50" w:type="dxa"/>
              <w:right w:w="80" w:type="dxa"/>
            </w:tcMar>
            <w:vAlign w:val="center"/>
          </w:tcPr>
          <w:p w14:paraId="381D86CF" w14:textId="77777777" w:rsidR="002F6628" w:rsidRDefault="00303CC7">
            <w:r>
              <w:rPr>
                <w:rFonts w:ascii="Calibri" w:eastAsia="Calibri" w:hAnsi="Calibri" w:cs="Calibri"/>
                <w:sz w:val="18"/>
                <w:szCs w:val="18"/>
              </w:rPr>
              <w:t>Alta</w:t>
            </w:r>
          </w:p>
        </w:tc>
      </w:tr>
      <w:tr w:rsidR="002F6628" w14:paraId="2411B10F" w14:textId="77777777">
        <w:tc>
          <w:tcPr>
            <w:tcW w:w="2200" w:type="dxa"/>
            <w:tcMar>
              <w:top w:w="50" w:type="dxa"/>
              <w:left w:w="80" w:type="dxa"/>
              <w:bottom w:w="50" w:type="dxa"/>
              <w:right w:w="80" w:type="dxa"/>
            </w:tcMar>
            <w:vAlign w:val="center"/>
          </w:tcPr>
          <w:p w14:paraId="5018229E" w14:textId="77777777" w:rsidR="002F6628" w:rsidRDefault="00303CC7">
            <w:r>
              <w:rPr>
                <w:rFonts w:ascii="Calibri" w:eastAsia="Calibri" w:hAnsi="Calibri" w:cs="Calibri"/>
                <w:sz w:val="18"/>
                <w:szCs w:val="18"/>
              </w:rPr>
              <w:t>SVM (kernel lineal)</w:t>
            </w:r>
          </w:p>
        </w:tc>
        <w:tc>
          <w:tcPr>
            <w:tcW w:w="1400" w:type="dxa"/>
            <w:tcMar>
              <w:top w:w="50" w:type="dxa"/>
              <w:left w:w="80" w:type="dxa"/>
              <w:bottom w:w="50" w:type="dxa"/>
              <w:right w:w="80" w:type="dxa"/>
            </w:tcMar>
            <w:vAlign w:val="center"/>
          </w:tcPr>
          <w:p w14:paraId="48F4E848" w14:textId="77777777" w:rsidR="002F6628" w:rsidRDefault="00303CC7">
            <w:r>
              <w:rPr>
                <w:rFonts w:ascii="Calibri" w:eastAsia="Calibri" w:hAnsi="Calibri" w:cs="Calibri"/>
                <w:sz w:val="18"/>
                <w:szCs w:val="18"/>
              </w:rPr>
              <w:t>Media</w:t>
            </w:r>
          </w:p>
        </w:tc>
        <w:tc>
          <w:tcPr>
            <w:tcW w:w="2560" w:type="dxa"/>
            <w:tcMar>
              <w:top w:w="50" w:type="dxa"/>
              <w:left w:w="80" w:type="dxa"/>
              <w:bottom w:w="50" w:type="dxa"/>
              <w:right w:w="80" w:type="dxa"/>
            </w:tcMar>
            <w:vAlign w:val="center"/>
          </w:tcPr>
          <w:p w14:paraId="767FE6AC" w14:textId="77777777" w:rsidR="002F6628" w:rsidRDefault="00303CC7">
            <w:r>
              <w:rPr>
                <w:rFonts w:ascii="Calibri" w:eastAsia="Calibri" w:hAnsi="Calibri" w:cs="Calibri"/>
                <w:sz w:val="18"/>
                <w:szCs w:val="18"/>
              </w:rPr>
              <w:t>Media (weights)</w:t>
            </w:r>
          </w:p>
        </w:tc>
        <w:tc>
          <w:tcPr>
            <w:tcW w:w="1600" w:type="dxa"/>
            <w:tcMar>
              <w:top w:w="50" w:type="dxa"/>
              <w:left w:w="80" w:type="dxa"/>
              <w:bottom w:w="50" w:type="dxa"/>
              <w:right w:w="80" w:type="dxa"/>
            </w:tcMar>
            <w:vAlign w:val="center"/>
          </w:tcPr>
          <w:p w14:paraId="23C1507E"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4A39BCED" w14:textId="77777777" w:rsidR="002F6628" w:rsidRDefault="00303CC7">
            <w:r>
              <w:rPr>
                <w:rFonts w:ascii="Calibri" w:eastAsia="Calibri" w:hAnsi="Calibri" w:cs="Calibri"/>
                <w:sz w:val="18"/>
                <w:szCs w:val="18"/>
              </w:rPr>
              <w:t>Media-Alta</w:t>
            </w:r>
          </w:p>
        </w:tc>
      </w:tr>
      <w:tr w:rsidR="002F6628" w14:paraId="4202EF5B" w14:textId="77777777">
        <w:tc>
          <w:tcPr>
            <w:tcW w:w="2200" w:type="dxa"/>
            <w:tcMar>
              <w:top w:w="50" w:type="dxa"/>
              <w:left w:w="80" w:type="dxa"/>
              <w:bottom w:w="50" w:type="dxa"/>
              <w:right w:w="80" w:type="dxa"/>
            </w:tcMar>
            <w:vAlign w:val="center"/>
          </w:tcPr>
          <w:p w14:paraId="55C24193" w14:textId="77777777" w:rsidR="002F6628" w:rsidRDefault="00303CC7">
            <w:r>
              <w:rPr>
                <w:rFonts w:ascii="Calibri" w:eastAsia="Calibri" w:hAnsi="Calibri" w:cs="Calibri"/>
                <w:sz w:val="18"/>
                <w:szCs w:val="18"/>
              </w:rPr>
              <w:t>SVM (kernel RBF)</w:t>
            </w:r>
          </w:p>
        </w:tc>
        <w:tc>
          <w:tcPr>
            <w:tcW w:w="1400" w:type="dxa"/>
            <w:tcMar>
              <w:top w:w="50" w:type="dxa"/>
              <w:left w:w="80" w:type="dxa"/>
              <w:bottom w:w="50" w:type="dxa"/>
              <w:right w:w="80" w:type="dxa"/>
            </w:tcMar>
            <w:vAlign w:val="center"/>
          </w:tcPr>
          <w:p w14:paraId="185A75ED" w14:textId="77777777" w:rsidR="002F6628" w:rsidRDefault="00303CC7">
            <w:r>
              <w:rPr>
                <w:rFonts w:ascii="Calibri" w:eastAsia="Calibri" w:hAnsi="Calibri" w:cs="Calibri"/>
                <w:sz w:val="18"/>
                <w:szCs w:val="18"/>
              </w:rPr>
              <w:t>Baja</w:t>
            </w:r>
          </w:p>
        </w:tc>
        <w:tc>
          <w:tcPr>
            <w:tcW w:w="2560" w:type="dxa"/>
            <w:tcMar>
              <w:top w:w="50" w:type="dxa"/>
              <w:left w:w="80" w:type="dxa"/>
              <w:bottom w:w="50" w:type="dxa"/>
              <w:right w:w="80" w:type="dxa"/>
            </w:tcMar>
            <w:vAlign w:val="center"/>
          </w:tcPr>
          <w:p w14:paraId="616AD08C" w14:textId="77777777" w:rsidR="002F6628" w:rsidRDefault="00303CC7">
            <w:r>
              <w:rPr>
                <w:rFonts w:ascii="Calibri" w:eastAsia="Calibri" w:hAnsi="Calibri" w:cs="Calibri"/>
                <w:sz w:val="18"/>
                <w:szCs w:val="18"/>
              </w:rPr>
              <w:t>Baja (post-hoc)</w:t>
            </w:r>
          </w:p>
        </w:tc>
        <w:tc>
          <w:tcPr>
            <w:tcW w:w="1600" w:type="dxa"/>
            <w:tcMar>
              <w:top w:w="50" w:type="dxa"/>
              <w:left w:w="80" w:type="dxa"/>
              <w:bottom w:w="50" w:type="dxa"/>
              <w:right w:w="80" w:type="dxa"/>
            </w:tcMar>
            <w:vAlign w:val="center"/>
          </w:tcPr>
          <w:p w14:paraId="59CF87B0"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09955C4F" w14:textId="77777777" w:rsidR="002F6628" w:rsidRDefault="00303CC7">
            <w:r>
              <w:rPr>
                <w:rFonts w:ascii="Calibri" w:eastAsia="Calibri" w:hAnsi="Calibri" w:cs="Calibri"/>
                <w:sz w:val="18"/>
                <w:szCs w:val="18"/>
              </w:rPr>
              <w:t>Media-Baja</w:t>
            </w:r>
          </w:p>
        </w:tc>
      </w:tr>
      <w:tr w:rsidR="002F6628" w14:paraId="072254AA" w14:textId="77777777">
        <w:tc>
          <w:tcPr>
            <w:tcW w:w="2200" w:type="dxa"/>
            <w:tcMar>
              <w:top w:w="50" w:type="dxa"/>
              <w:left w:w="80" w:type="dxa"/>
              <w:bottom w:w="50" w:type="dxa"/>
              <w:right w:w="80" w:type="dxa"/>
            </w:tcMar>
            <w:vAlign w:val="center"/>
          </w:tcPr>
          <w:p w14:paraId="05A559CB" w14:textId="77777777" w:rsidR="002F6628" w:rsidRDefault="00303CC7">
            <w:r>
              <w:rPr>
                <w:rFonts w:ascii="Calibri" w:eastAsia="Calibri" w:hAnsi="Calibri" w:cs="Calibri"/>
                <w:sz w:val="18"/>
                <w:szCs w:val="18"/>
              </w:rPr>
              <w:t>Random Forest</w:t>
            </w:r>
          </w:p>
        </w:tc>
        <w:tc>
          <w:tcPr>
            <w:tcW w:w="1400" w:type="dxa"/>
            <w:tcMar>
              <w:top w:w="50" w:type="dxa"/>
              <w:left w:w="80" w:type="dxa"/>
              <w:bottom w:w="50" w:type="dxa"/>
              <w:right w:w="80" w:type="dxa"/>
            </w:tcMar>
            <w:vAlign w:val="center"/>
          </w:tcPr>
          <w:p w14:paraId="33726B28" w14:textId="77777777" w:rsidR="002F6628" w:rsidRDefault="00303CC7">
            <w:r>
              <w:rPr>
                <w:rFonts w:ascii="Calibri" w:eastAsia="Calibri" w:hAnsi="Calibri" w:cs="Calibri"/>
                <w:sz w:val="18"/>
                <w:szCs w:val="18"/>
              </w:rPr>
              <w:t>Media</w:t>
            </w:r>
          </w:p>
        </w:tc>
        <w:tc>
          <w:tcPr>
            <w:tcW w:w="2560" w:type="dxa"/>
            <w:tcMar>
              <w:top w:w="50" w:type="dxa"/>
              <w:left w:w="80" w:type="dxa"/>
              <w:bottom w:w="50" w:type="dxa"/>
              <w:right w:w="80" w:type="dxa"/>
            </w:tcMar>
            <w:vAlign w:val="center"/>
          </w:tcPr>
          <w:p w14:paraId="4785B007" w14:textId="77777777" w:rsidR="002F6628" w:rsidRDefault="00303CC7">
            <w:r>
              <w:rPr>
                <w:rFonts w:ascii="Calibri" w:eastAsia="Calibri" w:hAnsi="Calibri" w:cs="Calibri"/>
                <w:sz w:val="18"/>
                <w:szCs w:val="18"/>
              </w:rPr>
              <w:t>Media (feature importance)</w:t>
            </w:r>
          </w:p>
        </w:tc>
        <w:tc>
          <w:tcPr>
            <w:tcW w:w="1600" w:type="dxa"/>
            <w:tcMar>
              <w:top w:w="50" w:type="dxa"/>
              <w:left w:w="80" w:type="dxa"/>
              <w:bottom w:w="50" w:type="dxa"/>
              <w:right w:w="80" w:type="dxa"/>
            </w:tcMar>
            <w:vAlign w:val="center"/>
          </w:tcPr>
          <w:p w14:paraId="6EBED5DB"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2A1F202E" w14:textId="77777777" w:rsidR="002F6628" w:rsidRDefault="00303CC7">
            <w:r>
              <w:rPr>
                <w:rFonts w:ascii="Calibri" w:eastAsia="Calibri" w:hAnsi="Calibri" w:cs="Calibri"/>
                <w:sz w:val="18"/>
                <w:szCs w:val="18"/>
              </w:rPr>
              <w:t>Media</w:t>
            </w:r>
          </w:p>
        </w:tc>
      </w:tr>
      <w:tr w:rsidR="002F6628" w14:paraId="4F8EBFA0" w14:textId="77777777">
        <w:tc>
          <w:tcPr>
            <w:tcW w:w="2200" w:type="dxa"/>
            <w:tcMar>
              <w:top w:w="50" w:type="dxa"/>
              <w:left w:w="80" w:type="dxa"/>
              <w:bottom w:w="50" w:type="dxa"/>
              <w:right w:w="80" w:type="dxa"/>
            </w:tcMar>
            <w:vAlign w:val="center"/>
          </w:tcPr>
          <w:p w14:paraId="4B16A9F7" w14:textId="77777777" w:rsidR="002F6628" w:rsidRDefault="00303CC7">
            <w:r>
              <w:rPr>
                <w:rFonts w:ascii="Calibri" w:eastAsia="Calibri" w:hAnsi="Calibri" w:cs="Calibri"/>
                <w:sz w:val="18"/>
                <w:szCs w:val="18"/>
              </w:rPr>
              <w:t>XGBoost</w:t>
            </w:r>
          </w:p>
        </w:tc>
        <w:tc>
          <w:tcPr>
            <w:tcW w:w="1400" w:type="dxa"/>
            <w:tcMar>
              <w:top w:w="50" w:type="dxa"/>
              <w:left w:w="80" w:type="dxa"/>
              <w:bottom w:w="50" w:type="dxa"/>
              <w:right w:w="80" w:type="dxa"/>
            </w:tcMar>
            <w:vAlign w:val="center"/>
          </w:tcPr>
          <w:p w14:paraId="3F834904" w14:textId="77777777" w:rsidR="002F6628" w:rsidRDefault="00303CC7">
            <w:r>
              <w:rPr>
                <w:rFonts w:ascii="Calibri" w:eastAsia="Calibri" w:hAnsi="Calibri" w:cs="Calibri"/>
                <w:sz w:val="18"/>
                <w:szCs w:val="18"/>
              </w:rPr>
              <w:t>Media</w:t>
            </w:r>
          </w:p>
        </w:tc>
        <w:tc>
          <w:tcPr>
            <w:tcW w:w="2560" w:type="dxa"/>
            <w:tcMar>
              <w:top w:w="50" w:type="dxa"/>
              <w:left w:w="80" w:type="dxa"/>
              <w:bottom w:w="50" w:type="dxa"/>
              <w:right w:w="80" w:type="dxa"/>
            </w:tcMar>
            <w:vAlign w:val="center"/>
          </w:tcPr>
          <w:p w14:paraId="2A94E197" w14:textId="77777777" w:rsidR="002F6628" w:rsidRDefault="00303CC7">
            <w:r>
              <w:rPr>
                <w:rFonts w:ascii="Calibri" w:eastAsia="Calibri" w:hAnsi="Calibri" w:cs="Calibri"/>
                <w:sz w:val="18"/>
                <w:szCs w:val="18"/>
              </w:rPr>
              <w:t>Media (feature importance, SHAP)</w:t>
            </w:r>
          </w:p>
        </w:tc>
        <w:tc>
          <w:tcPr>
            <w:tcW w:w="1600" w:type="dxa"/>
            <w:tcMar>
              <w:top w:w="50" w:type="dxa"/>
              <w:left w:w="80" w:type="dxa"/>
              <w:bottom w:w="50" w:type="dxa"/>
              <w:right w:w="80" w:type="dxa"/>
            </w:tcMar>
            <w:vAlign w:val="center"/>
          </w:tcPr>
          <w:p w14:paraId="2C9F2E1B" w14:textId="77777777" w:rsidR="002F6628" w:rsidRDefault="00303CC7">
            <w:r>
              <w:rPr>
                <w:rFonts w:ascii="Calibri" w:eastAsia="Calibri" w:hAnsi="Calibri" w:cs="Calibri"/>
                <w:sz w:val="18"/>
                <w:szCs w:val="18"/>
              </w:rPr>
              <w:t>Media-Alta</w:t>
            </w:r>
          </w:p>
        </w:tc>
        <w:tc>
          <w:tcPr>
            <w:tcW w:w="1600" w:type="dxa"/>
            <w:tcMar>
              <w:top w:w="50" w:type="dxa"/>
              <w:left w:w="80" w:type="dxa"/>
              <w:bottom w:w="50" w:type="dxa"/>
              <w:right w:w="80" w:type="dxa"/>
            </w:tcMar>
            <w:vAlign w:val="center"/>
          </w:tcPr>
          <w:p w14:paraId="71B889E3" w14:textId="77777777" w:rsidR="002F6628" w:rsidRDefault="00303CC7">
            <w:r>
              <w:rPr>
                <w:rFonts w:ascii="Calibri" w:eastAsia="Calibri" w:hAnsi="Calibri" w:cs="Calibri"/>
                <w:sz w:val="18"/>
                <w:szCs w:val="18"/>
              </w:rPr>
              <w:t>Media-Alta</w:t>
            </w:r>
          </w:p>
        </w:tc>
      </w:tr>
      <w:tr w:rsidR="002F6628" w14:paraId="5A005827" w14:textId="77777777">
        <w:tc>
          <w:tcPr>
            <w:tcW w:w="2200" w:type="dxa"/>
            <w:tcMar>
              <w:top w:w="50" w:type="dxa"/>
              <w:left w:w="80" w:type="dxa"/>
              <w:bottom w:w="50" w:type="dxa"/>
              <w:right w:w="80" w:type="dxa"/>
            </w:tcMar>
            <w:vAlign w:val="center"/>
          </w:tcPr>
          <w:p w14:paraId="325A4833" w14:textId="77777777" w:rsidR="002F6628" w:rsidRDefault="00303CC7">
            <w:r>
              <w:rPr>
                <w:rFonts w:ascii="Calibri" w:eastAsia="Calibri" w:hAnsi="Calibri" w:cs="Calibri"/>
                <w:sz w:val="18"/>
                <w:szCs w:val="18"/>
              </w:rPr>
              <w:t>CNN (MobileNet, etc.)</w:t>
            </w:r>
          </w:p>
        </w:tc>
        <w:tc>
          <w:tcPr>
            <w:tcW w:w="1400" w:type="dxa"/>
            <w:tcMar>
              <w:top w:w="50" w:type="dxa"/>
              <w:left w:w="80" w:type="dxa"/>
              <w:bottom w:w="50" w:type="dxa"/>
              <w:right w:w="80" w:type="dxa"/>
            </w:tcMar>
            <w:vAlign w:val="center"/>
          </w:tcPr>
          <w:p w14:paraId="4C9095A8" w14:textId="77777777" w:rsidR="002F6628" w:rsidRDefault="00303CC7">
            <w:r>
              <w:rPr>
                <w:rFonts w:ascii="Calibri" w:eastAsia="Calibri" w:hAnsi="Calibri" w:cs="Calibri"/>
                <w:sz w:val="18"/>
                <w:szCs w:val="18"/>
              </w:rPr>
              <w:t>Baja</w:t>
            </w:r>
          </w:p>
        </w:tc>
        <w:tc>
          <w:tcPr>
            <w:tcW w:w="2560" w:type="dxa"/>
            <w:tcMar>
              <w:top w:w="50" w:type="dxa"/>
              <w:left w:w="80" w:type="dxa"/>
              <w:bottom w:w="50" w:type="dxa"/>
              <w:right w:w="80" w:type="dxa"/>
            </w:tcMar>
            <w:vAlign w:val="center"/>
          </w:tcPr>
          <w:p w14:paraId="61CA32A9" w14:textId="77777777" w:rsidR="002F6628" w:rsidRDefault="00303CC7">
            <w:r>
              <w:rPr>
                <w:rFonts w:ascii="Calibri" w:eastAsia="Calibri" w:hAnsi="Calibri" w:cs="Calibri"/>
                <w:sz w:val="18"/>
                <w:szCs w:val="18"/>
              </w:rPr>
              <w:t>Baja-Media (Grad-CAM, LIME)</w:t>
            </w:r>
          </w:p>
        </w:tc>
        <w:tc>
          <w:tcPr>
            <w:tcW w:w="1600" w:type="dxa"/>
            <w:tcMar>
              <w:top w:w="50" w:type="dxa"/>
              <w:left w:w="80" w:type="dxa"/>
              <w:bottom w:w="50" w:type="dxa"/>
              <w:right w:w="80" w:type="dxa"/>
            </w:tcMar>
            <w:vAlign w:val="center"/>
          </w:tcPr>
          <w:p w14:paraId="25065510" w14:textId="77777777" w:rsidR="002F6628" w:rsidRDefault="00303CC7">
            <w:r>
              <w:rPr>
                <w:rFonts w:ascii="Calibri" w:eastAsia="Calibri" w:hAnsi="Calibri" w:cs="Calibri"/>
                <w:sz w:val="18"/>
                <w:szCs w:val="18"/>
              </w:rPr>
              <w:t>Media</w:t>
            </w:r>
          </w:p>
        </w:tc>
        <w:tc>
          <w:tcPr>
            <w:tcW w:w="1600" w:type="dxa"/>
            <w:tcMar>
              <w:top w:w="50" w:type="dxa"/>
              <w:left w:w="80" w:type="dxa"/>
              <w:bottom w:w="50" w:type="dxa"/>
              <w:right w:w="80" w:type="dxa"/>
            </w:tcMar>
            <w:vAlign w:val="center"/>
          </w:tcPr>
          <w:p w14:paraId="7EFA0E37" w14:textId="77777777" w:rsidR="002F6628" w:rsidRDefault="00303CC7">
            <w:r>
              <w:rPr>
                <w:rFonts w:ascii="Calibri" w:eastAsia="Calibri" w:hAnsi="Calibri" w:cs="Calibri"/>
                <w:sz w:val="18"/>
                <w:szCs w:val="18"/>
              </w:rPr>
              <w:t>Media-Baja</w:t>
            </w:r>
          </w:p>
        </w:tc>
      </w:tr>
    </w:tbl>
    <w:p w14:paraId="5A42B9E4" w14:textId="77777777" w:rsidR="002F6628" w:rsidRDefault="00303CC7">
      <w:pPr>
        <w:spacing w:after="120" w:line="232" w:lineRule="auto"/>
        <w:jc w:val="both"/>
      </w:pPr>
      <w:r>
        <w:rPr>
          <w:rFonts w:ascii="Calibri" w:eastAsia="Calibri" w:hAnsi="Calibri" w:cs="Calibri"/>
          <w:sz w:val="24"/>
          <w:szCs w:val="24"/>
        </w:rPr>
        <w:t>La Regresión Logística y los Árboles de Decisión destacan por su alta transparencia e interpretabilidad intrínseca. Sin embargo, su rendimiento predictivo puede ser inferior al de métodos más complejos en conjuntos de datos no lineales. Random Forest y XGBoost ofrecen un equilibrio entre rendimiento y explicabilidad, ya que permiten calcular la importancia de las características y, en el caso de XGBoost, integrarse con SHAP para explicaciones locales</w:t>
      </w:r>
      <w:r>
        <w:rPr>
          <w:rFonts w:ascii="Calibri" w:eastAsia="Calibri" w:hAnsi="Calibri" w:cs="Calibri"/>
          <w:sz w:val="24"/>
          <w:szCs w:val="24"/>
          <w:vertAlign w:val="superscript"/>
        </w:rPr>
        <w:t>(23)</w:t>
      </w:r>
      <w:r>
        <w:rPr>
          <w:rFonts w:ascii="Calibri" w:eastAsia="Calibri" w:hAnsi="Calibri" w:cs="Calibri"/>
          <w:sz w:val="24"/>
          <w:szCs w:val="24"/>
        </w:rPr>
        <w:t>. Las CNN, aunque ofrecen el mayor rendimiento en tareas de clasificación de imágenes, presentan la menor explicabilidad inherente; técnicas post-hoc como Grad-CAM</w:t>
      </w:r>
      <w:r>
        <w:rPr>
          <w:rFonts w:ascii="Calibri" w:eastAsia="Calibri" w:hAnsi="Calibri" w:cs="Calibri"/>
          <w:sz w:val="24"/>
          <w:szCs w:val="24"/>
          <w:vertAlign w:val="superscript"/>
        </w:rPr>
        <w:t>(25)</w:t>
      </w:r>
      <w:r>
        <w:rPr>
          <w:rFonts w:ascii="Calibri" w:eastAsia="Calibri" w:hAnsi="Calibri" w:cs="Calibri"/>
          <w:sz w:val="24"/>
          <w:szCs w:val="24"/>
        </w:rPr>
        <w:t xml:space="preserve"> y LIME</w:t>
      </w:r>
      <w:r>
        <w:rPr>
          <w:rFonts w:ascii="Calibri" w:eastAsia="Calibri" w:hAnsi="Calibri" w:cs="Calibri"/>
          <w:sz w:val="24"/>
          <w:szCs w:val="24"/>
          <w:vertAlign w:val="superscript"/>
        </w:rPr>
        <w:t>(24)</w:t>
      </w:r>
      <w:r>
        <w:rPr>
          <w:rFonts w:ascii="Calibri" w:eastAsia="Calibri" w:hAnsi="Calibri" w:cs="Calibri"/>
          <w:sz w:val="24"/>
          <w:szCs w:val="24"/>
        </w:rPr>
        <w:t xml:space="preserve"> pueden mitigar esta limitación, pero su efectividad depende de la calidad de las visualizaciones y de la capacitación de los clínicos para interpretarlas, en línea con lo señalado respecto de las necesidades reales de explicabilidad de los profesionales de salud</w:t>
      </w:r>
      <w:r>
        <w:rPr>
          <w:rFonts w:ascii="Calibri" w:eastAsia="Calibri" w:hAnsi="Calibri" w:cs="Calibri"/>
          <w:sz w:val="24"/>
          <w:szCs w:val="24"/>
          <w:vertAlign w:val="superscript"/>
        </w:rPr>
        <w:t>(9)</w:t>
      </w:r>
      <w:r>
        <w:rPr>
          <w:rFonts w:ascii="Calibri" w:eastAsia="Calibri" w:hAnsi="Calibri" w:cs="Calibri"/>
          <w:sz w:val="24"/>
          <w:szCs w:val="24"/>
        </w:rPr>
        <w:t>.</w:t>
      </w:r>
    </w:p>
    <w:p w14:paraId="4CE244FB" w14:textId="77777777" w:rsidR="002F6628" w:rsidRDefault="00303CC7">
      <w:pPr>
        <w:spacing w:before="170" w:after="120"/>
        <w:jc w:val="center"/>
      </w:pPr>
      <w:r>
        <w:rPr>
          <w:rFonts w:ascii="Calibri" w:eastAsia="Calibri" w:hAnsi="Calibri" w:cs="Calibri"/>
          <w:b/>
          <w:bCs/>
          <w:sz w:val="28"/>
          <w:szCs w:val="28"/>
        </w:rPr>
        <w:t>5.3. Implicancias para la Selección de Modelos</w:t>
      </w:r>
    </w:p>
    <w:p w14:paraId="1F7D3344" w14:textId="77777777" w:rsidR="002F6628" w:rsidRDefault="00303CC7">
      <w:pPr>
        <w:spacing w:after="120" w:line="232" w:lineRule="auto"/>
        <w:jc w:val="both"/>
      </w:pPr>
      <w:r>
        <w:rPr>
          <w:rFonts w:ascii="Calibri" w:eastAsia="Calibri" w:hAnsi="Calibri" w:cs="Calibri"/>
          <w:sz w:val="24"/>
          <w:szCs w:val="24"/>
        </w:rPr>
        <w:t>La elección del modelo debe considerar un balance entre rendimiento técnico y explicabilidad, dependiendo del contexto de aplicación. Para el tamizaje poblacional, modelos con alta sensibilidad y AUC (como XGBoost o CNN) son prioritarios, complementados con herramientas XAI para la auditoría de casos límite. Para el apoyo a la decisión clínica individual, modelos interpretables (como árboles de decisión o regresión logística) pueden ser preferibles, ya que facilitan la comprensión y aceptación por parte del personal médico</w:t>
      </w:r>
      <w:r>
        <w:rPr>
          <w:rFonts w:ascii="Calibri" w:eastAsia="Calibri" w:hAnsi="Calibri" w:cs="Calibri"/>
          <w:sz w:val="24"/>
          <w:szCs w:val="24"/>
          <w:vertAlign w:val="superscript"/>
        </w:rPr>
        <w:t>(9)</w:t>
      </w:r>
      <w:r>
        <w:rPr>
          <w:rFonts w:ascii="Calibri" w:eastAsia="Calibri" w:hAnsi="Calibri" w:cs="Calibri"/>
          <w:sz w:val="24"/>
          <w:szCs w:val="24"/>
        </w:rPr>
        <w:t>. Finalmente, en entornos con recursos limitados, modelos ligeros y rápidos (como Random Forest o SVM lineal) pueden ser más adecuados, considerando las restricciones computacionales y de conectividad descritas en la Sección 3.5</w:t>
      </w:r>
      <w:r>
        <w:rPr>
          <w:rFonts w:ascii="Calibri" w:eastAsia="Calibri" w:hAnsi="Calibri" w:cs="Calibri"/>
          <w:sz w:val="24"/>
          <w:szCs w:val="24"/>
          <w:vertAlign w:val="superscript"/>
        </w:rPr>
        <w:t>(11)</w:t>
      </w:r>
      <w:r>
        <w:rPr>
          <w:rFonts w:ascii="Calibri" w:eastAsia="Calibri" w:hAnsi="Calibri" w:cs="Calibri"/>
          <w:sz w:val="24"/>
          <w:szCs w:val="24"/>
        </w:rPr>
        <w:t>.</w:t>
      </w:r>
    </w:p>
    <w:p w14:paraId="212488A1" w14:textId="77777777" w:rsidR="002F6628" w:rsidRDefault="00303CC7">
      <w:pPr>
        <w:spacing w:before="220" w:after="150"/>
        <w:jc w:val="center"/>
      </w:pPr>
      <w:r>
        <w:rPr>
          <w:rFonts w:ascii="Calibri" w:eastAsia="Calibri" w:hAnsi="Calibri" w:cs="Calibri"/>
          <w:b/>
          <w:bCs/>
          <w:sz w:val="32"/>
          <w:szCs w:val="32"/>
        </w:rPr>
        <w:t>CONCLUSIONES</w:t>
      </w:r>
    </w:p>
    <w:p w14:paraId="119A4290" w14:textId="77777777" w:rsidR="002F6628" w:rsidRDefault="00303CC7">
      <w:pPr>
        <w:spacing w:after="120" w:line="232" w:lineRule="auto"/>
        <w:jc w:val="both"/>
      </w:pPr>
      <w:r>
        <w:rPr>
          <w:rFonts w:ascii="Calibri" w:eastAsia="Calibri" w:hAnsi="Calibri" w:cs="Calibri"/>
          <w:sz w:val="24"/>
          <w:szCs w:val="24"/>
        </w:rPr>
        <w:t xml:space="preserve">Este artículo ha presentado un marco teórico y un análisis comparativo de métodos de machine learning aplicados a la detección temprana del cáncer cervicouterino, identificando las </w:t>
      </w:r>
      <w:r>
        <w:rPr>
          <w:rFonts w:ascii="Calibri" w:eastAsia="Calibri" w:hAnsi="Calibri" w:cs="Calibri"/>
          <w:sz w:val="24"/>
          <w:szCs w:val="24"/>
        </w:rPr>
        <w:lastRenderedPageBreak/>
        <w:t>principales brechas en el estado del arte y proponiendo un marco para la comparación empírica sistemática. Los hallazgos principales son los siguientes.</w:t>
      </w:r>
    </w:p>
    <w:p w14:paraId="65F83905" w14:textId="77777777" w:rsidR="002F6628" w:rsidRDefault="00303CC7">
      <w:pPr>
        <w:spacing w:after="120" w:line="232" w:lineRule="auto"/>
        <w:jc w:val="both"/>
      </w:pPr>
      <w:r>
        <w:rPr>
          <w:rFonts w:ascii="Calibri" w:eastAsia="Calibri" w:hAnsi="Calibri" w:cs="Calibri"/>
          <w:b/>
          <w:bCs/>
          <w:sz w:val="24"/>
          <w:szCs w:val="24"/>
        </w:rPr>
        <w:t xml:space="preserve">Rendimiento contrastado: </w:t>
      </w:r>
      <w:r>
        <w:rPr>
          <w:rFonts w:ascii="Calibri" w:eastAsia="Calibri" w:hAnsi="Calibri" w:cs="Calibri"/>
          <w:sz w:val="24"/>
          <w:szCs w:val="24"/>
        </w:rPr>
        <w:t>los métodos ensemble (Random Forest, XGBoost) y las CNN han demostrado un rendimiento superior en datos tabulares e imágenes respectivamente, con AUC-ROC superiores a 0,95 en múltiples estudios</w:t>
      </w:r>
      <w:r>
        <w:rPr>
          <w:rFonts w:ascii="Calibri" w:eastAsia="Calibri" w:hAnsi="Calibri" w:cs="Calibri"/>
          <w:sz w:val="24"/>
          <w:szCs w:val="24"/>
          <w:vertAlign w:val="superscript"/>
        </w:rPr>
        <w:t>(27)</w:t>
      </w:r>
      <w:r>
        <w:rPr>
          <w:rFonts w:ascii="Calibri" w:eastAsia="Calibri" w:hAnsi="Calibri" w:cs="Calibri"/>
          <w:sz w:val="24"/>
          <w:szCs w:val="24"/>
        </w:rPr>
        <w:t>,</w:t>
      </w:r>
      <w:r>
        <w:rPr>
          <w:rFonts w:ascii="Calibri" w:eastAsia="Calibri" w:hAnsi="Calibri" w:cs="Calibri"/>
          <w:sz w:val="24"/>
          <w:szCs w:val="24"/>
          <w:vertAlign w:val="superscript"/>
        </w:rPr>
        <w:t>(31)</w:t>
      </w:r>
      <w:r>
        <w:rPr>
          <w:rFonts w:ascii="Calibri" w:eastAsia="Calibri" w:hAnsi="Calibri" w:cs="Calibri"/>
          <w:sz w:val="24"/>
          <w:szCs w:val="24"/>
        </w:rPr>
        <w:t>.</w:t>
      </w:r>
    </w:p>
    <w:p w14:paraId="7EB0632F" w14:textId="77777777" w:rsidR="002F6628" w:rsidRDefault="00303CC7">
      <w:pPr>
        <w:spacing w:after="120" w:line="232" w:lineRule="auto"/>
        <w:jc w:val="both"/>
      </w:pPr>
      <w:r>
        <w:rPr>
          <w:rFonts w:ascii="Calibri" w:eastAsia="Calibri" w:hAnsi="Calibri" w:cs="Calibri"/>
          <w:b/>
          <w:bCs/>
          <w:sz w:val="24"/>
          <w:szCs w:val="24"/>
        </w:rPr>
        <w:t xml:space="preserve">Brecha de explicabilidad: </w:t>
      </w:r>
      <w:r>
        <w:rPr>
          <w:rFonts w:ascii="Calibri" w:eastAsia="Calibri" w:hAnsi="Calibri" w:cs="Calibri"/>
          <w:sz w:val="24"/>
          <w:szCs w:val="24"/>
        </w:rPr>
        <w:t>la opacidad algorítmica sigue siendo una barrera crítica para la adopción clínica. Menos del 5% de los modelos reportados en la literatura incorporan mecanismos de explicabilidad validados clínicamente</w:t>
      </w:r>
      <w:r>
        <w:rPr>
          <w:rFonts w:ascii="Calibri" w:eastAsia="Calibri" w:hAnsi="Calibri" w:cs="Calibri"/>
          <w:sz w:val="24"/>
          <w:szCs w:val="24"/>
          <w:vertAlign w:val="superscript"/>
        </w:rPr>
        <w:t>(35)</w:t>
      </w:r>
      <w:r>
        <w:rPr>
          <w:rFonts w:ascii="Calibri" w:eastAsia="Calibri" w:hAnsi="Calibri" w:cs="Calibri"/>
          <w:sz w:val="24"/>
          <w:szCs w:val="24"/>
        </w:rPr>
        <w:t>.</w:t>
      </w:r>
    </w:p>
    <w:p w14:paraId="4FD9F144" w14:textId="77777777" w:rsidR="002F6628" w:rsidRDefault="00303CC7">
      <w:pPr>
        <w:spacing w:after="120" w:line="232" w:lineRule="auto"/>
        <w:jc w:val="both"/>
      </w:pPr>
      <w:r>
        <w:rPr>
          <w:rFonts w:ascii="Calibri" w:eastAsia="Calibri" w:hAnsi="Calibri" w:cs="Calibri"/>
          <w:b/>
          <w:bCs/>
          <w:sz w:val="24"/>
          <w:szCs w:val="24"/>
        </w:rPr>
        <w:t xml:space="preserve">Necesidad de estandarización: </w:t>
      </w:r>
      <w:r>
        <w:rPr>
          <w:rFonts w:ascii="Calibri" w:eastAsia="Calibri" w:hAnsi="Calibri" w:cs="Calibri"/>
          <w:sz w:val="24"/>
          <w:szCs w:val="24"/>
        </w:rPr>
        <w:t>la falta de estudios comparativos sobre los mismos conjuntos de datos y métricas dificulta la selección informada de modelos. El marco propuesto en este artículo busca contribuir a llenar este vacío.</w:t>
      </w:r>
    </w:p>
    <w:p w14:paraId="7709ACD2" w14:textId="77777777" w:rsidR="002F6628" w:rsidRDefault="00303CC7">
      <w:pPr>
        <w:spacing w:after="160" w:line="232" w:lineRule="auto"/>
        <w:jc w:val="both"/>
      </w:pPr>
      <w:r>
        <w:rPr>
          <w:rFonts w:ascii="Calibri" w:eastAsia="Calibri" w:hAnsi="Calibri" w:cs="Calibri"/>
          <w:b/>
          <w:bCs/>
          <w:sz w:val="24"/>
          <w:szCs w:val="24"/>
        </w:rPr>
        <w:t xml:space="preserve">Explicabilidad como criterio de selección: </w:t>
      </w:r>
      <w:r>
        <w:rPr>
          <w:rFonts w:ascii="Calibri" w:eastAsia="Calibri" w:hAnsi="Calibri" w:cs="Calibri"/>
          <w:sz w:val="24"/>
          <w:szCs w:val="24"/>
        </w:rPr>
        <w:t>la elección del modelo debe considerar no solo el rendimiento técnico, sino también el nivel de explicabilidad requerido por el contexto clínico, tal como se fundamenta en el marco teórico de la Sección 2.3</w:t>
      </w:r>
      <w:r>
        <w:rPr>
          <w:rFonts w:ascii="Calibri" w:eastAsia="Calibri" w:hAnsi="Calibri" w:cs="Calibri"/>
          <w:sz w:val="24"/>
          <w:szCs w:val="24"/>
          <w:vertAlign w:val="superscript"/>
        </w:rPr>
        <w:t>(8)</w:t>
      </w:r>
      <w:r>
        <w:rPr>
          <w:rFonts w:ascii="Calibri" w:eastAsia="Calibri" w:hAnsi="Calibri" w:cs="Calibri"/>
          <w:sz w:val="24"/>
          <w:szCs w:val="24"/>
        </w:rPr>
        <w:t>. Los modelos intrínsecamente interpretables (regresión logística, árboles de decisión) ofrecen ventajas en transparencia, mientras que los métodos más complejos (CNN, XGBoost) requieren técnicas XAI post-hoc para ser clínicamente aceptables.</w:t>
      </w:r>
    </w:p>
    <w:p w14:paraId="4937DC70" w14:textId="77777777" w:rsidR="002F6628" w:rsidRDefault="00303CC7">
      <w:pPr>
        <w:spacing w:after="120" w:line="232" w:lineRule="auto"/>
        <w:jc w:val="both"/>
      </w:pPr>
      <w:r>
        <w:rPr>
          <w:rFonts w:ascii="Calibri" w:eastAsia="Calibri" w:hAnsi="Calibri" w:cs="Calibri"/>
          <w:sz w:val="24"/>
          <w:szCs w:val="24"/>
        </w:rPr>
        <w:t>Como trabajo futuro, se planea la ejecución completa del análisis empírico propuesto, incluyendo la implementación de todos los algoritmos sobre los conjuntos de datos seleccionados y la evaluación cuantitativa de la explicabilidad mediante métricas como la fidelidad de las explicaciones y el impacto en la confianza del usuario. Adicionalmente, se explorará la integración de mecanismos Human-in-the-Loop que permitan a los clínicos auditar y retroalimentar iterativamente las predicciones del modelo, así como la evaluación de estrategias de aprendizaje federado para abordar la brecha de resiliencia operativa identificada en la Sección 3.5</w:t>
      </w:r>
      <w:r>
        <w:rPr>
          <w:rFonts w:ascii="Calibri" w:eastAsia="Calibri" w:hAnsi="Calibri" w:cs="Calibri"/>
          <w:sz w:val="24"/>
          <w:szCs w:val="24"/>
          <w:vertAlign w:val="superscript"/>
        </w:rPr>
        <w:t>(11)</w:t>
      </w:r>
      <w:r>
        <w:rPr>
          <w:rFonts w:ascii="Calibri" w:eastAsia="Calibri" w:hAnsi="Calibri" w:cs="Calibri"/>
          <w:sz w:val="24"/>
          <w:szCs w:val="24"/>
        </w:rPr>
        <w:t>, avanzando hacia sistemas de IA verdaderamente centrados en el usuario y adaptados a las necesidades de la salud pública en regiones con recursos limitados.</w:t>
      </w:r>
    </w:p>
    <w:p w14:paraId="7F10A0F5" w14:textId="77777777" w:rsidR="002F6628" w:rsidRDefault="00303CC7">
      <w:pPr>
        <w:spacing w:before="220" w:after="150"/>
        <w:jc w:val="center"/>
      </w:pPr>
      <w:r>
        <w:rPr>
          <w:rFonts w:ascii="Calibri" w:eastAsia="Calibri" w:hAnsi="Calibri" w:cs="Calibri"/>
          <w:b/>
          <w:bCs/>
          <w:sz w:val="32"/>
          <w:szCs w:val="32"/>
        </w:rPr>
        <w:t>AGRADECIMIENTOS</w:t>
      </w:r>
    </w:p>
    <w:p w14:paraId="3BFBC2E7" w14:textId="77777777" w:rsidR="002F6628" w:rsidRDefault="00303CC7">
      <w:pPr>
        <w:spacing w:after="120" w:line="232" w:lineRule="auto"/>
        <w:jc w:val="both"/>
      </w:pPr>
      <w:r>
        <w:rPr>
          <w:rFonts w:ascii="Calibri" w:eastAsia="Calibri" w:hAnsi="Calibri" w:cs="Calibri"/>
          <w:sz w:val="24"/>
          <w:szCs w:val="24"/>
        </w:rPr>
        <w:t>El primer autor agradece al Doctorado en Inteligencia Artificial de la Universidad Católica del Norte por el apoyo brindado al desarrollo de esta investigación.</w:t>
      </w:r>
    </w:p>
    <w:p w14:paraId="4470E0F9" w14:textId="77777777" w:rsidR="002F6628" w:rsidRDefault="00303CC7">
      <w:pPr>
        <w:spacing w:before="220" w:after="150"/>
        <w:jc w:val="center"/>
      </w:pPr>
      <w:r>
        <w:rPr>
          <w:rFonts w:ascii="Calibri" w:eastAsia="Calibri" w:hAnsi="Calibri" w:cs="Calibri"/>
          <w:b/>
          <w:bCs/>
          <w:sz w:val="32"/>
          <w:szCs w:val="32"/>
        </w:rPr>
        <w:t>REFERENCIAS</w:t>
      </w:r>
    </w:p>
    <w:p w14:paraId="39738E1E" w14:textId="77777777" w:rsidR="002F6628" w:rsidRDefault="00303CC7">
      <w:pPr>
        <w:spacing w:after="50" w:line="210" w:lineRule="auto"/>
        <w:ind w:left="340" w:hanging="340"/>
        <w:jc w:val="both"/>
      </w:pPr>
      <w:r>
        <w:rPr>
          <w:rFonts w:ascii="Calibri" w:eastAsia="Calibri" w:hAnsi="Calibri" w:cs="Calibri"/>
          <w:sz w:val="18"/>
          <w:szCs w:val="18"/>
        </w:rPr>
        <w:t>[1] H. Sung, J. Ferlay, R. L. Siegel, M. Laversanne, I. Soerjomataram, A. Jemal, and F. Bray, "Global Cancer Statistics 2020: GLOBOCAN Estimates of Incidence and Mortality Worldwide for 36 Cancers in 185 Countries," CA: A Cancer Journal for Clinicians, vol. 71, no. 3, pp. 209–249, 2021.</w:t>
      </w:r>
    </w:p>
    <w:p w14:paraId="211FF0B0" w14:textId="77777777" w:rsidR="002F6628" w:rsidRDefault="00303CC7">
      <w:pPr>
        <w:spacing w:after="50" w:line="210" w:lineRule="auto"/>
        <w:ind w:left="340" w:hanging="340"/>
        <w:jc w:val="both"/>
      </w:pPr>
      <w:r>
        <w:rPr>
          <w:rFonts w:ascii="Calibri" w:eastAsia="Calibri" w:hAnsi="Calibri" w:cs="Calibri"/>
          <w:sz w:val="18"/>
          <w:szCs w:val="18"/>
        </w:rPr>
        <w:t>[2] Ministerio de Salud de Chile (MINSAL), Departamento de Estadísticas e Información de Salud (DEIS), "Estadísticas de mortalidad y egresos hospitalarios por cáncer cervicouterino," 2023. [En línea]. Disponible en: https://deis.minsal.cl</w:t>
      </w:r>
    </w:p>
    <w:p w14:paraId="616156F8" w14:textId="77777777" w:rsidR="002F6628" w:rsidRDefault="00303CC7">
      <w:pPr>
        <w:spacing w:after="50" w:line="210" w:lineRule="auto"/>
        <w:ind w:left="340" w:hanging="340"/>
        <w:jc w:val="both"/>
      </w:pPr>
      <w:r>
        <w:rPr>
          <w:rFonts w:ascii="Calibri" w:eastAsia="Calibri" w:hAnsi="Calibri" w:cs="Calibri"/>
          <w:sz w:val="18"/>
          <w:szCs w:val="18"/>
        </w:rPr>
        <w:t>[3] J. M. M. Walboomers, M. V. Jacobs, M. M. Manos, F. X. Bosch, J. A. Kummer, K. V. Shah, P. J. F. Snijders, J. Peto, C. J. L. M. Meijer, and N. Muñoz, "Human papillomavirus is a necessary cause of invasive cervical cancer worldwide," The Journal of Pathology, vol. 189, no. 1, pp. 12–19, 1999.</w:t>
      </w:r>
    </w:p>
    <w:p w14:paraId="6E52496C" w14:textId="77777777" w:rsidR="002F6628" w:rsidRDefault="00303CC7">
      <w:pPr>
        <w:spacing w:after="50" w:line="210" w:lineRule="auto"/>
        <w:ind w:left="340" w:hanging="340"/>
        <w:jc w:val="both"/>
      </w:pPr>
      <w:r>
        <w:rPr>
          <w:rFonts w:ascii="Calibri" w:eastAsia="Calibri" w:hAnsi="Calibri" w:cs="Calibri"/>
          <w:sz w:val="18"/>
          <w:szCs w:val="18"/>
        </w:rPr>
        <w:t>[4] K. Nanda, D. C. McCrory, E. R. Myers, L. A. Bastian, V. Hasselblad, J. D. Hickey, and D. B. Matchar, "Accuracy of the Papanicolaou test in screening for and follow-up of cervical cytologic abnormalities: A systematic review," Annals of Internal Medicine, vol. 132, no. 10, pp. 810–819, 2000.</w:t>
      </w:r>
    </w:p>
    <w:p w14:paraId="65D7B290" w14:textId="77777777" w:rsidR="002F6628" w:rsidRDefault="00303CC7">
      <w:pPr>
        <w:spacing w:after="50" w:line="210" w:lineRule="auto"/>
        <w:ind w:left="340" w:hanging="340"/>
        <w:jc w:val="both"/>
      </w:pPr>
      <w:r>
        <w:rPr>
          <w:rFonts w:ascii="Calibri" w:eastAsia="Calibri" w:hAnsi="Calibri" w:cs="Calibri"/>
          <w:sz w:val="18"/>
          <w:szCs w:val="18"/>
        </w:rPr>
        <w:t>[5] Z. Dong et al., "Classification and diagnosis of cervical lesions based on colposcopy images using deep fully convolutional networks: A man-machine comparison cohort study," Fundamental Research, vol. 2, no. 5, pp. 683–694, 2022.</w:t>
      </w:r>
    </w:p>
    <w:p w14:paraId="1EEA2198" w14:textId="77777777" w:rsidR="002F6628" w:rsidRDefault="00303CC7">
      <w:pPr>
        <w:spacing w:after="50" w:line="210" w:lineRule="auto"/>
        <w:ind w:left="340" w:hanging="340"/>
        <w:jc w:val="both"/>
      </w:pPr>
      <w:r>
        <w:rPr>
          <w:rFonts w:ascii="Calibri" w:eastAsia="Calibri" w:hAnsi="Calibri" w:cs="Calibri"/>
          <w:sz w:val="18"/>
          <w:szCs w:val="18"/>
        </w:rPr>
        <w:lastRenderedPageBreak/>
        <w:t>[6] M. K. Abiodun et al., "Variance Threshold Feature Selection for Early Risk Analysis of Cervical Cancer: A Comparative Analysis of Machine Learning Models," Journal of Science and Technology Research, vol. 7, no. 4, 2025.</w:t>
      </w:r>
    </w:p>
    <w:p w14:paraId="1717918C" w14:textId="77777777" w:rsidR="002F6628" w:rsidRDefault="00303CC7">
      <w:pPr>
        <w:spacing w:after="50" w:line="210" w:lineRule="auto"/>
        <w:ind w:left="340" w:hanging="340"/>
        <w:jc w:val="both"/>
      </w:pPr>
      <w:r>
        <w:rPr>
          <w:rFonts w:ascii="Calibri" w:eastAsia="Calibri" w:hAnsi="Calibri" w:cs="Calibri"/>
          <w:sz w:val="18"/>
          <w:szCs w:val="18"/>
        </w:rPr>
        <w:t>[7] I. U. Haq et al., "Machine Learning Approaches for Early Detection of Cervical Cancer: A Comparative Study of Classification Models," in Targeted Chemotherapy with Personalized Immunotherapy: An AI Approach, Wiley, 2025, ch. 19.</w:t>
      </w:r>
    </w:p>
    <w:p w14:paraId="7E376CB7" w14:textId="77777777" w:rsidR="002F6628" w:rsidRDefault="00303CC7">
      <w:pPr>
        <w:spacing w:after="50" w:line="210" w:lineRule="auto"/>
        <w:ind w:left="340" w:hanging="340"/>
        <w:jc w:val="both"/>
      </w:pPr>
      <w:r>
        <w:rPr>
          <w:rFonts w:ascii="Calibri" w:eastAsia="Calibri" w:hAnsi="Calibri" w:cs="Calibri"/>
          <w:sz w:val="18"/>
          <w:szCs w:val="18"/>
        </w:rPr>
        <w:t>[8] A. B. Arrieta, N. Díaz-Rodríguez, J. Del Ser, A. Bennetot, S. Tabik, A. Barbado, S. García, S. Gil-López, D. Molina, R. Benjamins, R. Chatila, and F. Herrera, "Explainable Artificial Intelligence (XAI): Concepts, taxonomies, opportunities and challenges toward responsible AI," Information Fusion, vol. 58, pp. 82–115, 2020.</w:t>
      </w:r>
    </w:p>
    <w:p w14:paraId="2F52A5E9" w14:textId="77777777" w:rsidR="002F6628" w:rsidRDefault="00303CC7">
      <w:pPr>
        <w:spacing w:after="50" w:line="210" w:lineRule="auto"/>
        <w:ind w:left="340" w:hanging="340"/>
        <w:jc w:val="both"/>
      </w:pPr>
      <w:r>
        <w:rPr>
          <w:rFonts w:ascii="Calibri" w:eastAsia="Calibri" w:hAnsi="Calibri" w:cs="Calibri"/>
          <w:sz w:val="18"/>
          <w:szCs w:val="18"/>
        </w:rPr>
        <w:t>[9] S. Tonekaboni, S. Joshi, M. D. McCradden, and A. Goldenberg, "What clinicians want: Contextualizing explainable machine learning for clinical end use," in Proc. Machine Learning for Healthcare Conference (MLHC), PMLR vol. 106, 2019, pp. 359–380.</w:t>
      </w:r>
    </w:p>
    <w:p w14:paraId="10B3B809" w14:textId="77777777" w:rsidR="002F6628" w:rsidRDefault="00303CC7">
      <w:pPr>
        <w:spacing w:after="50" w:line="210" w:lineRule="auto"/>
        <w:ind w:left="340" w:hanging="340"/>
        <w:jc w:val="both"/>
      </w:pPr>
      <w:r>
        <w:rPr>
          <w:rFonts w:ascii="Calibri" w:eastAsia="Calibri" w:hAnsi="Calibri" w:cs="Calibri"/>
          <w:sz w:val="18"/>
          <w:szCs w:val="18"/>
        </w:rPr>
        <w:t>[10] J. R. Zech, M. A. Badgeley, M. Liu, A. B. Costa, J. J. Titano, and E. K. Oermann, "Variable generalization performance of a deep learning model to detect pneumonia in chest radiographs: A cross-sectional study," PLOS Medicine, vol. 15, no. 11, e1002683, 2018.</w:t>
      </w:r>
    </w:p>
    <w:p w14:paraId="59A7E352" w14:textId="77777777" w:rsidR="002F6628" w:rsidRDefault="00303CC7">
      <w:pPr>
        <w:spacing w:after="50" w:line="210" w:lineRule="auto"/>
        <w:ind w:left="340" w:hanging="340"/>
        <w:jc w:val="both"/>
      </w:pPr>
      <w:r>
        <w:rPr>
          <w:rFonts w:ascii="Calibri" w:eastAsia="Calibri" w:hAnsi="Calibri" w:cs="Calibri"/>
          <w:sz w:val="18"/>
          <w:szCs w:val="18"/>
        </w:rPr>
        <w:t>[11] N. Rieke, J. Hancox, W. Li, F. Milletarì, H. R. Roth, S. Albarqouni, S. Bakas, M. N. Galtier, B. A. Landman, K. Maier-Hein, S. Ourselin, M. Sheller, R. M. Summers, A. Trask, D. Xu, M. Baust, and M. J. Cardoso, "The future of digital health with federated learning," npj Digital Medicine, vol. 3, no. 1, p. 119, 2020.</w:t>
      </w:r>
    </w:p>
    <w:p w14:paraId="18C8A785" w14:textId="77777777" w:rsidR="002F6628" w:rsidRDefault="00303CC7">
      <w:pPr>
        <w:spacing w:after="50" w:line="210" w:lineRule="auto"/>
        <w:ind w:left="340" w:hanging="340"/>
        <w:jc w:val="both"/>
      </w:pPr>
      <w:r>
        <w:rPr>
          <w:rFonts w:ascii="Calibri" w:eastAsia="Calibri" w:hAnsi="Calibri" w:cs="Calibri"/>
          <w:sz w:val="18"/>
          <w:szCs w:val="18"/>
        </w:rPr>
        <w:t>[12] R. Nayar and D. C. Wilbur, Eds., The Bethesda System for Reporting Cervical Cytology: Definitions, Criteria, and Explanatory Notes, 3rd ed. Cham: Springer, 2015.</w:t>
      </w:r>
    </w:p>
    <w:p w14:paraId="64CF4DEA" w14:textId="77777777" w:rsidR="002F6628" w:rsidRDefault="00303CC7">
      <w:pPr>
        <w:spacing w:after="50" w:line="210" w:lineRule="auto"/>
        <w:ind w:left="340" w:hanging="340"/>
        <w:jc w:val="both"/>
      </w:pPr>
      <w:r>
        <w:rPr>
          <w:rFonts w:ascii="Calibri" w:eastAsia="Calibri" w:hAnsi="Calibri" w:cs="Calibri"/>
          <w:sz w:val="18"/>
          <w:szCs w:val="18"/>
        </w:rPr>
        <w:t>[13] World Health Organization, Global Strategy to Accelerate the Elimination of Cervical Cancer as a Public Health Problem. Geneva: WHO, 2020.</w:t>
      </w:r>
    </w:p>
    <w:p w14:paraId="7FECF779" w14:textId="77777777" w:rsidR="002F6628" w:rsidRDefault="00303CC7">
      <w:pPr>
        <w:spacing w:after="50" w:line="210" w:lineRule="auto"/>
        <w:ind w:left="340" w:hanging="340"/>
        <w:jc w:val="both"/>
      </w:pPr>
      <w:r>
        <w:rPr>
          <w:rFonts w:ascii="Calibri" w:eastAsia="Calibri" w:hAnsi="Calibri" w:cs="Calibri"/>
          <w:sz w:val="18"/>
          <w:szCs w:val="18"/>
        </w:rPr>
        <w:t>[14] C. Cortes and V. Vapnik, "Support-vector networks," Machine Learning, vol. 20, no. 3, pp. 273–297, 1995.</w:t>
      </w:r>
    </w:p>
    <w:p w14:paraId="40DEEB9F" w14:textId="77777777" w:rsidR="002F6628" w:rsidRDefault="00303CC7">
      <w:pPr>
        <w:spacing w:after="50" w:line="210" w:lineRule="auto"/>
        <w:ind w:left="340" w:hanging="340"/>
        <w:jc w:val="both"/>
      </w:pPr>
      <w:r>
        <w:rPr>
          <w:rFonts w:ascii="Calibri" w:eastAsia="Calibri" w:hAnsi="Calibri" w:cs="Calibri"/>
          <w:sz w:val="18"/>
          <w:szCs w:val="18"/>
        </w:rPr>
        <w:t>[15] L. Breiman, "Random forests," Machine Learning, vol. 45, no. 1, pp. 5–32, 2001.</w:t>
      </w:r>
    </w:p>
    <w:p w14:paraId="4302069B" w14:textId="77777777" w:rsidR="002F6628" w:rsidRDefault="00303CC7">
      <w:pPr>
        <w:spacing w:after="50" w:line="210" w:lineRule="auto"/>
        <w:ind w:left="340" w:hanging="340"/>
        <w:jc w:val="both"/>
      </w:pPr>
      <w:r>
        <w:rPr>
          <w:rFonts w:ascii="Calibri" w:eastAsia="Calibri" w:hAnsi="Calibri" w:cs="Calibri"/>
          <w:sz w:val="18"/>
          <w:szCs w:val="18"/>
        </w:rPr>
        <w:t>[16] T. Chen and C. Guestrin, "XGBoost: A scalable tree boosting system," in Proc. 22nd ACM SIGKDD Int. Conf. on Knowledge Discovery and Data Mining (KDD), 2016, pp. 785–794.</w:t>
      </w:r>
    </w:p>
    <w:p w14:paraId="3FC44BF7" w14:textId="77777777" w:rsidR="002F6628" w:rsidRDefault="00303CC7">
      <w:pPr>
        <w:spacing w:after="50" w:line="210" w:lineRule="auto"/>
        <w:ind w:left="340" w:hanging="340"/>
        <w:jc w:val="both"/>
      </w:pPr>
      <w:r>
        <w:rPr>
          <w:rFonts w:ascii="Calibri" w:eastAsia="Calibri" w:hAnsi="Calibri" w:cs="Calibri"/>
          <w:sz w:val="18"/>
          <w:szCs w:val="18"/>
        </w:rPr>
        <w:t>[17] Y. LeCun, Y. Bengio, and G. Hinton, "Deep learning," Nature, vol. 521, no. 7553, pp. 436–444, 2015.</w:t>
      </w:r>
    </w:p>
    <w:p w14:paraId="68A30C88" w14:textId="77777777" w:rsidR="002F6628" w:rsidRDefault="00303CC7">
      <w:pPr>
        <w:spacing w:after="50" w:line="210" w:lineRule="auto"/>
        <w:ind w:left="340" w:hanging="340"/>
        <w:jc w:val="both"/>
      </w:pPr>
      <w:r>
        <w:rPr>
          <w:rFonts w:ascii="Calibri" w:eastAsia="Calibri" w:hAnsi="Calibri" w:cs="Calibri"/>
          <w:sz w:val="18"/>
          <w:szCs w:val="18"/>
        </w:rPr>
        <w:t>[18] A. G. Howard, M. Zhu, B. Chen, D. Kalenichenko, W. Wang, T. Weyand, M. Andreetto, and H. Adam, "MobileNets: Efficient convolutional neural networks for mobile vision applications," arXiv:1704.04861, 2017.</w:t>
      </w:r>
    </w:p>
    <w:p w14:paraId="5224BA63" w14:textId="77777777" w:rsidR="002F6628" w:rsidRDefault="00303CC7">
      <w:pPr>
        <w:spacing w:after="50" w:line="210" w:lineRule="auto"/>
        <w:ind w:left="340" w:hanging="340"/>
        <w:jc w:val="both"/>
      </w:pPr>
      <w:r>
        <w:rPr>
          <w:rFonts w:ascii="Calibri" w:eastAsia="Calibri" w:hAnsi="Calibri" w:cs="Calibri"/>
          <w:sz w:val="18"/>
          <w:szCs w:val="18"/>
        </w:rPr>
        <w:t>[19] C. Szegedy, V. Vanhoucke, S. Ioffe, J. Shlens, and Z. Wojna, "Rethinking the inception architecture for computer vision," in Proc. IEEE Conf. on Computer Vision and Pattern Recognition (CVPR), 2016, pp. 2818–2826.</w:t>
      </w:r>
    </w:p>
    <w:p w14:paraId="660F40E7" w14:textId="77777777" w:rsidR="002F6628" w:rsidRDefault="00303CC7">
      <w:pPr>
        <w:spacing w:after="50" w:line="210" w:lineRule="auto"/>
        <w:ind w:left="340" w:hanging="340"/>
        <w:jc w:val="both"/>
      </w:pPr>
      <w:r>
        <w:rPr>
          <w:rFonts w:ascii="Calibri" w:eastAsia="Calibri" w:hAnsi="Calibri" w:cs="Calibri"/>
          <w:sz w:val="18"/>
          <w:szCs w:val="18"/>
        </w:rPr>
        <w:t>[20] K. He, X. Zhang, S. Ren, and J. Sun, "Deep residual learning for image recognition," in Proc. IEEE Conf. on Computer Vision and Pattern Recognition (CVPR), 2016, pp. 770–778.</w:t>
      </w:r>
    </w:p>
    <w:p w14:paraId="7239CF0F" w14:textId="77777777" w:rsidR="002F6628" w:rsidRDefault="00303CC7">
      <w:pPr>
        <w:spacing w:after="50" w:line="210" w:lineRule="auto"/>
        <w:ind w:left="340" w:hanging="340"/>
        <w:jc w:val="both"/>
      </w:pPr>
      <w:r>
        <w:rPr>
          <w:rFonts w:ascii="Calibri" w:eastAsia="Calibri" w:hAnsi="Calibri" w:cs="Calibri"/>
          <w:sz w:val="18"/>
          <w:szCs w:val="18"/>
        </w:rPr>
        <w:t>[21] O. Ronneberger, P. Fischer, and T. Brox, "U-Net: Convolutional networks for biomedical image segmentation," in Medical Image Computing and Computer-Assisted Intervention (MICCAI), LNCS vol. 9351, Springer, 2015, pp. 234–241.</w:t>
      </w:r>
    </w:p>
    <w:p w14:paraId="2EC956EE" w14:textId="77777777" w:rsidR="002F6628" w:rsidRDefault="00303CC7">
      <w:pPr>
        <w:spacing w:after="50" w:line="210" w:lineRule="auto"/>
        <w:ind w:left="340" w:hanging="340"/>
        <w:jc w:val="both"/>
      </w:pPr>
      <w:r>
        <w:rPr>
          <w:rFonts w:ascii="Calibri" w:eastAsia="Calibri" w:hAnsi="Calibri" w:cs="Calibri"/>
          <w:sz w:val="18"/>
          <w:szCs w:val="18"/>
        </w:rPr>
        <w:t>[22] N. V. Chawla, K. W. Bowyer, L. O. Hall, and W. P. Kegelmeyer, "SMOTE: Synthetic minority over-sampling technique," Journal of Artificial Intelligence Research, vol. 16, pp. 321–357, 2002.</w:t>
      </w:r>
    </w:p>
    <w:p w14:paraId="7D18B243" w14:textId="77777777" w:rsidR="002F6628" w:rsidRDefault="00303CC7">
      <w:pPr>
        <w:spacing w:after="50" w:line="210" w:lineRule="auto"/>
        <w:ind w:left="340" w:hanging="340"/>
        <w:jc w:val="both"/>
      </w:pPr>
      <w:r>
        <w:rPr>
          <w:rFonts w:ascii="Calibri" w:eastAsia="Calibri" w:hAnsi="Calibri" w:cs="Calibri"/>
          <w:sz w:val="18"/>
          <w:szCs w:val="18"/>
        </w:rPr>
        <w:t>[23] S. M. Lundberg and S.-I. Lee, "A unified approach to interpreting model predictions," in Advances in Neural Information Processing Systems (NeurIPS), vol. 30, 2017, pp. 4765–4774.</w:t>
      </w:r>
    </w:p>
    <w:p w14:paraId="377BB152" w14:textId="77777777" w:rsidR="002F6628" w:rsidRDefault="00303CC7">
      <w:pPr>
        <w:spacing w:after="50" w:line="210" w:lineRule="auto"/>
        <w:ind w:left="340" w:hanging="340"/>
        <w:jc w:val="both"/>
      </w:pPr>
      <w:r>
        <w:rPr>
          <w:rFonts w:ascii="Calibri" w:eastAsia="Calibri" w:hAnsi="Calibri" w:cs="Calibri"/>
          <w:sz w:val="18"/>
          <w:szCs w:val="18"/>
        </w:rPr>
        <w:t>[24] M. T. Ribeiro, S. Singh, and C. Guestrin, "'Why should I trust you?': Explaining the predictions of any classifier," in Proc. 22nd ACM SIGKDD Int. Conf. on Knowledge Discovery and Data Mining (KDD), 2016, pp. 1135–1144.</w:t>
      </w:r>
    </w:p>
    <w:p w14:paraId="1F4E6FBB" w14:textId="77777777" w:rsidR="002F6628" w:rsidRDefault="00303CC7">
      <w:pPr>
        <w:spacing w:after="50" w:line="210" w:lineRule="auto"/>
        <w:ind w:left="340" w:hanging="340"/>
        <w:jc w:val="both"/>
      </w:pPr>
      <w:r>
        <w:rPr>
          <w:rFonts w:ascii="Calibri" w:eastAsia="Calibri" w:hAnsi="Calibri" w:cs="Calibri"/>
          <w:sz w:val="18"/>
          <w:szCs w:val="18"/>
        </w:rPr>
        <w:t>[25] R. R. Selvaraju, M. Cogswell, A. Das, R. Vedantam, D. Parikh, and D. Batra, "Grad-CAM: Visual explanations from deep networks via gradient-based localization," in Proc. IEEE Int. Conf. on Computer Vision (ICCV), 2017, pp. 618–626.</w:t>
      </w:r>
    </w:p>
    <w:p w14:paraId="1F2123B7" w14:textId="77777777" w:rsidR="002F6628" w:rsidRDefault="00303CC7">
      <w:pPr>
        <w:spacing w:after="50" w:line="210" w:lineRule="auto"/>
        <w:ind w:left="340" w:hanging="340"/>
        <w:jc w:val="both"/>
      </w:pPr>
      <w:r>
        <w:rPr>
          <w:rFonts w:ascii="Calibri" w:eastAsia="Calibri" w:hAnsi="Calibri" w:cs="Calibri"/>
          <w:sz w:val="18"/>
          <w:szCs w:val="18"/>
        </w:rPr>
        <w:t>[26] K. Fernandes, J. S. Cardoso, and J. Fernandes, "Transfer learning with partial observability applied to cervical cancer screening," in Pattern Recognition and Image Analysis (IbPRIA 2017), LNCS vol. 10255, Springer, 2017, pp. 243–250.</w:t>
      </w:r>
    </w:p>
    <w:p w14:paraId="5563E198" w14:textId="77777777" w:rsidR="002F6628" w:rsidRDefault="00303CC7">
      <w:pPr>
        <w:spacing w:after="50" w:line="210" w:lineRule="auto"/>
        <w:ind w:left="340" w:hanging="340"/>
        <w:jc w:val="both"/>
      </w:pPr>
      <w:r>
        <w:rPr>
          <w:rFonts w:ascii="Calibri" w:eastAsia="Calibri" w:hAnsi="Calibri" w:cs="Calibri"/>
          <w:sz w:val="18"/>
          <w:szCs w:val="18"/>
        </w:rPr>
        <w:t>[27] "Enhancing Cervical Cancer Prediction: A Comparative Analysis of Machine Learning Algorithms and Development of a Novel Screening Tool," in Proc. IEEE Int. Conf., 2024.</w:t>
      </w:r>
    </w:p>
    <w:p w14:paraId="73D2744F" w14:textId="77777777" w:rsidR="002F6628" w:rsidRDefault="00303CC7">
      <w:pPr>
        <w:spacing w:after="50" w:line="210" w:lineRule="auto"/>
        <w:ind w:left="340" w:hanging="340"/>
        <w:jc w:val="both"/>
      </w:pPr>
      <w:r>
        <w:rPr>
          <w:rFonts w:ascii="Calibri" w:eastAsia="Calibri" w:hAnsi="Calibri" w:cs="Calibri"/>
          <w:sz w:val="18"/>
          <w:szCs w:val="18"/>
        </w:rPr>
        <w:t>[28] M. Mohammadi et al., "Cervical Whole Slide Images Dataset for Multi-class Classification," GigaScience, vol. 14, p. giaf144, 2025.</w:t>
      </w:r>
    </w:p>
    <w:p w14:paraId="6BC4F0B5" w14:textId="77777777" w:rsidR="002F6628" w:rsidRDefault="00303CC7">
      <w:pPr>
        <w:spacing w:after="50" w:line="210" w:lineRule="auto"/>
        <w:ind w:left="340" w:hanging="340"/>
        <w:jc w:val="both"/>
      </w:pPr>
      <w:r>
        <w:rPr>
          <w:rFonts w:ascii="Calibri" w:eastAsia="Calibri" w:hAnsi="Calibri" w:cs="Calibri"/>
          <w:sz w:val="18"/>
          <w:szCs w:val="18"/>
        </w:rPr>
        <w:t>[29] "BiCervi: Cervical Cytology Image Dataset for Pap Smear Classification," Zenodo, Jan. 2026.</w:t>
      </w:r>
    </w:p>
    <w:p w14:paraId="7D535340" w14:textId="77777777" w:rsidR="002F6628" w:rsidRDefault="00303CC7">
      <w:pPr>
        <w:spacing w:after="50" w:line="210" w:lineRule="auto"/>
        <w:ind w:left="340" w:hanging="340"/>
        <w:jc w:val="both"/>
      </w:pPr>
      <w:r>
        <w:rPr>
          <w:rFonts w:ascii="Calibri" w:eastAsia="Calibri" w:hAnsi="Calibri" w:cs="Calibri"/>
          <w:sz w:val="18"/>
          <w:szCs w:val="18"/>
        </w:rPr>
        <w:t>[30] RIVA Dataset Authors, "RIVA: An Image Dataset of Conventional Pap Smear Cytology with Multiple Independent Annotations," Scientific Data, vol. 12, no. 1991, 2025.</w:t>
      </w:r>
    </w:p>
    <w:p w14:paraId="00ADB611" w14:textId="77777777" w:rsidR="002F6628" w:rsidRDefault="00303CC7">
      <w:pPr>
        <w:spacing w:after="50" w:line="210" w:lineRule="auto"/>
        <w:ind w:left="340" w:hanging="340"/>
        <w:jc w:val="both"/>
      </w:pPr>
      <w:r>
        <w:rPr>
          <w:rFonts w:ascii="Calibri" w:eastAsia="Calibri" w:hAnsi="Calibri" w:cs="Calibri"/>
          <w:sz w:val="18"/>
          <w:szCs w:val="18"/>
        </w:rPr>
        <w:t>[31] "Use of artificial intelligence in the diagnosis of alterations in cervical cytology: A university population-based observational study," PMC, 2025.</w:t>
      </w:r>
    </w:p>
    <w:p w14:paraId="232E4860" w14:textId="77777777" w:rsidR="002F6628" w:rsidRDefault="00303CC7">
      <w:pPr>
        <w:spacing w:after="50" w:line="210" w:lineRule="auto"/>
        <w:ind w:left="340" w:hanging="340"/>
        <w:jc w:val="both"/>
      </w:pPr>
      <w:r>
        <w:rPr>
          <w:rFonts w:ascii="Calibri" w:eastAsia="Calibri" w:hAnsi="Calibri" w:cs="Calibri"/>
          <w:sz w:val="18"/>
          <w:szCs w:val="18"/>
        </w:rPr>
        <w:t>[32] "A Comprehensive Review on Multimodal and Explainable Deep Learning Approaches for Cervical Cancer Detection," IEEE Xplore, 2026.</w:t>
      </w:r>
    </w:p>
    <w:p w14:paraId="419B4612" w14:textId="77777777" w:rsidR="002F6628" w:rsidRDefault="00303CC7">
      <w:pPr>
        <w:spacing w:after="50" w:line="210" w:lineRule="auto"/>
        <w:ind w:left="340" w:hanging="340"/>
        <w:jc w:val="both"/>
      </w:pPr>
      <w:r>
        <w:rPr>
          <w:rFonts w:ascii="Calibri" w:eastAsia="Calibri" w:hAnsi="Calibri" w:cs="Calibri"/>
          <w:sz w:val="18"/>
          <w:szCs w:val="18"/>
        </w:rPr>
        <w:t>[33] H. Ahmadzadeh Sarhangi et al., "Deep learning techniques for cervical cancer diagnosis based on pathology and colposcopy images," Informatics in Medicine Unlocked, vol. 43, p. 101503, 2024.</w:t>
      </w:r>
    </w:p>
    <w:p w14:paraId="7CDBF28B" w14:textId="77777777" w:rsidR="002F6628" w:rsidRDefault="00303CC7">
      <w:pPr>
        <w:spacing w:after="50" w:line="210" w:lineRule="auto"/>
        <w:ind w:left="340" w:hanging="340"/>
        <w:jc w:val="both"/>
      </w:pPr>
      <w:r>
        <w:rPr>
          <w:rFonts w:ascii="Calibri" w:eastAsia="Calibri" w:hAnsi="Calibri" w:cs="Calibri"/>
          <w:sz w:val="18"/>
          <w:szCs w:val="18"/>
        </w:rPr>
        <w:t>[34] "Explainable AI based cervical cancer prediction using FSAE feature engineering and H2O AutoML," Scientific Reports, vol. 15, no. 40439, 2025.</w:t>
      </w:r>
    </w:p>
    <w:p w14:paraId="1CF4CA77" w14:textId="77777777" w:rsidR="002F6628" w:rsidRDefault="00303CC7">
      <w:pPr>
        <w:spacing w:after="50" w:line="210" w:lineRule="auto"/>
        <w:ind w:left="340" w:hanging="340"/>
        <w:jc w:val="both"/>
      </w:pPr>
      <w:r>
        <w:rPr>
          <w:rFonts w:ascii="Calibri" w:eastAsia="Calibri" w:hAnsi="Calibri" w:cs="Calibri"/>
          <w:sz w:val="18"/>
          <w:szCs w:val="18"/>
        </w:rPr>
        <w:lastRenderedPageBreak/>
        <w:t>[35] B. Vázquez et al., "Machine and deep learning for the diagnosis, prognosis, and treatment of cervical cancer: A scoping review," Diagnostics, vol. 15, no. 12, p. 1543, 2025.</w:t>
      </w:r>
    </w:p>
    <w:p w14:paraId="7607F664" w14:textId="77777777" w:rsidR="002F6628" w:rsidRDefault="00303CC7">
      <w:pPr>
        <w:spacing w:after="50" w:line="210" w:lineRule="auto"/>
        <w:ind w:left="340" w:hanging="340"/>
        <w:jc w:val="both"/>
      </w:pPr>
      <w:r>
        <w:rPr>
          <w:rFonts w:ascii="Calibri" w:eastAsia="Calibri" w:hAnsi="Calibri" w:cs="Calibri"/>
          <w:sz w:val="18"/>
          <w:szCs w:val="18"/>
        </w:rPr>
        <w:t>[36] "Grad-CAM-Driven Explainable Deep Learning Framework for Cervical Cancer Image Classification," in MIWAI 2025.</w:t>
      </w:r>
    </w:p>
    <w:p w14:paraId="2A845F41" w14:textId="77777777" w:rsidR="002F6628" w:rsidRDefault="00303CC7">
      <w:pPr>
        <w:spacing w:after="50" w:line="210" w:lineRule="auto"/>
        <w:ind w:left="340" w:hanging="340"/>
        <w:jc w:val="both"/>
      </w:pPr>
      <w:r>
        <w:rPr>
          <w:rFonts w:ascii="Calibri" w:eastAsia="Calibri" w:hAnsi="Calibri" w:cs="Calibri"/>
          <w:sz w:val="18"/>
          <w:szCs w:val="18"/>
        </w:rPr>
        <w:t>[37] E. Davey et al., "Effect of study design and quality on unsatisfactory rates, cytology classifications, and accuracy in cervical screening: A systematic review," The Lancet, 2023.</w:t>
      </w:r>
    </w:p>
    <w:p w14:paraId="3346FCEF" w14:textId="77777777" w:rsidR="002F6628" w:rsidRDefault="00303CC7">
      <w:pPr>
        <w:spacing w:after="50" w:line="210" w:lineRule="auto"/>
        <w:ind w:left="340" w:hanging="340"/>
        <w:jc w:val="both"/>
        <w:rPr>
          <w:rFonts w:ascii="Calibri" w:eastAsia="Calibri" w:hAnsi="Calibri" w:cs="Calibri"/>
          <w:sz w:val="18"/>
          <w:szCs w:val="18"/>
        </w:rPr>
      </w:pPr>
      <w:r>
        <w:rPr>
          <w:rFonts w:ascii="Calibri" w:eastAsia="Calibri" w:hAnsi="Calibri" w:cs="Calibri"/>
          <w:sz w:val="18"/>
          <w:szCs w:val="18"/>
        </w:rPr>
        <w:t>[38] T. M. Okyay, I. Yilmaz, and M. Koldas, "Evaluating Cervical Cancer Risk Using Machine Learning," Haseki Tıp Bülteni, vol. 63, no. 4, pp. 188–194, 2025.</w:t>
      </w:r>
    </w:p>
    <w:p w14:paraId="26A1E814" w14:textId="77777777" w:rsidR="00542B48" w:rsidRDefault="00542B48">
      <w:pPr>
        <w:spacing w:after="50" w:line="210" w:lineRule="auto"/>
        <w:ind w:left="340" w:hanging="340"/>
        <w:jc w:val="both"/>
        <w:rPr>
          <w:rFonts w:ascii="Calibri" w:eastAsia="Calibri" w:hAnsi="Calibri" w:cs="Calibri"/>
          <w:sz w:val="18"/>
          <w:szCs w:val="18"/>
        </w:rPr>
      </w:pPr>
    </w:p>
    <w:p w14:paraId="3F55FBA5" w14:textId="77777777" w:rsidR="00542B48" w:rsidRDefault="00542B48">
      <w:pPr>
        <w:spacing w:after="50" w:line="210" w:lineRule="auto"/>
        <w:ind w:left="340" w:hanging="340"/>
        <w:jc w:val="both"/>
        <w:rPr>
          <w:rFonts w:ascii="Calibri" w:eastAsia="Calibri" w:hAnsi="Calibri" w:cs="Calibri"/>
          <w:sz w:val="18"/>
          <w:szCs w:val="18"/>
        </w:rPr>
      </w:pPr>
    </w:p>
    <w:p w14:paraId="0532274E" w14:textId="77777777" w:rsidR="00542B48" w:rsidRDefault="00542B48">
      <w:pPr>
        <w:spacing w:after="50" w:line="210" w:lineRule="auto"/>
        <w:ind w:left="340" w:hanging="340"/>
        <w:jc w:val="both"/>
        <w:rPr>
          <w:rFonts w:ascii="Calibri" w:eastAsia="Calibri" w:hAnsi="Calibri" w:cs="Calibri"/>
          <w:sz w:val="18"/>
          <w:szCs w:val="18"/>
        </w:rPr>
      </w:pPr>
    </w:p>
    <w:p w14:paraId="488914D8" w14:textId="77777777" w:rsidR="00542B48" w:rsidRDefault="00542B48">
      <w:pPr>
        <w:spacing w:after="50" w:line="210" w:lineRule="auto"/>
        <w:ind w:left="340" w:hanging="340"/>
        <w:jc w:val="both"/>
        <w:rPr>
          <w:rFonts w:ascii="Calibri" w:eastAsia="Calibri" w:hAnsi="Calibri" w:cs="Calibri"/>
          <w:sz w:val="18"/>
          <w:szCs w:val="18"/>
        </w:rPr>
      </w:pPr>
    </w:p>
    <w:p w14:paraId="7B2433A7" w14:textId="77777777" w:rsidR="00542B48" w:rsidRPr="00542B48" w:rsidRDefault="00542B48" w:rsidP="00542B48">
      <w:pPr>
        <w:spacing w:after="50" w:line="210" w:lineRule="auto"/>
        <w:ind w:left="340" w:hanging="340"/>
        <w:jc w:val="both"/>
      </w:pPr>
      <w:r w:rsidRPr="00542B48">
        <w:t>Resultados de Evaluación en Conjunto de Prueba (15% Estratificado)</w:t>
      </w:r>
    </w:p>
    <w:p w14:paraId="36DE9058" w14:textId="77777777" w:rsidR="00542B48" w:rsidRPr="00542B48" w:rsidRDefault="00542B48" w:rsidP="00542B48">
      <w:pPr>
        <w:numPr>
          <w:ilvl w:val="0"/>
          <w:numId w:val="2"/>
        </w:numPr>
        <w:spacing w:after="50" w:line="210" w:lineRule="auto"/>
        <w:jc w:val="both"/>
      </w:pPr>
      <w:r w:rsidRPr="00542B48">
        <w:rPr>
          <w:b/>
          <w:bCs/>
        </w:rPr>
        <w:t>Muestra de prueba</w:t>
      </w:r>
      <w:r w:rsidRPr="00542B48">
        <w:t>: 129 pacientes (121 negativos Biopsy=0, 8 positivos Biopsy=1).</w:t>
      </w:r>
    </w:p>
    <w:p w14:paraId="1354516B" w14:textId="77777777" w:rsidR="00542B48" w:rsidRPr="00542B48" w:rsidRDefault="00542B48" w:rsidP="00542B48">
      <w:pPr>
        <w:numPr>
          <w:ilvl w:val="0"/>
          <w:numId w:val="2"/>
        </w:numPr>
        <w:spacing w:after="50" w:line="210" w:lineRule="auto"/>
        <w:jc w:val="both"/>
      </w:pPr>
      <w:r w:rsidRPr="00542B48">
        <w:rPr>
          <w:b/>
          <w:bCs/>
        </w:rPr>
        <w:t>Muestra de entrenamiento</w:t>
      </w:r>
      <w:r w:rsidRPr="00542B48">
        <w:t>: 729 pacientes (682 negativos, 47 positivos $\rightarrow$ 682 positivos tras SMOTE).</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79"/>
        <w:gridCol w:w="857"/>
        <w:gridCol w:w="1640"/>
        <w:gridCol w:w="957"/>
        <w:gridCol w:w="835"/>
        <w:gridCol w:w="886"/>
        <w:gridCol w:w="996"/>
      </w:tblGrid>
      <w:tr w:rsidR="00542B48" w:rsidRPr="00542B48" w14:paraId="63305E40"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24C43A5C" w14:textId="77777777" w:rsidR="00542B48" w:rsidRPr="00542B48" w:rsidRDefault="00542B48" w:rsidP="00542B48">
            <w:pPr>
              <w:spacing w:after="50" w:line="210" w:lineRule="auto"/>
              <w:ind w:left="340" w:hanging="340"/>
              <w:jc w:val="both"/>
            </w:pPr>
            <w:r w:rsidRPr="00542B48">
              <w:t>Modelo</w:t>
            </w:r>
          </w:p>
        </w:tc>
        <w:tc>
          <w:tcPr>
            <w:tcW w:w="0" w:type="auto"/>
            <w:tcBorders>
              <w:top w:val="single" w:sz="2" w:space="0" w:color="auto"/>
              <w:left w:val="single" w:sz="6" w:space="0" w:color="auto"/>
              <w:bottom w:val="single" w:sz="6" w:space="0" w:color="auto"/>
              <w:right w:val="single" w:sz="6" w:space="0" w:color="auto"/>
            </w:tcBorders>
            <w:vAlign w:val="center"/>
            <w:hideMark/>
          </w:tcPr>
          <w:p w14:paraId="16FF8FA6" w14:textId="77777777" w:rsidR="00542B48" w:rsidRPr="00542B48" w:rsidRDefault="00542B48" w:rsidP="00542B48">
            <w:pPr>
              <w:spacing w:after="50" w:line="210" w:lineRule="auto"/>
              <w:ind w:left="340" w:hanging="340"/>
              <w:jc w:val="both"/>
            </w:pPr>
            <w:r w:rsidRPr="00542B48">
              <w:t>Accuracy</w:t>
            </w:r>
          </w:p>
        </w:tc>
        <w:tc>
          <w:tcPr>
            <w:tcW w:w="0" w:type="auto"/>
            <w:tcBorders>
              <w:top w:val="single" w:sz="2" w:space="0" w:color="auto"/>
              <w:left w:val="single" w:sz="6" w:space="0" w:color="auto"/>
              <w:bottom w:val="single" w:sz="6" w:space="0" w:color="auto"/>
              <w:right w:val="single" w:sz="6" w:space="0" w:color="auto"/>
            </w:tcBorders>
            <w:vAlign w:val="center"/>
            <w:hideMark/>
          </w:tcPr>
          <w:p w14:paraId="65369DEE" w14:textId="77777777" w:rsidR="00542B48" w:rsidRPr="00542B48" w:rsidRDefault="00542B48" w:rsidP="00542B48">
            <w:pPr>
              <w:spacing w:after="50" w:line="210" w:lineRule="auto"/>
              <w:ind w:left="340" w:hanging="340"/>
              <w:jc w:val="both"/>
            </w:pPr>
            <w:r w:rsidRPr="00542B48">
              <w:t>Sensitivity (Recall)</w:t>
            </w:r>
          </w:p>
        </w:tc>
        <w:tc>
          <w:tcPr>
            <w:tcW w:w="0" w:type="auto"/>
            <w:tcBorders>
              <w:top w:val="single" w:sz="2" w:space="0" w:color="auto"/>
              <w:left w:val="single" w:sz="6" w:space="0" w:color="auto"/>
              <w:bottom w:val="single" w:sz="6" w:space="0" w:color="auto"/>
              <w:right w:val="single" w:sz="6" w:space="0" w:color="auto"/>
            </w:tcBorders>
            <w:vAlign w:val="center"/>
            <w:hideMark/>
          </w:tcPr>
          <w:p w14:paraId="7B55B05D" w14:textId="77777777" w:rsidR="00542B48" w:rsidRPr="00542B48" w:rsidRDefault="00542B48" w:rsidP="00542B48">
            <w:pPr>
              <w:spacing w:after="50" w:line="210" w:lineRule="auto"/>
              <w:ind w:left="340" w:hanging="340"/>
              <w:jc w:val="both"/>
            </w:pPr>
            <w:r w:rsidRPr="00542B48">
              <w:t>Specificity</w:t>
            </w:r>
          </w:p>
        </w:tc>
        <w:tc>
          <w:tcPr>
            <w:tcW w:w="0" w:type="auto"/>
            <w:tcBorders>
              <w:top w:val="single" w:sz="2" w:space="0" w:color="auto"/>
              <w:left w:val="single" w:sz="6" w:space="0" w:color="auto"/>
              <w:bottom w:val="single" w:sz="6" w:space="0" w:color="auto"/>
              <w:right w:val="single" w:sz="6" w:space="0" w:color="auto"/>
            </w:tcBorders>
            <w:vAlign w:val="center"/>
            <w:hideMark/>
          </w:tcPr>
          <w:p w14:paraId="215BD81F" w14:textId="77777777" w:rsidR="00542B48" w:rsidRPr="00542B48" w:rsidRDefault="00542B48" w:rsidP="00542B48">
            <w:pPr>
              <w:spacing w:after="50" w:line="210" w:lineRule="auto"/>
              <w:ind w:left="340" w:hanging="340"/>
              <w:jc w:val="both"/>
            </w:pPr>
            <w:r w:rsidRPr="00542B48">
              <w:t>Precision</w:t>
            </w:r>
          </w:p>
        </w:tc>
        <w:tc>
          <w:tcPr>
            <w:tcW w:w="0" w:type="auto"/>
            <w:tcBorders>
              <w:top w:val="single" w:sz="2" w:space="0" w:color="auto"/>
              <w:left w:val="single" w:sz="6" w:space="0" w:color="auto"/>
              <w:bottom w:val="single" w:sz="6" w:space="0" w:color="auto"/>
              <w:right w:val="single" w:sz="6" w:space="0" w:color="auto"/>
            </w:tcBorders>
            <w:vAlign w:val="center"/>
            <w:hideMark/>
          </w:tcPr>
          <w:p w14:paraId="5B7EEC29" w14:textId="77777777" w:rsidR="00542B48" w:rsidRPr="00542B48" w:rsidRDefault="00542B48" w:rsidP="00542B48">
            <w:pPr>
              <w:spacing w:after="50" w:line="210" w:lineRule="auto"/>
              <w:ind w:left="340" w:hanging="340"/>
              <w:jc w:val="both"/>
            </w:pPr>
            <w:r w:rsidRPr="00542B48">
              <w:t>F1-Score</w:t>
            </w:r>
          </w:p>
        </w:tc>
        <w:tc>
          <w:tcPr>
            <w:tcW w:w="0" w:type="auto"/>
            <w:tcBorders>
              <w:top w:val="single" w:sz="2" w:space="0" w:color="auto"/>
              <w:left w:val="single" w:sz="6" w:space="0" w:color="auto"/>
              <w:bottom w:val="single" w:sz="6" w:space="0" w:color="auto"/>
              <w:right w:val="single" w:sz="2" w:space="0" w:color="auto"/>
            </w:tcBorders>
            <w:vAlign w:val="center"/>
            <w:hideMark/>
          </w:tcPr>
          <w:p w14:paraId="2F36C500" w14:textId="77777777" w:rsidR="00542B48" w:rsidRPr="00542B48" w:rsidRDefault="00542B48" w:rsidP="00542B48">
            <w:pPr>
              <w:spacing w:after="50" w:line="210" w:lineRule="auto"/>
              <w:ind w:left="340" w:hanging="340"/>
              <w:jc w:val="both"/>
            </w:pPr>
            <w:r w:rsidRPr="00542B48">
              <w:t>AUC-ROC</w:t>
            </w:r>
          </w:p>
        </w:tc>
      </w:tr>
      <w:tr w:rsidR="00542B48" w:rsidRPr="00542B48" w14:paraId="14AC36CC"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19CA181" w14:textId="77777777" w:rsidR="00542B48" w:rsidRPr="00542B48" w:rsidRDefault="00542B48" w:rsidP="00542B48">
            <w:pPr>
              <w:spacing w:after="50" w:line="210" w:lineRule="auto"/>
              <w:ind w:left="340" w:hanging="340"/>
              <w:jc w:val="both"/>
            </w:pPr>
            <w:r w:rsidRPr="00542B48">
              <w:rPr>
                <w:b/>
                <w:bCs/>
              </w:rPr>
              <w:t>Regresión Logística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00ECAD0E" w14:textId="77777777" w:rsidR="00542B48" w:rsidRPr="00542B48" w:rsidRDefault="00542B48" w:rsidP="00542B48">
            <w:pPr>
              <w:spacing w:after="50" w:line="210" w:lineRule="auto"/>
              <w:ind w:left="340" w:hanging="340"/>
              <w:jc w:val="both"/>
            </w:pPr>
            <w:r w:rsidRPr="00542B48">
              <w:t>0.7984</w:t>
            </w:r>
          </w:p>
        </w:tc>
        <w:tc>
          <w:tcPr>
            <w:tcW w:w="0" w:type="auto"/>
            <w:tcBorders>
              <w:top w:val="single" w:sz="6" w:space="0" w:color="auto"/>
              <w:left w:val="single" w:sz="6" w:space="0" w:color="auto"/>
              <w:bottom w:val="single" w:sz="6" w:space="0" w:color="auto"/>
              <w:right w:val="single" w:sz="6" w:space="0" w:color="auto"/>
            </w:tcBorders>
            <w:vAlign w:val="center"/>
            <w:hideMark/>
          </w:tcPr>
          <w:p w14:paraId="12B7A7BD" w14:textId="77777777" w:rsidR="00542B48" w:rsidRPr="00542B48" w:rsidRDefault="00542B48" w:rsidP="00542B48">
            <w:pPr>
              <w:spacing w:after="50" w:line="210" w:lineRule="auto"/>
              <w:ind w:left="340" w:hanging="340"/>
              <w:jc w:val="both"/>
            </w:pPr>
            <w:r w:rsidRPr="00542B48">
              <w:t>0.1250</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AB33D" w14:textId="77777777" w:rsidR="00542B48" w:rsidRPr="00542B48" w:rsidRDefault="00542B48" w:rsidP="00542B48">
            <w:pPr>
              <w:spacing w:after="50" w:line="210" w:lineRule="auto"/>
              <w:ind w:left="340" w:hanging="340"/>
              <w:jc w:val="both"/>
            </w:pPr>
            <w:r w:rsidRPr="00542B48">
              <w:t>0.8430</w:t>
            </w:r>
          </w:p>
        </w:tc>
        <w:tc>
          <w:tcPr>
            <w:tcW w:w="0" w:type="auto"/>
            <w:tcBorders>
              <w:top w:val="single" w:sz="6" w:space="0" w:color="auto"/>
              <w:left w:val="single" w:sz="6" w:space="0" w:color="auto"/>
              <w:bottom w:val="single" w:sz="6" w:space="0" w:color="auto"/>
              <w:right w:val="single" w:sz="6" w:space="0" w:color="auto"/>
            </w:tcBorders>
            <w:vAlign w:val="center"/>
            <w:hideMark/>
          </w:tcPr>
          <w:p w14:paraId="71AAE544" w14:textId="77777777" w:rsidR="00542B48" w:rsidRPr="00542B48" w:rsidRDefault="00542B48" w:rsidP="00542B48">
            <w:pPr>
              <w:spacing w:after="50" w:line="210" w:lineRule="auto"/>
              <w:ind w:left="340" w:hanging="340"/>
              <w:jc w:val="both"/>
            </w:pPr>
            <w:r w:rsidRPr="00542B48">
              <w:t>0.0500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42A4971" w14:textId="77777777" w:rsidR="00542B48" w:rsidRPr="00542B48" w:rsidRDefault="00542B48" w:rsidP="00542B48">
            <w:pPr>
              <w:spacing w:after="50" w:line="210" w:lineRule="auto"/>
              <w:ind w:left="340" w:hanging="340"/>
              <w:jc w:val="both"/>
            </w:pPr>
            <w:r w:rsidRPr="00542B48">
              <w:t>0.0714</w:t>
            </w:r>
          </w:p>
        </w:tc>
        <w:tc>
          <w:tcPr>
            <w:tcW w:w="0" w:type="auto"/>
            <w:tcBorders>
              <w:top w:val="single" w:sz="6" w:space="0" w:color="auto"/>
              <w:left w:val="single" w:sz="6" w:space="0" w:color="auto"/>
              <w:bottom w:val="single" w:sz="6" w:space="0" w:color="auto"/>
              <w:right w:val="single" w:sz="2" w:space="0" w:color="auto"/>
            </w:tcBorders>
            <w:vAlign w:val="center"/>
            <w:hideMark/>
          </w:tcPr>
          <w:p w14:paraId="25504D24" w14:textId="77777777" w:rsidR="00542B48" w:rsidRPr="00542B48" w:rsidRDefault="00542B48" w:rsidP="00542B48">
            <w:pPr>
              <w:spacing w:after="50" w:line="210" w:lineRule="auto"/>
              <w:ind w:left="340" w:hanging="340"/>
              <w:jc w:val="both"/>
            </w:pPr>
            <w:r w:rsidRPr="00542B48">
              <w:t>0.5093</w:t>
            </w:r>
          </w:p>
        </w:tc>
      </w:tr>
      <w:tr w:rsidR="00542B48" w:rsidRPr="00542B48" w14:paraId="35C9C040"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DBEE5FC" w14:textId="77777777" w:rsidR="00542B48" w:rsidRPr="00542B48" w:rsidRDefault="00542B48" w:rsidP="00542B48">
            <w:pPr>
              <w:spacing w:after="50" w:line="210" w:lineRule="auto"/>
              <w:ind w:left="340" w:hanging="340"/>
              <w:jc w:val="both"/>
            </w:pPr>
            <w:r w:rsidRPr="00542B48">
              <w:rPr>
                <w:b/>
                <w:bCs/>
              </w:rPr>
              <w:t>SVM (RBF)</w:t>
            </w:r>
          </w:p>
        </w:tc>
        <w:tc>
          <w:tcPr>
            <w:tcW w:w="0" w:type="auto"/>
            <w:tcBorders>
              <w:top w:val="single" w:sz="6" w:space="0" w:color="auto"/>
              <w:left w:val="single" w:sz="6" w:space="0" w:color="auto"/>
              <w:bottom w:val="single" w:sz="6" w:space="0" w:color="auto"/>
              <w:right w:val="single" w:sz="6" w:space="0" w:color="auto"/>
            </w:tcBorders>
            <w:vAlign w:val="center"/>
            <w:hideMark/>
          </w:tcPr>
          <w:p w14:paraId="0F89BF07" w14:textId="77777777" w:rsidR="00542B48" w:rsidRPr="00542B48" w:rsidRDefault="00542B48" w:rsidP="00542B48">
            <w:pPr>
              <w:spacing w:after="50" w:line="210" w:lineRule="auto"/>
              <w:ind w:left="340" w:hanging="340"/>
              <w:jc w:val="both"/>
            </w:pPr>
            <w:r w:rsidRPr="00542B48">
              <w:t>0.8915</w:t>
            </w:r>
          </w:p>
        </w:tc>
        <w:tc>
          <w:tcPr>
            <w:tcW w:w="0" w:type="auto"/>
            <w:tcBorders>
              <w:top w:val="single" w:sz="6" w:space="0" w:color="auto"/>
              <w:left w:val="single" w:sz="6" w:space="0" w:color="auto"/>
              <w:bottom w:val="single" w:sz="6" w:space="0" w:color="auto"/>
              <w:right w:val="single" w:sz="6" w:space="0" w:color="auto"/>
            </w:tcBorders>
            <w:vAlign w:val="center"/>
            <w:hideMark/>
          </w:tcPr>
          <w:p w14:paraId="32723826" w14:textId="77777777" w:rsidR="00542B48" w:rsidRPr="00542B48" w:rsidRDefault="00542B48" w:rsidP="00542B48">
            <w:pPr>
              <w:spacing w:after="50" w:line="210" w:lineRule="auto"/>
              <w:ind w:left="340" w:hanging="340"/>
              <w:jc w:val="both"/>
            </w:pPr>
            <w:r w:rsidRPr="00542B48">
              <w:t>0.0000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2E0E404" w14:textId="77777777" w:rsidR="00542B48" w:rsidRPr="00542B48" w:rsidRDefault="00542B48" w:rsidP="00542B48">
            <w:pPr>
              <w:spacing w:after="50" w:line="210" w:lineRule="auto"/>
              <w:ind w:left="340" w:hanging="340"/>
              <w:jc w:val="both"/>
            </w:pPr>
            <w:r w:rsidRPr="00542B48">
              <w:t>0.9504</w:t>
            </w:r>
          </w:p>
        </w:tc>
        <w:tc>
          <w:tcPr>
            <w:tcW w:w="0" w:type="auto"/>
            <w:tcBorders>
              <w:top w:val="single" w:sz="6" w:space="0" w:color="auto"/>
              <w:left w:val="single" w:sz="6" w:space="0" w:color="auto"/>
              <w:bottom w:val="single" w:sz="6" w:space="0" w:color="auto"/>
              <w:right w:val="single" w:sz="6" w:space="0" w:color="auto"/>
            </w:tcBorders>
            <w:vAlign w:val="center"/>
            <w:hideMark/>
          </w:tcPr>
          <w:p w14:paraId="689861F7" w14:textId="77777777" w:rsidR="00542B48" w:rsidRPr="00542B48" w:rsidRDefault="00542B48" w:rsidP="00542B48">
            <w:pPr>
              <w:spacing w:after="50" w:line="210" w:lineRule="auto"/>
              <w:ind w:left="340" w:hanging="340"/>
              <w:jc w:val="both"/>
            </w:pPr>
            <w:r w:rsidRPr="00542B48">
              <w:t>0.0000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8F32BE1" w14:textId="77777777" w:rsidR="00542B48" w:rsidRPr="00542B48" w:rsidRDefault="00542B48" w:rsidP="00542B48">
            <w:pPr>
              <w:spacing w:after="50" w:line="210" w:lineRule="auto"/>
              <w:ind w:left="340" w:hanging="340"/>
              <w:jc w:val="both"/>
            </w:pPr>
            <w:r w:rsidRPr="00542B48">
              <w:t>0.0000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63E726D6" w14:textId="77777777" w:rsidR="00542B48" w:rsidRPr="00542B48" w:rsidRDefault="00542B48" w:rsidP="00542B48">
            <w:pPr>
              <w:spacing w:after="50" w:line="210" w:lineRule="auto"/>
              <w:ind w:left="340" w:hanging="340"/>
              <w:jc w:val="both"/>
            </w:pPr>
            <w:r w:rsidRPr="00542B48">
              <w:t>0.6560</w:t>
            </w:r>
          </w:p>
        </w:tc>
      </w:tr>
      <w:tr w:rsidR="00542B48" w:rsidRPr="00542B48" w14:paraId="6CE060E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7E12F4B" w14:textId="77777777" w:rsidR="00542B48" w:rsidRPr="00542B48" w:rsidRDefault="00542B48" w:rsidP="00542B48">
            <w:pPr>
              <w:spacing w:after="50" w:line="210" w:lineRule="auto"/>
              <w:ind w:left="340" w:hanging="340"/>
              <w:jc w:val="both"/>
            </w:pPr>
            <w:r w:rsidRPr="00542B48">
              <w:rPr>
                <w:b/>
                <w:bCs/>
              </w:rPr>
              <w:t>Decision Tree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E01422" w14:textId="77777777" w:rsidR="00542B48" w:rsidRPr="00542B48" w:rsidRDefault="00542B48" w:rsidP="00542B48">
            <w:pPr>
              <w:spacing w:after="50" w:line="210" w:lineRule="auto"/>
              <w:ind w:left="340" w:hanging="340"/>
              <w:jc w:val="both"/>
            </w:pPr>
            <w:r w:rsidRPr="00542B48">
              <w:t>0.8760</w:t>
            </w:r>
          </w:p>
        </w:tc>
        <w:tc>
          <w:tcPr>
            <w:tcW w:w="0" w:type="auto"/>
            <w:tcBorders>
              <w:top w:val="single" w:sz="6" w:space="0" w:color="auto"/>
              <w:left w:val="single" w:sz="6" w:space="0" w:color="auto"/>
              <w:bottom w:val="single" w:sz="6" w:space="0" w:color="auto"/>
              <w:right w:val="single" w:sz="6" w:space="0" w:color="auto"/>
            </w:tcBorders>
            <w:vAlign w:val="center"/>
            <w:hideMark/>
          </w:tcPr>
          <w:p w14:paraId="1371258F" w14:textId="77777777" w:rsidR="00542B48" w:rsidRPr="00542B48" w:rsidRDefault="00542B48" w:rsidP="00542B48">
            <w:pPr>
              <w:spacing w:after="50" w:line="210" w:lineRule="auto"/>
              <w:ind w:left="340" w:hanging="340"/>
              <w:jc w:val="both"/>
            </w:pPr>
            <w:r w:rsidRPr="00542B48">
              <w:t>0.2500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BAA42E" w14:textId="77777777" w:rsidR="00542B48" w:rsidRPr="00542B48" w:rsidRDefault="00542B48" w:rsidP="00542B48">
            <w:pPr>
              <w:spacing w:after="50" w:line="210" w:lineRule="auto"/>
              <w:ind w:left="340" w:hanging="340"/>
              <w:jc w:val="both"/>
            </w:pPr>
            <w:r w:rsidRPr="00542B48">
              <w:t>0.9174</w:t>
            </w:r>
          </w:p>
        </w:tc>
        <w:tc>
          <w:tcPr>
            <w:tcW w:w="0" w:type="auto"/>
            <w:tcBorders>
              <w:top w:val="single" w:sz="6" w:space="0" w:color="auto"/>
              <w:left w:val="single" w:sz="6" w:space="0" w:color="auto"/>
              <w:bottom w:val="single" w:sz="6" w:space="0" w:color="auto"/>
              <w:right w:val="single" w:sz="6" w:space="0" w:color="auto"/>
            </w:tcBorders>
            <w:vAlign w:val="center"/>
            <w:hideMark/>
          </w:tcPr>
          <w:p w14:paraId="7139729E" w14:textId="77777777" w:rsidR="00542B48" w:rsidRPr="00542B48" w:rsidRDefault="00542B48" w:rsidP="00542B48">
            <w:pPr>
              <w:spacing w:after="50" w:line="210" w:lineRule="auto"/>
              <w:ind w:left="340" w:hanging="340"/>
              <w:jc w:val="both"/>
            </w:pPr>
            <w:r w:rsidRPr="00542B48">
              <w:t>0.1667</w:t>
            </w:r>
          </w:p>
        </w:tc>
        <w:tc>
          <w:tcPr>
            <w:tcW w:w="0" w:type="auto"/>
            <w:tcBorders>
              <w:top w:val="single" w:sz="6" w:space="0" w:color="auto"/>
              <w:left w:val="single" w:sz="6" w:space="0" w:color="auto"/>
              <w:bottom w:val="single" w:sz="6" w:space="0" w:color="auto"/>
              <w:right w:val="single" w:sz="6" w:space="0" w:color="auto"/>
            </w:tcBorders>
            <w:vAlign w:val="center"/>
            <w:hideMark/>
          </w:tcPr>
          <w:p w14:paraId="43EF059E" w14:textId="77777777" w:rsidR="00542B48" w:rsidRPr="00542B48" w:rsidRDefault="00542B48" w:rsidP="00542B48">
            <w:pPr>
              <w:spacing w:after="50" w:line="210" w:lineRule="auto"/>
              <w:ind w:left="340" w:hanging="340"/>
              <w:jc w:val="both"/>
            </w:pPr>
            <w:r w:rsidRPr="00542B48">
              <w:t>0.2000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43B75FBB" w14:textId="77777777" w:rsidR="00542B48" w:rsidRPr="00542B48" w:rsidRDefault="00542B48" w:rsidP="00542B48">
            <w:pPr>
              <w:spacing w:after="50" w:line="210" w:lineRule="auto"/>
              <w:ind w:left="340" w:hanging="340"/>
              <w:jc w:val="both"/>
            </w:pPr>
            <w:r w:rsidRPr="00542B48">
              <w:t>0.5806</w:t>
            </w:r>
          </w:p>
        </w:tc>
      </w:tr>
      <w:tr w:rsidR="00542B48" w:rsidRPr="00542B48" w14:paraId="6DBE850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6F23AD5" w14:textId="77777777" w:rsidR="00542B48" w:rsidRPr="00542B48" w:rsidRDefault="00542B48" w:rsidP="00542B48">
            <w:pPr>
              <w:spacing w:after="50" w:line="210" w:lineRule="auto"/>
              <w:ind w:left="340" w:hanging="340"/>
              <w:jc w:val="both"/>
            </w:pPr>
            <w:r w:rsidRPr="00542B48">
              <w:rPr>
                <w:b/>
                <w:bCs/>
              </w:rPr>
              <w:t>Random Forest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C7F125" w14:textId="77777777" w:rsidR="00542B48" w:rsidRPr="00542B48" w:rsidRDefault="00542B48" w:rsidP="00542B48">
            <w:pPr>
              <w:spacing w:after="50" w:line="210" w:lineRule="auto"/>
              <w:ind w:left="340" w:hanging="340"/>
              <w:jc w:val="both"/>
            </w:pPr>
            <w:r w:rsidRPr="00542B48">
              <w:t>0.9225</w:t>
            </w:r>
          </w:p>
        </w:tc>
        <w:tc>
          <w:tcPr>
            <w:tcW w:w="0" w:type="auto"/>
            <w:tcBorders>
              <w:top w:val="single" w:sz="6" w:space="0" w:color="auto"/>
              <w:left w:val="single" w:sz="6" w:space="0" w:color="auto"/>
              <w:bottom w:val="single" w:sz="6" w:space="0" w:color="auto"/>
              <w:right w:val="single" w:sz="6" w:space="0" w:color="auto"/>
            </w:tcBorders>
            <w:vAlign w:val="center"/>
            <w:hideMark/>
          </w:tcPr>
          <w:p w14:paraId="227AE459" w14:textId="77777777" w:rsidR="00542B48" w:rsidRPr="00542B48" w:rsidRDefault="00542B48" w:rsidP="00542B48">
            <w:pPr>
              <w:spacing w:after="50" w:line="210" w:lineRule="auto"/>
              <w:ind w:left="340" w:hanging="340"/>
              <w:jc w:val="both"/>
            </w:pPr>
            <w:r w:rsidRPr="00542B48">
              <w:t>0.1250</w:t>
            </w:r>
          </w:p>
        </w:tc>
        <w:tc>
          <w:tcPr>
            <w:tcW w:w="0" w:type="auto"/>
            <w:tcBorders>
              <w:top w:val="single" w:sz="6" w:space="0" w:color="auto"/>
              <w:left w:val="single" w:sz="6" w:space="0" w:color="auto"/>
              <w:bottom w:val="single" w:sz="6" w:space="0" w:color="auto"/>
              <w:right w:val="single" w:sz="6" w:space="0" w:color="auto"/>
            </w:tcBorders>
            <w:vAlign w:val="center"/>
            <w:hideMark/>
          </w:tcPr>
          <w:p w14:paraId="5F96DDE2" w14:textId="77777777" w:rsidR="00542B48" w:rsidRPr="00542B48" w:rsidRDefault="00542B48" w:rsidP="00542B48">
            <w:pPr>
              <w:spacing w:after="50" w:line="210" w:lineRule="auto"/>
              <w:ind w:left="340" w:hanging="340"/>
              <w:jc w:val="both"/>
            </w:pPr>
            <w:r w:rsidRPr="00542B48">
              <w:t>0.9752</w:t>
            </w:r>
          </w:p>
        </w:tc>
        <w:tc>
          <w:tcPr>
            <w:tcW w:w="0" w:type="auto"/>
            <w:tcBorders>
              <w:top w:val="single" w:sz="6" w:space="0" w:color="auto"/>
              <w:left w:val="single" w:sz="6" w:space="0" w:color="auto"/>
              <w:bottom w:val="single" w:sz="6" w:space="0" w:color="auto"/>
              <w:right w:val="single" w:sz="6" w:space="0" w:color="auto"/>
            </w:tcBorders>
            <w:vAlign w:val="center"/>
            <w:hideMark/>
          </w:tcPr>
          <w:p w14:paraId="39CAFFBE" w14:textId="77777777" w:rsidR="00542B48" w:rsidRPr="00542B48" w:rsidRDefault="00542B48" w:rsidP="00542B48">
            <w:pPr>
              <w:spacing w:after="50" w:line="210" w:lineRule="auto"/>
              <w:ind w:left="340" w:hanging="340"/>
              <w:jc w:val="both"/>
            </w:pPr>
            <w:r w:rsidRPr="00542B48">
              <w:t>0.2500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BC1F14B" w14:textId="77777777" w:rsidR="00542B48" w:rsidRPr="00542B48" w:rsidRDefault="00542B48" w:rsidP="00542B48">
            <w:pPr>
              <w:spacing w:after="50" w:line="210" w:lineRule="auto"/>
              <w:ind w:left="340" w:hanging="340"/>
              <w:jc w:val="both"/>
            </w:pPr>
            <w:r w:rsidRPr="00542B48">
              <w:t>0.1667</w:t>
            </w:r>
          </w:p>
        </w:tc>
        <w:tc>
          <w:tcPr>
            <w:tcW w:w="0" w:type="auto"/>
            <w:tcBorders>
              <w:top w:val="single" w:sz="6" w:space="0" w:color="auto"/>
              <w:left w:val="single" w:sz="6" w:space="0" w:color="auto"/>
              <w:bottom w:val="single" w:sz="6" w:space="0" w:color="auto"/>
              <w:right w:val="single" w:sz="2" w:space="0" w:color="auto"/>
            </w:tcBorders>
            <w:vAlign w:val="center"/>
            <w:hideMark/>
          </w:tcPr>
          <w:p w14:paraId="1A5298D9" w14:textId="77777777" w:rsidR="00542B48" w:rsidRPr="00542B48" w:rsidRDefault="00542B48" w:rsidP="00542B48">
            <w:pPr>
              <w:spacing w:after="50" w:line="210" w:lineRule="auto"/>
              <w:ind w:left="340" w:hanging="340"/>
              <w:jc w:val="both"/>
            </w:pPr>
            <w:r w:rsidRPr="00542B48">
              <w:rPr>
                <w:b/>
                <w:bCs/>
              </w:rPr>
              <w:t>0.7645</w:t>
            </w:r>
          </w:p>
        </w:tc>
      </w:tr>
      <w:tr w:rsidR="00542B48" w:rsidRPr="00542B48" w14:paraId="15A2744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4103948C" w14:textId="77777777" w:rsidR="00542B48" w:rsidRPr="00542B48" w:rsidRDefault="00542B48" w:rsidP="00542B48">
            <w:pPr>
              <w:spacing w:after="50" w:line="210" w:lineRule="auto"/>
              <w:ind w:left="340" w:hanging="340"/>
              <w:jc w:val="both"/>
            </w:pPr>
            <w:r w:rsidRPr="00542B48">
              <w:rPr>
                <w:b/>
                <w:bCs/>
              </w:rPr>
              <w:t>XGBoost</w:t>
            </w:r>
          </w:p>
        </w:tc>
        <w:tc>
          <w:tcPr>
            <w:tcW w:w="0" w:type="auto"/>
            <w:tcBorders>
              <w:top w:val="single" w:sz="6" w:space="0" w:color="auto"/>
              <w:left w:val="single" w:sz="6" w:space="0" w:color="auto"/>
              <w:bottom w:val="single" w:sz="2" w:space="0" w:color="auto"/>
              <w:right w:val="single" w:sz="6" w:space="0" w:color="auto"/>
            </w:tcBorders>
            <w:vAlign w:val="center"/>
            <w:hideMark/>
          </w:tcPr>
          <w:p w14:paraId="4166A1B1" w14:textId="77777777" w:rsidR="00542B48" w:rsidRPr="00542B48" w:rsidRDefault="00542B48" w:rsidP="00542B48">
            <w:pPr>
              <w:spacing w:after="50" w:line="210" w:lineRule="auto"/>
              <w:ind w:left="340" w:hanging="340"/>
              <w:jc w:val="both"/>
            </w:pPr>
            <w:r w:rsidRPr="00542B48">
              <w:rPr>
                <w:b/>
                <w:bCs/>
              </w:rPr>
              <w:t>0.9380</w:t>
            </w:r>
          </w:p>
        </w:tc>
        <w:tc>
          <w:tcPr>
            <w:tcW w:w="0" w:type="auto"/>
            <w:tcBorders>
              <w:top w:val="single" w:sz="6" w:space="0" w:color="auto"/>
              <w:left w:val="single" w:sz="6" w:space="0" w:color="auto"/>
              <w:bottom w:val="single" w:sz="2" w:space="0" w:color="auto"/>
              <w:right w:val="single" w:sz="6" w:space="0" w:color="auto"/>
            </w:tcBorders>
            <w:vAlign w:val="center"/>
            <w:hideMark/>
          </w:tcPr>
          <w:p w14:paraId="1955CD2F" w14:textId="77777777" w:rsidR="00542B48" w:rsidRPr="00542B48" w:rsidRDefault="00542B48" w:rsidP="00542B48">
            <w:pPr>
              <w:spacing w:after="50" w:line="210" w:lineRule="auto"/>
              <w:ind w:left="340" w:hanging="340"/>
              <w:jc w:val="both"/>
            </w:pPr>
            <w:r w:rsidRPr="00542B48">
              <w:t>0.1250</w:t>
            </w:r>
          </w:p>
        </w:tc>
        <w:tc>
          <w:tcPr>
            <w:tcW w:w="0" w:type="auto"/>
            <w:tcBorders>
              <w:top w:val="single" w:sz="6" w:space="0" w:color="auto"/>
              <w:left w:val="single" w:sz="6" w:space="0" w:color="auto"/>
              <w:bottom w:val="single" w:sz="2" w:space="0" w:color="auto"/>
              <w:right w:val="single" w:sz="6" w:space="0" w:color="auto"/>
            </w:tcBorders>
            <w:vAlign w:val="center"/>
            <w:hideMark/>
          </w:tcPr>
          <w:p w14:paraId="0BAD3B4D" w14:textId="77777777" w:rsidR="00542B48" w:rsidRPr="00542B48" w:rsidRDefault="00542B48" w:rsidP="00542B48">
            <w:pPr>
              <w:spacing w:after="50" w:line="210" w:lineRule="auto"/>
              <w:ind w:left="340" w:hanging="340"/>
              <w:jc w:val="both"/>
            </w:pPr>
            <w:r w:rsidRPr="00542B48">
              <w:rPr>
                <w:b/>
                <w:bCs/>
              </w:rPr>
              <w:t>0.9917</w:t>
            </w:r>
          </w:p>
        </w:tc>
        <w:tc>
          <w:tcPr>
            <w:tcW w:w="0" w:type="auto"/>
            <w:tcBorders>
              <w:top w:val="single" w:sz="6" w:space="0" w:color="auto"/>
              <w:left w:val="single" w:sz="6" w:space="0" w:color="auto"/>
              <w:bottom w:val="single" w:sz="2" w:space="0" w:color="auto"/>
              <w:right w:val="single" w:sz="6" w:space="0" w:color="auto"/>
            </w:tcBorders>
            <w:vAlign w:val="center"/>
            <w:hideMark/>
          </w:tcPr>
          <w:p w14:paraId="0FC8A76E" w14:textId="77777777" w:rsidR="00542B48" w:rsidRPr="00542B48" w:rsidRDefault="00542B48" w:rsidP="00542B48">
            <w:pPr>
              <w:spacing w:after="50" w:line="210" w:lineRule="auto"/>
              <w:ind w:left="340" w:hanging="340"/>
              <w:jc w:val="both"/>
            </w:pPr>
            <w:r w:rsidRPr="00542B48">
              <w:rPr>
                <w:b/>
                <w:bCs/>
              </w:rPr>
              <w:t>0.5000</w:t>
            </w:r>
          </w:p>
        </w:tc>
        <w:tc>
          <w:tcPr>
            <w:tcW w:w="0" w:type="auto"/>
            <w:tcBorders>
              <w:top w:val="single" w:sz="6" w:space="0" w:color="auto"/>
              <w:left w:val="single" w:sz="6" w:space="0" w:color="auto"/>
              <w:bottom w:val="single" w:sz="2" w:space="0" w:color="auto"/>
              <w:right w:val="single" w:sz="6" w:space="0" w:color="auto"/>
            </w:tcBorders>
            <w:vAlign w:val="center"/>
            <w:hideMark/>
          </w:tcPr>
          <w:p w14:paraId="1FCBF21E" w14:textId="77777777" w:rsidR="00542B48" w:rsidRPr="00542B48" w:rsidRDefault="00542B48" w:rsidP="00542B48">
            <w:pPr>
              <w:spacing w:after="50" w:line="210" w:lineRule="auto"/>
              <w:ind w:left="340" w:hanging="340"/>
              <w:jc w:val="both"/>
            </w:pPr>
            <w:r w:rsidRPr="00542B48">
              <w:rPr>
                <w:b/>
                <w:bCs/>
              </w:rPr>
              <w:t>0.2000</w:t>
            </w:r>
          </w:p>
        </w:tc>
        <w:tc>
          <w:tcPr>
            <w:tcW w:w="0" w:type="auto"/>
            <w:tcBorders>
              <w:top w:val="single" w:sz="6" w:space="0" w:color="auto"/>
              <w:left w:val="single" w:sz="6" w:space="0" w:color="auto"/>
              <w:bottom w:val="single" w:sz="2" w:space="0" w:color="auto"/>
              <w:right w:val="single" w:sz="2" w:space="0" w:color="auto"/>
            </w:tcBorders>
            <w:vAlign w:val="center"/>
            <w:hideMark/>
          </w:tcPr>
          <w:p w14:paraId="6E14237D" w14:textId="77777777" w:rsidR="00542B48" w:rsidRPr="00542B48" w:rsidRDefault="00542B48" w:rsidP="00542B48">
            <w:pPr>
              <w:spacing w:after="50" w:line="210" w:lineRule="auto"/>
              <w:ind w:left="340" w:hanging="340"/>
              <w:jc w:val="both"/>
            </w:pPr>
            <w:r w:rsidRPr="00542B48">
              <w:rPr>
                <w:b/>
                <w:bCs/>
              </w:rPr>
              <w:t>0.7541</w:t>
            </w:r>
          </w:p>
        </w:tc>
      </w:tr>
    </w:tbl>
    <w:p w14:paraId="1452FFF1" w14:textId="77777777" w:rsidR="00542B48" w:rsidRPr="00542B48" w:rsidRDefault="00225F91" w:rsidP="00542B48">
      <w:pPr>
        <w:spacing w:after="50" w:line="210" w:lineRule="auto"/>
        <w:ind w:left="340" w:hanging="340"/>
        <w:jc w:val="both"/>
      </w:pPr>
      <w:r>
        <w:rPr>
          <w:noProof/>
        </w:rPr>
      </w:r>
      <w:r>
        <w:pict w14:anchorId="66A0BACE">
          <v:rect id="Horizontal Line 6" o:spid="_x0000_s1026" style="width:316.5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BvRwWgIAAL4EAAAOAAAAZHJzL2Uyb0RvYy54bWysVMGO0zAQvSPxD5bvNGlpYBs1XVXdLkJa&#13;&#10;YMUWcXYdJ7FwPMZ2m5avZ+yk3SzcEI1kzXjGz+/NeLq8PbWKHIV1EnRBp5OUEqE5lFLXBf22u39z&#13;&#10;Q4nzTJdMgRYFPQtHb1evXy07k4sZNKBKYQmCaJd3pqCN9yZPEscb0TI3ASM0BiuwLfPo2jopLesQ&#13;&#10;vVXJLE3fJR3Y0ljgwjncveuDdBXxq0pw/6WqnPBEFRS5+bjauO7DmqyWLK8tM43kAw32DyxaJjVe&#13;&#10;eoW6Y56Rg5V/QbWSW3BQ+QmHNoGqklxEDahmmv6h5qlhRkQtWBxnrmVy/w+Wfz4+mUcbqDvzAPyH&#13;&#10;Ixq+AtZpStHaNEzXYu0MFnLY2pbSP4LUHlmMc6yFrhGsfLkdJezOBlsfk3fi5ANCcLH2SWdcfuUQ&#13;&#10;HIdsyL77BCUeYQcPsaynyraBIxaMnGL3ztfuISLhuDlPp4sswyZzjC2yWRYvYPnlrLHOfxDQkmAU&#13;&#10;1KKkiM2OD84HLiy/pISrNNxLpeL7UJp0A+TQ4zLEiAX/Xfomagx0YtAhWm8QA1iMftvZer9RlhwZ&#13;&#10;PsR1Gr6BXu3G2dM0/CLSiyPbt+EbHUG29eUqJTXBPhU0m/fHezX4rCPPgN9Kj3OmZFvQm2sOy0PD&#13;&#10;trqMKj2TqrcRW+mhOaEfYZpcvofyjL1B0UFUGHo0GrC/KOlwgArqfh6YFZSojxp1L6bzeZi46Myz&#13;&#10;9zN07DiyH0eY5ghVUE9RSTA3vp/Sg7GybuJ7CTo0rPFNVDI27JnVQBaHJPZxGOgwhWM/Zj3/7ax+&#13;&#10;AwAA//8DAFBLAwQUAAYACAAAACEAIJAR/dsAAAAHAQAADwAAAGRycy9kb3ducmV2LnhtbEyPwU7D&#13;&#10;MBBE70j9B2srcaNOqSgojVOlQK+VKEjAzY0XO2q8jmK3CX/PwqVcRhqNdvZNsR59K87YxyaQgvks&#13;&#10;A4FUB9OQVfD2ur15ABGTJqPbQKjgGyOsy8lVoXMTBnrB8z5ZwSUUc63ApdTlUsbaoddxFjokzr5C&#13;&#10;73Vi21tpej1wuW/lbZYtpdcN8QenO3x0WB/3J6/gufvcVXc2yuo9uY9j2Axbt7NKXU/HpxVLtQKR&#13;&#10;cEyXC/jdwPxQMtghnMhE0SrgNelPOVsuFmwPCu5BloX8z1/+AAAA//8DAFBLAQItABQABgAIAAAA&#13;&#10;IQC2gziS/gAAAOEBAAATAAAAAAAAAAAAAAAAAAAAAABbQ29udGVudF9UeXBlc10ueG1sUEsBAi0A&#13;&#10;FAAGAAgAAAAhADj9If/WAAAAlAEAAAsAAAAAAAAAAAAAAAAALwEAAF9yZWxzLy5yZWxzUEsBAi0A&#13;&#10;FAAGAAgAAAAhAGoG9HBaAgAAvgQAAA4AAAAAAAAAAAAAAAAALgIAAGRycy9lMm9Eb2MueG1sUEsB&#13;&#10;Ai0AFAAGAAgAAAAhACCQEf3bAAAABwEAAA8AAAAAAAAAAAAAAAAAtAQAAGRycy9kb3ducmV2Lnht&#13;&#10;bFBLBQYAAAAABAAEAPMAAAC8BQAAAAA=&#13;&#10;" filled="f">
            <o:lock v:ext="edit" rotation="t" aspectratio="t" verticies="t" text="t" shapetype="t"/>
            <w10:anchorlock/>
          </v:rect>
        </w:pict>
      </w:r>
    </w:p>
    <w:p w14:paraId="4F316C9C" w14:textId="77777777" w:rsidR="00542B48" w:rsidRPr="00542B48" w:rsidRDefault="00542B48" w:rsidP="00542B48">
      <w:pPr>
        <w:spacing w:after="50" w:line="210" w:lineRule="auto"/>
        <w:ind w:left="340" w:hanging="340"/>
        <w:jc w:val="both"/>
      </w:pPr>
      <w:r w:rsidRPr="00542B48">
        <w:t>Análisis Crítico Biomédico</w:t>
      </w:r>
    </w:p>
    <w:p w14:paraId="36206F05" w14:textId="77777777" w:rsidR="00542B48" w:rsidRPr="00542B48" w:rsidRDefault="00542B48" w:rsidP="00542B48">
      <w:pPr>
        <w:numPr>
          <w:ilvl w:val="0"/>
          <w:numId w:val="3"/>
        </w:numPr>
        <w:spacing w:after="50" w:line="210" w:lineRule="auto"/>
        <w:jc w:val="both"/>
      </w:pPr>
      <w:r w:rsidRPr="00542B48">
        <w:rPr>
          <w:b/>
          <w:bCs/>
        </w:rPr>
        <w:t>Prevención de Data Leakage</w:t>
      </w:r>
      <w:r w:rsidRPr="00542B48">
        <w:t>:</w:t>
      </w:r>
    </w:p>
    <w:p w14:paraId="154FDE32" w14:textId="77777777" w:rsidR="00542B48" w:rsidRPr="00542B48" w:rsidRDefault="00542B48" w:rsidP="00542B48">
      <w:pPr>
        <w:numPr>
          <w:ilvl w:val="1"/>
          <w:numId w:val="3"/>
        </w:numPr>
        <w:spacing w:after="50" w:line="210" w:lineRule="auto"/>
        <w:jc w:val="both"/>
      </w:pPr>
      <w:r w:rsidRPr="00542B48">
        <w:t>Al excluir Hinselmann, Schiller y Citology, evitamos sobreestimar el rendimiento con pruebas diagnósticas que clínicamente se realizan junto con o justo antes de la biopsia.</w:t>
      </w:r>
    </w:p>
    <w:p w14:paraId="340BF3AA" w14:textId="77777777" w:rsidR="00542B48" w:rsidRPr="00542B48" w:rsidRDefault="00542B48" w:rsidP="00542B48">
      <w:pPr>
        <w:numPr>
          <w:ilvl w:val="1"/>
          <w:numId w:val="3"/>
        </w:numPr>
        <w:spacing w:after="50" w:line="210" w:lineRule="auto"/>
        <w:jc w:val="both"/>
      </w:pPr>
      <w:r w:rsidRPr="00542B48">
        <w:t>La imputación y estandarización se ajustaron exclusivamente sobre el conjunto de entrenamiento (fit_transform) y solo se transformaron sobre prueba (transform).</w:t>
      </w:r>
    </w:p>
    <w:p w14:paraId="498F8FE2" w14:textId="77777777" w:rsidR="00542B48" w:rsidRPr="00542B48" w:rsidRDefault="00542B48" w:rsidP="00542B48">
      <w:pPr>
        <w:numPr>
          <w:ilvl w:val="1"/>
          <w:numId w:val="3"/>
        </w:numPr>
        <w:spacing w:after="50" w:line="210" w:lineRule="auto"/>
        <w:jc w:val="both"/>
      </w:pPr>
      <w:r w:rsidRPr="00542B48">
        <w:t>SMOTE se aplicó únicamente sobre X_train_scaled, garantizando que el conjunto de prueba preserve la distribución epidemiológica natural no sintética.</w:t>
      </w:r>
    </w:p>
    <w:p w14:paraId="238FA3C0" w14:textId="77777777" w:rsidR="00542B48" w:rsidRPr="00542B48" w:rsidRDefault="00542B48" w:rsidP="00542B48">
      <w:pPr>
        <w:numPr>
          <w:ilvl w:val="0"/>
          <w:numId w:val="3"/>
        </w:numPr>
        <w:spacing w:after="50" w:line="210" w:lineRule="auto"/>
        <w:jc w:val="both"/>
      </w:pPr>
      <w:r w:rsidRPr="00542B48">
        <w:rPr>
          <w:b/>
          <w:bCs/>
        </w:rPr>
        <w:t>Capacidad de Discriminación Global (AUC-ROC)</w:t>
      </w:r>
      <w:r w:rsidRPr="00542B48">
        <w:t>:</w:t>
      </w:r>
    </w:p>
    <w:p w14:paraId="5889BDA3" w14:textId="77777777" w:rsidR="00542B48" w:rsidRPr="00542B48" w:rsidRDefault="00542B48" w:rsidP="00542B48">
      <w:pPr>
        <w:numPr>
          <w:ilvl w:val="1"/>
          <w:numId w:val="3"/>
        </w:numPr>
        <w:spacing w:after="50" w:line="210" w:lineRule="auto"/>
        <w:jc w:val="both"/>
      </w:pPr>
      <w:r w:rsidRPr="00542B48">
        <w:rPr>
          <w:b/>
          <w:bCs/>
        </w:rPr>
        <w:t>Random Forest</w:t>
      </w:r>
      <w:r w:rsidRPr="00542B48">
        <w:t> (0.7645) y </w:t>
      </w:r>
      <w:r w:rsidRPr="00542B48">
        <w:rPr>
          <w:b/>
          <w:bCs/>
        </w:rPr>
        <w:t>XGBoost</w:t>
      </w:r>
      <w:r w:rsidRPr="00542B48">
        <w:t> (0.7541) demostraron la mayor capacidad para separar ambas clases de forma no lineal a partir de factores de riesgo sociodemográficos, hábitos y antecedentes de ITS.</w:t>
      </w:r>
    </w:p>
    <w:p w14:paraId="373CFB98" w14:textId="77777777" w:rsidR="00542B48" w:rsidRPr="00542B48" w:rsidRDefault="00542B48" w:rsidP="00542B48">
      <w:pPr>
        <w:numPr>
          <w:ilvl w:val="0"/>
          <w:numId w:val="3"/>
        </w:numPr>
        <w:spacing w:after="50" w:line="210" w:lineRule="auto"/>
        <w:jc w:val="both"/>
      </w:pPr>
      <w:r w:rsidRPr="00542B48">
        <w:rPr>
          <w:b/>
          <w:bCs/>
        </w:rPr>
        <w:t>Consideración Clínica sobre Sensibilidad (Recall) y Umbral de Decisión</w:t>
      </w:r>
      <w:r w:rsidRPr="00542B48">
        <w:t>:</w:t>
      </w:r>
    </w:p>
    <w:p w14:paraId="398CC6D8" w14:textId="77777777" w:rsidR="00542B48" w:rsidRPr="00542B48" w:rsidRDefault="00542B48" w:rsidP="00542B48">
      <w:pPr>
        <w:numPr>
          <w:ilvl w:val="1"/>
          <w:numId w:val="3"/>
        </w:numPr>
        <w:spacing w:after="50" w:line="210" w:lineRule="auto"/>
        <w:jc w:val="both"/>
      </w:pPr>
      <w:r w:rsidRPr="00542B48">
        <w:t>Con el umbral de corte por defecto ($p = 0.5$), los modelos conservan una especificidad muy alta ($&gt;97%$), pero una baja sensibilidad ($12.5% - 25.0%$).</w:t>
      </w:r>
    </w:p>
    <w:p w14:paraId="68B51107" w14:textId="77777777" w:rsidR="00542B48" w:rsidRPr="00542B48" w:rsidRDefault="00542B48" w:rsidP="00542B48">
      <w:pPr>
        <w:numPr>
          <w:ilvl w:val="1"/>
          <w:numId w:val="3"/>
        </w:numPr>
        <w:spacing w:after="50" w:line="210" w:lineRule="auto"/>
        <w:jc w:val="both"/>
      </w:pPr>
      <w:r w:rsidRPr="00542B48">
        <w:t>En tamizaje oncológico (cribado), un </w:t>
      </w:r>
      <w:r w:rsidRPr="00542B48">
        <w:rPr>
          <w:b/>
          <w:bCs/>
        </w:rPr>
        <w:t>Falso Negativo</w:t>
      </w:r>
      <w:r w:rsidRPr="00542B48">
        <w:t> (paciente con cáncer no detectada) acarrea consecuencias clínicas graves. Un paso metodológico natural para continuar es realizar </w:t>
      </w:r>
      <w:r w:rsidRPr="00542B48">
        <w:rPr>
          <w:b/>
          <w:bCs/>
        </w:rPr>
        <w:t>optimización del umbral de decisión</w:t>
      </w:r>
      <w:r w:rsidRPr="00542B48">
        <w:t> (por ejemplo, maximizando el índice de Youden $J = \text{Sensibilidad} + \text{Especificidad} - 1$ o usando una matriz de costos clínicos) sobre las probabilidades calibradas predichas por Random Forest o XGBoost.</w:t>
      </w:r>
    </w:p>
    <w:p w14:paraId="42C5052F" w14:textId="77777777" w:rsidR="00542B48" w:rsidRDefault="00542B48">
      <w:pPr>
        <w:spacing w:after="50" w:line="210" w:lineRule="auto"/>
        <w:ind w:left="340" w:hanging="340"/>
        <w:jc w:val="both"/>
      </w:pPr>
    </w:p>
    <w:p w14:paraId="7C2819A6" w14:textId="77777777" w:rsidR="006615B3" w:rsidRDefault="006615B3">
      <w:pPr>
        <w:spacing w:after="50" w:line="210" w:lineRule="auto"/>
        <w:ind w:left="340" w:hanging="340"/>
        <w:jc w:val="both"/>
      </w:pPr>
    </w:p>
    <w:p w14:paraId="54556AEC" w14:textId="01DF4332" w:rsidR="006615B3" w:rsidRDefault="006615B3">
      <w:pPr>
        <w:spacing w:after="50" w:line="210" w:lineRule="auto"/>
        <w:ind w:left="340" w:hanging="340"/>
        <w:jc w:val="both"/>
      </w:pPr>
      <w:r>
        <w:t>Funcionalidades:</w:t>
      </w:r>
      <w:r>
        <w:br/>
      </w:r>
    </w:p>
    <w:p w14:paraId="1A8BA238" w14:textId="77777777" w:rsidR="006615B3" w:rsidRPr="006615B3" w:rsidRDefault="006615B3" w:rsidP="006615B3">
      <w:pPr>
        <w:numPr>
          <w:ilvl w:val="0"/>
          <w:numId w:val="4"/>
        </w:numPr>
        <w:spacing w:after="50" w:line="210" w:lineRule="auto"/>
        <w:jc w:val="both"/>
      </w:pPr>
      <w:r w:rsidRPr="006615B3">
        <w:t>Integrar esta nueva funcionalidad de imágenes a tu aplicación web Flask.</w:t>
      </w:r>
    </w:p>
    <w:p w14:paraId="79DB0586" w14:textId="77777777" w:rsidR="006615B3" w:rsidRPr="006615B3" w:rsidRDefault="006615B3" w:rsidP="006615B3">
      <w:pPr>
        <w:numPr>
          <w:ilvl w:val="0"/>
          <w:numId w:val="4"/>
        </w:numPr>
        <w:spacing w:after="50" w:line="210" w:lineRule="auto"/>
        <w:jc w:val="both"/>
      </w:pPr>
      <w:r w:rsidRPr="006615B3">
        <w:t>Aumentar el número de </w:t>
      </w:r>
      <w:r w:rsidRPr="006615B3">
        <w:rPr>
          <w:i/>
          <w:iCs/>
        </w:rPr>
        <w:t>epochs</w:t>
      </w:r>
      <w:r w:rsidRPr="006615B3">
        <w:t> del entrenamiento actual para mejorar la precisión y volver a sacar el reporte.</w:t>
      </w:r>
    </w:p>
    <w:p w14:paraId="626FD4F2" w14:textId="77777777" w:rsidR="006615B3" w:rsidRPr="006615B3" w:rsidRDefault="006615B3" w:rsidP="006615B3">
      <w:pPr>
        <w:numPr>
          <w:ilvl w:val="0"/>
          <w:numId w:val="4"/>
        </w:numPr>
        <w:spacing w:after="50" w:line="210" w:lineRule="auto"/>
        <w:jc w:val="both"/>
      </w:pPr>
      <w:r w:rsidRPr="006615B3">
        <w:t>Evaluar algún otro modelo o métrica adicional.</w:t>
      </w:r>
    </w:p>
    <w:p w14:paraId="39094ECF" w14:textId="77777777" w:rsidR="006615B3" w:rsidRDefault="006615B3">
      <w:pPr>
        <w:spacing w:after="50" w:line="210" w:lineRule="auto"/>
        <w:ind w:left="340" w:hanging="340"/>
        <w:jc w:val="both"/>
      </w:pPr>
    </w:p>
    <w:sectPr w:rsidR="006615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4540E8"/>
    <w:multiLevelType w:val="hybridMultilevel"/>
    <w:tmpl w:val="80D03022"/>
    <w:lvl w:ilvl="0" w:tplc="08E45F48">
      <w:start w:val="1"/>
      <w:numFmt w:val="bullet"/>
      <w:lvlText w:val="●"/>
      <w:lvlJc w:val="left"/>
      <w:pPr>
        <w:ind w:left="720" w:hanging="360"/>
      </w:pPr>
    </w:lvl>
    <w:lvl w:ilvl="1" w:tplc="B914D05A">
      <w:start w:val="1"/>
      <w:numFmt w:val="bullet"/>
      <w:lvlText w:val="○"/>
      <w:lvlJc w:val="left"/>
      <w:pPr>
        <w:ind w:left="1440" w:hanging="360"/>
      </w:pPr>
    </w:lvl>
    <w:lvl w:ilvl="2" w:tplc="BA9C9DBC">
      <w:start w:val="1"/>
      <w:numFmt w:val="bullet"/>
      <w:lvlText w:val="■"/>
      <w:lvlJc w:val="left"/>
      <w:pPr>
        <w:ind w:left="2160" w:hanging="360"/>
      </w:pPr>
    </w:lvl>
    <w:lvl w:ilvl="3" w:tplc="DDE42962">
      <w:start w:val="1"/>
      <w:numFmt w:val="bullet"/>
      <w:lvlText w:val="●"/>
      <w:lvlJc w:val="left"/>
      <w:pPr>
        <w:ind w:left="2880" w:hanging="360"/>
      </w:pPr>
    </w:lvl>
    <w:lvl w:ilvl="4" w:tplc="EA1A7EE8">
      <w:start w:val="1"/>
      <w:numFmt w:val="bullet"/>
      <w:lvlText w:val="○"/>
      <w:lvlJc w:val="left"/>
      <w:pPr>
        <w:ind w:left="3600" w:hanging="360"/>
      </w:pPr>
    </w:lvl>
    <w:lvl w:ilvl="5" w:tplc="2B98AD62">
      <w:start w:val="1"/>
      <w:numFmt w:val="bullet"/>
      <w:lvlText w:val="■"/>
      <w:lvlJc w:val="left"/>
      <w:pPr>
        <w:ind w:left="4320" w:hanging="360"/>
      </w:pPr>
    </w:lvl>
    <w:lvl w:ilvl="6" w:tplc="03622C32">
      <w:start w:val="1"/>
      <w:numFmt w:val="bullet"/>
      <w:lvlText w:val="●"/>
      <w:lvlJc w:val="left"/>
      <w:pPr>
        <w:ind w:left="5040" w:hanging="360"/>
      </w:pPr>
    </w:lvl>
    <w:lvl w:ilvl="7" w:tplc="DBF6FCF0">
      <w:start w:val="1"/>
      <w:numFmt w:val="bullet"/>
      <w:lvlText w:val="●"/>
      <w:lvlJc w:val="left"/>
      <w:pPr>
        <w:ind w:left="5760" w:hanging="360"/>
      </w:pPr>
    </w:lvl>
    <w:lvl w:ilvl="8" w:tplc="137CF028">
      <w:start w:val="1"/>
      <w:numFmt w:val="bullet"/>
      <w:lvlText w:val="●"/>
      <w:lvlJc w:val="left"/>
      <w:pPr>
        <w:ind w:left="6480" w:hanging="360"/>
      </w:pPr>
    </w:lvl>
  </w:abstractNum>
  <w:abstractNum w:abstractNumId="1" w15:restartNumberingAfterBreak="0">
    <w:nsid w:val="1FDC6883"/>
    <w:multiLevelType w:val="multilevel"/>
    <w:tmpl w:val="910E64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E96263"/>
    <w:multiLevelType w:val="multilevel"/>
    <w:tmpl w:val="8A14B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3D2DF9"/>
    <w:multiLevelType w:val="multilevel"/>
    <w:tmpl w:val="D23E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156576">
    <w:abstractNumId w:val="0"/>
    <w:lvlOverride w:ilvl="0">
      <w:startOverride w:val="1"/>
    </w:lvlOverride>
  </w:num>
  <w:num w:numId="2" w16cid:durableId="2086150065">
    <w:abstractNumId w:val="3"/>
  </w:num>
  <w:num w:numId="3" w16cid:durableId="1994941864">
    <w:abstractNumId w:val="1"/>
  </w:num>
  <w:num w:numId="4" w16cid:durableId="94276218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628"/>
    <w:rsid w:val="00015BF5"/>
    <w:rsid w:val="00225F91"/>
    <w:rsid w:val="002F6628"/>
    <w:rsid w:val="00303CC7"/>
    <w:rsid w:val="00542B48"/>
    <w:rsid w:val="006615B3"/>
    <w:rsid w:val="006D586D"/>
    <w:rsid w:val="007D742A"/>
    <w:rsid w:val="0086210A"/>
    <w:rsid w:val="00A85DBD"/>
    <w:rsid w:val="00B91AF7"/>
    <w:rsid w:val="00EE7EB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39720B8"/>
  <w15:docId w15:val="{66CEBBC8-2236-46F5-B45C-08DA0BE6FA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303C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12</Pages>
  <Words>6292</Words>
  <Characters>34607</Characters>
  <Application>Microsoft Office Word</Application>
  <DocSecurity>0</DocSecurity>
  <Lines>288</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Jacinto Alexander Acosta Zambrano</cp:lastModifiedBy>
  <cp:revision>7</cp:revision>
  <dcterms:created xsi:type="dcterms:W3CDTF">2026-09-06T07:35:00Z</dcterms:created>
  <dcterms:modified xsi:type="dcterms:W3CDTF">2026-09-08T18:58:00Z</dcterms:modified>
</cp:coreProperties>
</file>