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Resumen de Configuración e Hiperparámetros</w:t>
      </w:r>
    </w:p>
    <w:p>
      <w:pPr>
        <w:pStyle w:val="Heading2"/>
      </w:pPr>
      <w:r>
        <w:t>Resumen de Configuración y Pipeline (Datos UCI)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Fase del Pipeline</w:t>
            </w:r>
          </w:p>
        </w:tc>
        <w:tc>
          <w:tcPr>
            <w:tcW w:type="dxa" w:w="2880"/>
          </w:tcPr>
          <w:p>
            <w:r>
              <w:t>Configuración / Parámetro Aplicado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Prevención de Fuga (Data Leakage)</w:t>
            </w:r>
          </w:p>
        </w:tc>
        <w:tc>
          <w:tcPr>
            <w:tcW w:type="dxa" w:w="2880"/>
          </w:tcPr>
          <w:p>
            <w:r>
              <w:t>drop(columns=['Hinselmann', 'Schiller', 'Citology'])</w:t>
            </w:r>
          </w:p>
        </w:tc>
        <w:tc>
          <w:tcPr>
            <w:tcW w:type="dxa" w:w="2880"/>
          </w:tcPr>
          <w:p>
            <w:r>
              <w:t>Se eliminan variables de diagnóstico intermedio que sesgarían el modelo hacia la variable objetivo (Biopsy).</w:t>
            </w:r>
          </w:p>
        </w:tc>
      </w:tr>
      <w:tr>
        <w:tc>
          <w:tcPr>
            <w:tcW w:type="dxa" w:w="2880"/>
          </w:tcPr>
          <w:p>
            <w:r>
              <w:t>División de Datos (Hold-out)</w:t>
            </w:r>
          </w:p>
        </w:tc>
        <w:tc>
          <w:tcPr>
            <w:tcW w:type="dxa" w:w="2880"/>
          </w:tcPr>
          <w:p>
            <w:r>
              <w:t>test_size=0.15</w:t>
            </w:r>
          </w:p>
        </w:tc>
        <w:tc>
          <w:tcPr>
            <w:tcW w:type="dxa" w:w="2880"/>
          </w:tcPr>
          <w:p>
            <w:r>
              <w:t>Se reserva un 15% del dataset exclusivamente para prueba (evaluación final).</w:t>
            </w:r>
          </w:p>
        </w:tc>
      </w:tr>
      <w:tr>
        <w:tc>
          <w:tcPr>
            <w:tcW w:type="dxa" w:w="2880"/>
          </w:tcPr>
          <w:p>
            <w:r>
              <w:t>Estratificación</w:t>
            </w:r>
          </w:p>
        </w:tc>
        <w:tc>
          <w:tcPr>
            <w:tcW w:type="dxa" w:w="2880"/>
          </w:tcPr>
          <w:p>
            <w:r>
              <w:t>stratify=y</w:t>
            </w:r>
          </w:p>
        </w:tc>
        <w:tc>
          <w:tcPr>
            <w:tcW w:type="dxa" w:w="2880"/>
          </w:tcPr>
          <w:p>
            <w:r>
              <w:t>Garantiza que la proporción original de clases positivas y negativas se mantenga en entrenamiento y prueba.</w:t>
            </w:r>
          </w:p>
        </w:tc>
      </w:tr>
      <w:tr>
        <w:tc>
          <w:tcPr>
            <w:tcW w:type="dxa" w:w="2880"/>
          </w:tcPr>
          <w:p>
            <w:r>
              <w:t>Tratamiento de Nulos</w:t>
            </w:r>
          </w:p>
        </w:tc>
        <w:tc>
          <w:tcPr>
            <w:tcW w:type="dxa" w:w="2880"/>
          </w:tcPr>
          <w:p>
            <w:r>
              <w:t>SimpleImputer(strategy='median')</w:t>
            </w:r>
          </w:p>
        </w:tc>
        <w:tc>
          <w:tcPr>
            <w:tcW w:type="dxa" w:w="2880"/>
          </w:tcPr>
          <w:p>
            <w:r>
              <w:t>Los valores faltantes ('?') se reemplazan por la mediana de cada columna.</w:t>
            </w:r>
          </w:p>
        </w:tc>
      </w:tr>
      <w:tr>
        <w:tc>
          <w:tcPr>
            <w:tcW w:type="dxa" w:w="2880"/>
          </w:tcPr>
          <w:p>
            <w:r>
              <w:t>Escalado / Estandarización</w:t>
            </w:r>
          </w:p>
        </w:tc>
        <w:tc>
          <w:tcPr>
            <w:tcW w:type="dxa" w:w="2880"/>
          </w:tcPr>
          <w:p>
            <w:r>
              <w:t>StandardScaler()</w:t>
            </w:r>
          </w:p>
        </w:tc>
        <w:tc>
          <w:tcPr>
            <w:tcW w:type="dxa" w:w="2880"/>
          </w:tcPr>
          <w:p>
            <w:r>
              <w:t>Ajuste para que las variables numéricas tengan media 0 y varianza 1.</w:t>
            </w:r>
          </w:p>
        </w:tc>
      </w:tr>
      <w:tr>
        <w:tc>
          <w:tcPr>
            <w:tcW w:type="dxa" w:w="2880"/>
          </w:tcPr>
          <w:p>
            <w:r>
              <w:t>Balanceo de Clases</w:t>
            </w:r>
          </w:p>
        </w:tc>
        <w:tc>
          <w:tcPr>
            <w:tcW w:type="dxa" w:w="2880"/>
          </w:tcPr>
          <w:p>
            <w:r>
              <w:t>SMOTE(random_state=42)</w:t>
            </w:r>
          </w:p>
        </w:tc>
        <w:tc>
          <w:tcPr>
            <w:tcW w:type="dxa" w:w="2880"/>
          </w:tcPr>
          <w:p>
            <w:r>
              <w:t>Generación de muestras sintéticas para balancear las clases, aplicado únicamente al conjunto de entrenamiento.</w:t>
            </w:r>
          </w:p>
        </w:tc>
      </w:tr>
      <w:tr>
        <w:tc>
          <w:tcPr>
            <w:tcW w:type="dxa" w:w="2880"/>
          </w:tcPr>
          <w:p>
            <w:r>
              <w:t>Reproducibilidad</w:t>
            </w:r>
          </w:p>
        </w:tc>
        <w:tc>
          <w:tcPr>
            <w:tcW w:type="dxa" w:w="2880"/>
          </w:tcPr>
          <w:p>
            <w:r>
              <w:t>random_state=42</w:t>
            </w:r>
          </w:p>
        </w:tc>
        <w:tc>
          <w:tcPr>
            <w:tcW w:type="dxa" w:w="2880"/>
          </w:tcPr>
          <w:p>
            <w:r>
              <w:t>Semilla fija en todas las fases estocásticas para que los resultados sean deterministas y reproducibles.</w:t>
            </w:r>
          </w:p>
        </w:tc>
      </w:tr>
    </w:tbl>
    <w:p>
      <w:pPr>
        <w:pStyle w:val="Heading2"/>
      </w:pPr>
      <w:r>
        <w:t>Resumen de Hiperparámetros por Modelo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Modelo</w:t>
            </w:r>
          </w:p>
        </w:tc>
        <w:tc>
          <w:tcPr>
            <w:tcW w:type="dxa" w:w="2880"/>
          </w:tcPr>
          <w:p>
            <w:r>
              <w:t>Hiperparámetros Clave</w:t>
            </w:r>
          </w:p>
        </w:tc>
        <w:tc>
          <w:tcPr>
            <w:tcW w:type="dxa" w:w="2880"/>
          </w:tcPr>
          <w:p>
            <w:r>
              <w:t>Notas</w:t>
            </w:r>
          </w:p>
        </w:tc>
      </w:tr>
      <w:tr>
        <w:tc>
          <w:tcPr>
            <w:tcW w:type="dxa" w:w="2880"/>
          </w:tcPr>
          <w:p>
            <w:r>
              <w:t>Regresión Logística</w:t>
            </w:r>
          </w:p>
        </w:tc>
        <w:tc>
          <w:tcPr>
            <w:tcW w:type="dxa" w:w="2880"/>
          </w:tcPr>
          <w:p>
            <w:r>
              <w:t>max_iter=1000, random_state=42</w:t>
            </w:r>
          </w:p>
        </w:tc>
        <w:tc>
          <w:tcPr>
            <w:tcW w:type="dxa" w:w="2880"/>
          </w:tcPr>
          <w:p>
            <w:r>
              <w:t>Se aumentó el límite de iteraciones (1000) para garantizar la convergencia del optimizador.</w:t>
            </w:r>
          </w:p>
        </w:tc>
      </w:tr>
      <w:tr>
        <w:tc>
          <w:tcPr>
            <w:tcW w:type="dxa" w:w="2880"/>
          </w:tcPr>
          <w:p>
            <w:r>
              <w:t>SVM (Vectores de Soporte)</w:t>
            </w:r>
          </w:p>
        </w:tc>
        <w:tc>
          <w:tcPr>
            <w:tcW w:type="dxa" w:w="2880"/>
          </w:tcPr>
          <w:p>
            <w:r>
              <w:t>kernel='rbf', probability=True, random_state=42</w:t>
            </w:r>
          </w:p>
        </w:tc>
        <w:tc>
          <w:tcPr>
            <w:tcW w:type="dxa" w:w="2880"/>
          </w:tcPr>
          <w:p>
            <w:r>
              <w:t>probability=True es necesario para poder calcular la métrica AUC-ROC en la evaluación.</w:t>
            </w:r>
          </w:p>
        </w:tc>
      </w:tr>
      <w:tr>
        <w:tc>
          <w:tcPr>
            <w:tcW w:type="dxa" w:w="2880"/>
          </w:tcPr>
          <w:p>
            <w:r>
              <w:t>Decision Tree</w:t>
            </w:r>
          </w:p>
        </w:tc>
        <w:tc>
          <w:tcPr>
            <w:tcW w:type="dxa" w:w="2880"/>
          </w:tcPr>
          <w:p>
            <w:r>
              <w:t>random_state=42 (Sin límite de profundidad)</w:t>
            </w:r>
          </w:p>
        </w:tc>
        <w:tc>
          <w:tcPr>
            <w:tcW w:type="dxa" w:w="2880"/>
          </w:tcPr>
          <w:p>
            <w:r>
              <w:t>Árbol de decisión estándar utilizando los parámetros por defecto de scikit-learn.</w:t>
            </w:r>
          </w:p>
        </w:tc>
      </w:tr>
      <w:tr>
        <w:tc>
          <w:tcPr>
            <w:tcW w:type="dxa" w:w="2880"/>
          </w:tcPr>
          <w:p>
            <w:r>
              <w:t>Random Forest</w:t>
            </w:r>
          </w:p>
        </w:tc>
        <w:tc>
          <w:tcPr>
            <w:tcW w:type="dxa" w:w="2880"/>
          </w:tcPr>
          <w:p>
            <w:r>
              <w:t>n_estimators=100, random_state=42</w:t>
            </w:r>
          </w:p>
        </w:tc>
        <w:tc>
          <w:tcPr>
            <w:tcW w:type="dxa" w:w="2880"/>
          </w:tcPr>
          <w:p>
            <w:r>
              <w:t>Ensamblado de 100 árboles de decisión para mayor robustez frente al sobreajuste.</w:t>
            </w:r>
          </w:p>
        </w:tc>
      </w:tr>
      <w:tr>
        <w:tc>
          <w:tcPr>
            <w:tcW w:type="dxa" w:w="2880"/>
          </w:tcPr>
          <w:p>
            <w:r>
              <w:t>XGBoost</w:t>
            </w:r>
          </w:p>
        </w:tc>
        <w:tc>
          <w:tcPr>
            <w:tcW w:type="dxa" w:w="2880"/>
          </w:tcPr>
          <w:p>
            <w:r>
              <w:t>eval_metric='logloss', random_state=42</w:t>
            </w:r>
          </w:p>
        </w:tc>
        <w:tc>
          <w:tcPr>
            <w:tcW w:type="dxa" w:w="2880"/>
          </w:tcPr>
          <w:p>
            <w:r>
              <w:t>Función de pérdida logarítmica, óptima para el problema de clasificación binaria abordado.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