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37075" w14:textId="3AA88CB7" w:rsidR="00781800" w:rsidRDefault="00781800" w:rsidP="00781800">
      <w:pPr>
        <w:pStyle w:val="Ttulo1"/>
        <w:rPr>
          <w:lang w:val="es-ES_tradnl"/>
        </w:rPr>
      </w:pPr>
      <w:r>
        <w:rPr>
          <w:lang w:val="es-ES_tradnl"/>
        </w:rPr>
        <w:t>Datos desde el año 2014</w:t>
      </w:r>
    </w:p>
    <w:p w14:paraId="571F8D66" w14:textId="340A70BA" w:rsidR="00435041" w:rsidRDefault="00781800">
      <w:pPr>
        <w:rPr>
          <w:lang w:val="es-ES_tradnl"/>
        </w:rPr>
      </w:pPr>
      <w:r>
        <w:rPr>
          <w:noProof/>
          <w:lang w:val="es-ES_tradnl"/>
        </w:rPr>
        <w:drawing>
          <wp:inline distT="0" distB="0" distL="0" distR="0" wp14:anchorId="746DBF86" wp14:editId="1291BC00">
            <wp:extent cx="5612130" cy="3644900"/>
            <wp:effectExtent l="0" t="0" r="1270" b="0"/>
            <wp:docPr id="103319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9449" name="Imagen 10331944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3644900"/>
                    </a:xfrm>
                    <a:prstGeom prst="rect">
                      <a:avLst/>
                    </a:prstGeom>
                  </pic:spPr>
                </pic:pic>
              </a:graphicData>
            </a:graphic>
          </wp:inline>
        </w:drawing>
      </w:r>
      <w:r>
        <w:rPr>
          <w:noProof/>
          <w:lang w:val="es-ES_tradnl"/>
        </w:rPr>
        <w:drawing>
          <wp:inline distT="0" distB="0" distL="0" distR="0" wp14:anchorId="102B57A5" wp14:editId="20AFC7D3">
            <wp:extent cx="5612130" cy="3644900"/>
            <wp:effectExtent l="0" t="0" r="1270" b="0"/>
            <wp:docPr id="288743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4393" name="Imagen 2887439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3644900"/>
                    </a:xfrm>
                    <a:prstGeom prst="rect">
                      <a:avLst/>
                    </a:prstGeom>
                  </pic:spPr>
                </pic:pic>
              </a:graphicData>
            </a:graphic>
          </wp:inline>
        </w:drawing>
      </w:r>
    </w:p>
    <w:p w14:paraId="40CE3790" w14:textId="77777777" w:rsidR="00781800" w:rsidRPr="00781800" w:rsidRDefault="00781800" w:rsidP="00781800">
      <w:pPr>
        <w:spacing w:after="0" w:line="240" w:lineRule="auto"/>
        <w:rPr>
          <w:rFonts w:ascii="Arial" w:eastAsia="Times New Roman" w:hAnsi="Arial" w:cs="Arial"/>
          <w:color w:val="1F1F1F"/>
          <w:kern w:val="0"/>
          <w:lang w:eastAsia="es-MX"/>
          <w14:ligatures w14:val="none"/>
        </w:rPr>
      </w:pPr>
      <w:r w:rsidRPr="00781800">
        <w:rPr>
          <w:rFonts w:ascii="Arial" w:eastAsia="Times New Roman" w:hAnsi="Arial" w:cs="Arial"/>
          <w:color w:val="1F1F1F"/>
          <w:kern w:val="0"/>
          <w:lang w:eastAsia="es-MX"/>
          <w14:ligatures w14:val="none"/>
        </w:rPr>
        <w:lastRenderedPageBreak/>
        <w:t xml:space="preserve">El gráfico muestra el resultado del pipeline de modelado con </w:t>
      </w:r>
      <w:r w:rsidRPr="00781800">
        <w:rPr>
          <w:rFonts w:ascii="Arial" w:eastAsia="Times New Roman" w:hAnsi="Arial" w:cs="Arial"/>
          <w:b/>
          <w:bCs/>
          <w:color w:val="1F1F1F"/>
          <w:kern w:val="0"/>
          <w:bdr w:val="none" w:sz="0" w:space="0" w:color="auto" w:frame="1"/>
          <w:lang w:eastAsia="es-MX"/>
          <w14:ligatures w14:val="none"/>
        </w:rPr>
        <w:t>Prophet</w:t>
      </w:r>
      <w:r w:rsidRPr="00781800">
        <w:rPr>
          <w:rFonts w:ascii="Arial" w:eastAsia="Times New Roman" w:hAnsi="Arial" w:cs="Arial"/>
          <w:color w:val="1F1F1F"/>
          <w:kern w:val="0"/>
          <w:lang w:eastAsia="es-MX"/>
          <w14:ligatures w14:val="none"/>
        </w:rPr>
        <w:t xml:space="preserve"> aplicado al histórico de sismos, proyectando la tendencia de las magnitudes hacia los próximos 6 meses.</w:t>
      </w:r>
    </w:p>
    <w:p w14:paraId="423656DF" w14:textId="77777777" w:rsidR="00781800" w:rsidRPr="00781800" w:rsidRDefault="00781800" w:rsidP="00781800">
      <w:pPr>
        <w:spacing w:after="0" w:line="240" w:lineRule="auto"/>
        <w:rPr>
          <w:rFonts w:ascii="Arial" w:eastAsia="Times New Roman" w:hAnsi="Arial" w:cs="Arial"/>
          <w:color w:val="1F1F1F"/>
          <w:kern w:val="0"/>
          <w:lang w:eastAsia="es-MX"/>
          <w14:ligatures w14:val="none"/>
        </w:rPr>
      </w:pPr>
      <w:r w:rsidRPr="00781800">
        <w:rPr>
          <w:rFonts w:ascii="Arial" w:eastAsia="Times New Roman" w:hAnsi="Arial" w:cs="Arial"/>
          <w:color w:val="1F1F1F"/>
          <w:kern w:val="0"/>
          <w:lang w:eastAsia="es-MX"/>
          <w14:ligatures w14:val="none"/>
        </w:rPr>
        <w:t>A partir de la visualización, se pueden extraer las siguientes conclusiones y análisis científicos clave:</w:t>
      </w:r>
    </w:p>
    <w:p w14:paraId="39AF6E65" w14:textId="77777777" w:rsidR="00781800" w:rsidRPr="00781800" w:rsidRDefault="00781800" w:rsidP="00781800">
      <w:pPr>
        <w:spacing w:after="0" w:line="240" w:lineRule="auto"/>
        <w:outlineLvl w:val="2"/>
        <w:rPr>
          <w:rFonts w:ascii="Google Sans" w:eastAsia="Times New Roman" w:hAnsi="Google Sans" w:cs="Arial"/>
          <w:b/>
          <w:bCs/>
          <w:color w:val="1F1F1F"/>
          <w:kern w:val="0"/>
          <w:sz w:val="27"/>
          <w:szCs w:val="27"/>
          <w:lang w:eastAsia="es-MX"/>
          <w14:ligatures w14:val="none"/>
        </w:rPr>
      </w:pPr>
      <w:r w:rsidRPr="00781800">
        <w:rPr>
          <w:rFonts w:ascii="Google Sans" w:eastAsia="Times New Roman" w:hAnsi="Google Sans" w:cs="Arial"/>
          <w:b/>
          <w:bCs/>
          <w:color w:val="1F1F1F"/>
          <w:kern w:val="0"/>
          <w:sz w:val="27"/>
          <w:szCs w:val="27"/>
          <w:lang w:eastAsia="es-MX"/>
          <w14:ligatures w14:val="none"/>
        </w:rPr>
        <w:t>1. Comportamiento de la Tendencia (Línea Roja)</w:t>
      </w:r>
    </w:p>
    <w:p w14:paraId="1A2AFA2D" w14:textId="77777777" w:rsidR="00781800" w:rsidRPr="00781800" w:rsidRDefault="00781800" w:rsidP="00781800">
      <w:pPr>
        <w:numPr>
          <w:ilvl w:val="0"/>
          <w:numId w:val="1"/>
        </w:numPr>
        <w:spacing w:after="0" w:line="240" w:lineRule="auto"/>
        <w:rPr>
          <w:rFonts w:ascii="Arial" w:eastAsia="Times New Roman" w:hAnsi="Arial" w:cs="Arial"/>
          <w:color w:val="1F1F1F"/>
          <w:kern w:val="0"/>
          <w:lang w:eastAsia="es-MX"/>
          <w14:ligatures w14:val="none"/>
        </w:rPr>
      </w:pPr>
      <w:r w:rsidRPr="00781800">
        <w:rPr>
          <w:rFonts w:ascii="Arial" w:eastAsia="Times New Roman" w:hAnsi="Arial" w:cs="Arial"/>
          <w:b/>
          <w:bCs/>
          <w:color w:val="1F1F1F"/>
          <w:kern w:val="0"/>
          <w:bdr w:val="none" w:sz="0" w:space="0" w:color="auto" w:frame="1"/>
          <w:lang w:eastAsia="es-MX"/>
          <w14:ligatures w14:val="none"/>
        </w:rPr>
        <w:t>Descenso y Estabilización</w:t>
      </w:r>
      <w:r w:rsidRPr="00781800">
        <w:rPr>
          <w:rFonts w:ascii="Arial" w:eastAsia="Times New Roman" w:hAnsi="Arial" w:cs="Arial"/>
          <w:color w:val="1F1F1F"/>
          <w:kern w:val="0"/>
          <w:lang w:eastAsia="es-MX"/>
          <w14:ligatures w14:val="none"/>
        </w:rPr>
        <w:t>: El modelo identifica que la magnitud promedio general de los eventos registrados venía en un descenso gradual desde 2014 (</w:t>
      </w:r>
      <w:r w:rsidRPr="00781800">
        <w:rPr>
          <w:rFonts w:ascii="Arial" w:eastAsia="Times New Roman" w:hAnsi="Arial" w:cs="Arial"/>
          <w:color w:val="1F1F1F"/>
          <w:kern w:val="0"/>
          <w:bdr w:val="none" w:sz="0" w:space="0" w:color="auto" w:frame="1"/>
          <w:lang w:eastAsia="es-MX"/>
          <w14:ligatures w14:val="none"/>
        </w:rPr>
        <w:t>$\</w:t>
      </w:r>
      <w:proofErr w:type="spellStart"/>
      <w:r w:rsidRPr="00781800">
        <w:rPr>
          <w:rFonts w:ascii="Arial" w:eastAsia="Times New Roman" w:hAnsi="Arial" w:cs="Arial"/>
          <w:color w:val="1F1F1F"/>
          <w:kern w:val="0"/>
          <w:bdr w:val="none" w:sz="0" w:space="0" w:color="auto" w:frame="1"/>
          <w:lang w:eastAsia="es-MX"/>
          <w14:ligatures w14:val="none"/>
        </w:rPr>
        <w:t>approx</w:t>
      </w:r>
      <w:proofErr w:type="spellEnd"/>
      <w:r w:rsidRPr="00781800">
        <w:rPr>
          <w:rFonts w:ascii="Arial" w:eastAsia="Times New Roman" w:hAnsi="Arial" w:cs="Arial"/>
          <w:color w:val="1F1F1F"/>
          <w:kern w:val="0"/>
          <w:bdr w:val="none" w:sz="0" w:space="0" w:color="auto" w:frame="1"/>
          <w:lang w:eastAsia="es-MX"/>
          <w14:ligatures w14:val="none"/>
        </w:rPr>
        <w:t xml:space="preserve"> 4.8$</w:t>
      </w:r>
      <w:r w:rsidRPr="00781800">
        <w:rPr>
          <w:rFonts w:ascii="Arial" w:eastAsia="Times New Roman" w:hAnsi="Arial" w:cs="Arial"/>
          <w:color w:val="1F1F1F"/>
          <w:kern w:val="0"/>
          <w:lang w:eastAsia="es-MX"/>
          <w14:ligatures w14:val="none"/>
        </w:rPr>
        <w:t>) hasta estabilizarse alrededor de 2020.</w:t>
      </w:r>
    </w:p>
    <w:p w14:paraId="7DCC4FE2" w14:textId="77777777" w:rsidR="00781800" w:rsidRPr="00781800" w:rsidRDefault="00781800" w:rsidP="00781800">
      <w:pPr>
        <w:numPr>
          <w:ilvl w:val="0"/>
          <w:numId w:val="1"/>
        </w:numPr>
        <w:spacing w:after="0" w:line="240" w:lineRule="auto"/>
        <w:rPr>
          <w:rFonts w:ascii="Arial" w:eastAsia="Times New Roman" w:hAnsi="Arial" w:cs="Arial"/>
          <w:color w:val="1F1F1F"/>
          <w:kern w:val="0"/>
          <w:lang w:eastAsia="es-MX"/>
          <w14:ligatures w14:val="none"/>
        </w:rPr>
      </w:pPr>
      <w:r w:rsidRPr="00781800">
        <w:rPr>
          <w:rFonts w:ascii="Arial" w:eastAsia="Times New Roman" w:hAnsi="Arial" w:cs="Arial"/>
          <w:b/>
          <w:bCs/>
          <w:color w:val="1F1F1F"/>
          <w:kern w:val="0"/>
          <w:bdr w:val="none" w:sz="0" w:space="0" w:color="auto" w:frame="1"/>
          <w:lang w:eastAsia="es-MX"/>
          <w14:ligatures w14:val="none"/>
        </w:rPr>
        <w:t>Ciclo Actual</w:t>
      </w:r>
      <w:r w:rsidRPr="00781800">
        <w:rPr>
          <w:rFonts w:ascii="Arial" w:eastAsia="Times New Roman" w:hAnsi="Arial" w:cs="Arial"/>
          <w:color w:val="1F1F1F"/>
          <w:kern w:val="0"/>
          <w:lang w:eastAsia="es-MX"/>
          <w14:ligatures w14:val="none"/>
        </w:rPr>
        <w:t xml:space="preserve">: Entre 2021 y mediados de 2026, la línea de tendencia se mantiene casi plana, oscilando sutilmente en el rango bajo de la escala de magnitud </w:t>
      </w:r>
      <w:r w:rsidRPr="00781800">
        <w:rPr>
          <w:rFonts w:ascii="Arial" w:eastAsia="Times New Roman" w:hAnsi="Arial" w:cs="Arial"/>
          <w:color w:val="1F1F1F"/>
          <w:kern w:val="0"/>
          <w:bdr w:val="none" w:sz="0" w:space="0" w:color="auto" w:frame="1"/>
          <w:lang w:eastAsia="es-MX"/>
          <w14:ligatures w14:val="none"/>
        </w:rPr>
        <w:t>$\</w:t>
      </w:r>
      <w:proofErr w:type="spellStart"/>
      <w:r w:rsidRPr="00781800">
        <w:rPr>
          <w:rFonts w:ascii="Arial" w:eastAsia="Times New Roman" w:hAnsi="Arial" w:cs="Arial"/>
          <w:color w:val="1F1F1F"/>
          <w:kern w:val="0"/>
          <w:bdr w:val="none" w:sz="0" w:space="0" w:color="auto" w:frame="1"/>
          <w:lang w:eastAsia="es-MX"/>
          <w14:ligatures w14:val="none"/>
        </w:rPr>
        <w:t>approx</w:t>
      </w:r>
      <w:proofErr w:type="spellEnd"/>
      <w:r w:rsidRPr="00781800">
        <w:rPr>
          <w:rFonts w:ascii="Arial" w:eastAsia="Times New Roman" w:hAnsi="Arial" w:cs="Arial"/>
          <w:color w:val="1F1F1F"/>
          <w:kern w:val="0"/>
          <w:bdr w:val="none" w:sz="0" w:space="0" w:color="auto" w:frame="1"/>
          <w:lang w:eastAsia="es-MX"/>
          <w14:ligatures w14:val="none"/>
        </w:rPr>
        <w:t xml:space="preserve"> 4.2 - 4.5$</w:t>
      </w:r>
      <w:r w:rsidRPr="00781800">
        <w:rPr>
          <w:rFonts w:ascii="Arial" w:eastAsia="Times New Roman" w:hAnsi="Arial" w:cs="Arial"/>
          <w:color w:val="1F1F1F"/>
          <w:kern w:val="0"/>
          <w:lang w:eastAsia="es-MX"/>
          <w14:ligatures w14:val="none"/>
        </w:rPr>
        <w:t>. La proyección para los próximos 6 meses (el tramo final que llega a casi 2027) sugiere una continuidad de esta estabilidad, con una levísima inclinación al alza.</w:t>
      </w:r>
    </w:p>
    <w:p w14:paraId="22219281" w14:textId="77777777" w:rsidR="00781800" w:rsidRPr="00781800" w:rsidRDefault="00781800" w:rsidP="00781800">
      <w:pPr>
        <w:spacing w:after="0" w:line="240" w:lineRule="auto"/>
        <w:outlineLvl w:val="2"/>
        <w:rPr>
          <w:rFonts w:ascii="Google Sans" w:eastAsia="Times New Roman" w:hAnsi="Google Sans" w:cs="Arial"/>
          <w:b/>
          <w:bCs/>
          <w:color w:val="1F1F1F"/>
          <w:kern w:val="0"/>
          <w:sz w:val="27"/>
          <w:szCs w:val="27"/>
          <w:lang w:eastAsia="es-MX"/>
          <w14:ligatures w14:val="none"/>
        </w:rPr>
      </w:pPr>
      <w:r w:rsidRPr="00781800">
        <w:rPr>
          <w:rFonts w:ascii="Google Sans" w:eastAsia="Times New Roman" w:hAnsi="Google Sans" w:cs="Arial"/>
          <w:b/>
          <w:bCs/>
          <w:color w:val="1F1F1F"/>
          <w:kern w:val="0"/>
          <w:sz w:val="27"/>
          <w:szCs w:val="27"/>
          <w:lang w:eastAsia="es-MX"/>
          <w14:ligatures w14:val="none"/>
        </w:rPr>
        <w:t>2. Puntos de Cambio Estructural (Líneas Verticales Rojas Discontinuas)</w:t>
      </w:r>
    </w:p>
    <w:p w14:paraId="7CFE2D03" w14:textId="77777777" w:rsidR="00781800" w:rsidRPr="00781800" w:rsidRDefault="00781800" w:rsidP="00781800">
      <w:pPr>
        <w:spacing w:after="0" w:line="240" w:lineRule="auto"/>
        <w:rPr>
          <w:rFonts w:ascii="Arial" w:eastAsia="Times New Roman" w:hAnsi="Arial" w:cs="Arial"/>
          <w:color w:val="1F1F1F"/>
          <w:kern w:val="0"/>
          <w:lang w:eastAsia="es-MX"/>
          <w14:ligatures w14:val="none"/>
        </w:rPr>
      </w:pPr>
      <w:r w:rsidRPr="00781800">
        <w:rPr>
          <w:rFonts w:ascii="Arial" w:eastAsia="Times New Roman" w:hAnsi="Arial" w:cs="Arial"/>
          <w:color w:val="1F1F1F"/>
          <w:kern w:val="0"/>
          <w:lang w:eastAsia="es-MX"/>
          <w14:ligatures w14:val="none"/>
        </w:rPr>
        <w:t xml:space="preserve">Esas líneas son los </w:t>
      </w:r>
      <w:proofErr w:type="spellStart"/>
      <w:r w:rsidRPr="00781800">
        <w:rPr>
          <w:rFonts w:ascii="Arial" w:eastAsia="Times New Roman" w:hAnsi="Arial" w:cs="Arial"/>
          <w:b/>
          <w:bCs/>
          <w:color w:val="1F1F1F"/>
          <w:kern w:val="0"/>
          <w:bdr w:val="none" w:sz="0" w:space="0" w:color="auto" w:frame="1"/>
          <w:lang w:eastAsia="es-MX"/>
          <w14:ligatures w14:val="none"/>
        </w:rPr>
        <w:t>Changepoints</w:t>
      </w:r>
      <w:proofErr w:type="spellEnd"/>
      <w:r w:rsidRPr="00781800">
        <w:rPr>
          <w:rFonts w:ascii="Arial" w:eastAsia="Times New Roman" w:hAnsi="Arial" w:cs="Arial"/>
          <w:color w:val="1F1F1F"/>
          <w:kern w:val="0"/>
          <w:lang w:eastAsia="es-MX"/>
          <w14:ligatures w14:val="none"/>
        </w:rPr>
        <w:t xml:space="preserve"> automáticos de Prophet. Indican los momentos exactos en el tiempo donde la tasa de la tendencia sufrió una alteración significativa:</w:t>
      </w:r>
    </w:p>
    <w:p w14:paraId="3E11B73D" w14:textId="77777777" w:rsidR="00781800" w:rsidRPr="00781800" w:rsidRDefault="00781800" w:rsidP="00781800">
      <w:pPr>
        <w:numPr>
          <w:ilvl w:val="0"/>
          <w:numId w:val="2"/>
        </w:numPr>
        <w:spacing w:after="0" w:line="240" w:lineRule="auto"/>
        <w:rPr>
          <w:rFonts w:ascii="Arial" w:eastAsia="Times New Roman" w:hAnsi="Arial" w:cs="Arial"/>
          <w:color w:val="1F1F1F"/>
          <w:kern w:val="0"/>
          <w:lang w:eastAsia="es-MX"/>
          <w14:ligatures w14:val="none"/>
        </w:rPr>
      </w:pPr>
      <w:r w:rsidRPr="00781800">
        <w:rPr>
          <w:rFonts w:ascii="Arial" w:eastAsia="Times New Roman" w:hAnsi="Arial" w:cs="Arial"/>
          <w:color w:val="1F1F1F"/>
          <w:kern w:val="0"/>
          <w:lang w:eastAsia="es-MX"/>
          <w14:ligatures w14:val="none"/>
        </w:rPr>
        <w:t xml:space="preserve">Hay tres </w:t>
      </w:r>
      <w:proofErr w:type="spellStart"/>
      <w:r w:rsidRPr="00781800">
        <w:rPr>
          <w:rFonts w:ascii="Arial" w:eastAsia="Times New Roman" w:hAnsi="Arial" w:cs="Arial"/>
          <w:color w:val="1F1F1F"/>
          <w:kern w:val="0"/>
          <w:lang w:eastAsia="es-MX"/>
          <w14:ligatures w14:val="none"/>
        </w:rPr>
        <w:t>clusters</w:t>
      </w:r>
      <w:proofErr w:type="spellEnd"/>
      <w:r w:rsidRPr="00781800">
        <w:rPr>
          <w:rFonts w:ascii="Arial" w:eastAsia="Times New Roman" w:hAnsi="Arial" w:cs="Arial"/>
          <w:color w:val="1F1F1F"/>
          <w:kern w:val="0"/>
          <w:lang w:eastAsia="es-MX"/>
          <w14:ligatures w14:val="none"/>
        </w:rPr>
        <w:t xml:space="preserve"> de cambios muy marcados: fines de </w:t>
      </w:r>
      <w:r w:rsidRPr="00781800">
        <w:rPr>
          <w:rFonts w:ascii="Arial" w:eastAsia="Times New Roman" w:hAnsi="Arial" w:cs="Arial"/>
          <w:b/>
          <w:bCs/>
          <w:color w:val="1F1F1F"/>
          <w:kern w:val="0"/>
          <w:bdr w:val="none" w:sz="0" w:space="0" w:color="auto" w:frame="1"/>
          <w:lang w:eastAsia="es-MX"/>
          <w14:ligatures w14:val="none"/>
        </w:rPr>
        <w:t>2016/2017</w:t>
      </w:r>
      <w:r w:rsidRPr="00781800">
        <w:rPr>
          <w:rFonts w:ascii="Arial" w:eastAsia="Times New Roman" w:hAnsi="Arial" w:cs="Arial"/>
          <w:color w:val="1F1F1F"/>
          <w:kern w:val="0"/>
          <w:lang w:eastAsia="es-MX"/>
          <w14:ligatures w14:val="none"/>
        </w:rPr>
        <w:t xml:space="preserve">, inicios de </w:t>
      </w:r>
      <w:r w:rsidRPr="00781800">
        <w:rPr>
          <w:rFonts w:ascii="Arial" w:eastAsia="Times New Roman" w:hAnsi="Arial" w:cs="Arial"/>
          <w:b/>
          <w:bCs/>
          <w:color w:val="1F1F1F"/>
          <w:kern w:val="0"/>
          <w:bdr w:val="none" w:sz="0" w:space="0" w:color="auto" w:frame="1"/>
          <w:lang w:eastAsia="es-MX"/>
          <w14:ligatures w14:val="none"/>
        </w:rPr>
        <w:t>2019/2020</w:t>
      </w:r>
      <w:r w:rsidRPr="00781800">
        <w:rPr>
          <w:rFonts w:ascii="Arial" w:eastAsia="Times New Roman" w:hAnsi="Arial" w:cs="Arial"/>
          <w:color w:val="1F1F1F"/>
          <w:kern w:val="0"/>
          <w:lang w:eastAsia="es-MX"/>
          <w14:ligatures w14:val="none"/>
        </w:rPr>
        <w:t xml:space="preserve"> y el periodo entre </w:t>
      </w:r>
      <w:r w:rsidRPr="00781800">
        <w:rPr>
          <w:rFonts w:ascii="Arial" w:eastAsia="Times New Roman" w:hAnsi="Arial" w:cs="Arial"/>
          <w:b/>
          <w:bCs/>
          <w:color w:val="1F1F1F"/>
          <w:kern w:val="0"/>
          <w:bdr w:val="none" w:sz="0" w:space="0" w:color="auto" w:frame="1"/>
          <w:lang w:eastAsia="es-MX"/>
          <w14:ligatures w14:val="none"/>
        </w:rPr>
        <w:t>2022 y 2023</w:t>
      </w:r>
      <w:r w:rsidRPr="00781800">
        <w:rPr>
          <w:rFonts w:ascii="Arial" w:eastAsia="Times New Roman" w:hAnsi="Arial" w:cs="Arial"/>
          <w:color w:val="1F1F1F"/>
          <w:kern w:val="0"/>
          <w:lang w:eastAsia="es-MX"/>
          <w14:ligatures w14:val="none"/>
        </w:rPr>
        <w:t>.</w:t>
      </w:r>
    </w:p>
    <w:p w14:paraId="48AF6F42" w14:textId="77777777" w:rsidR="00781800" w:rsidRPr="00781800" w:rsidRDefault="00781800" w:rsidP="00781800">
      <w:pPr>
        <w:numPr>
          <w:ilvl w:val="0"/>
          <w:numId w:val="2"/>
        </w:numPr>
        <w:spacing w:after="0" w:line="240" w:lineRule="auto"/>
        <w:rPr>
          <w:rFonts w:ascii="Arial" w:eastAsia="Times New Roman" w:hAnsi="Arial" w:cs="Arial"/>
          <w:color w:val="1F1F1F"/>
          <w:kern w:val="0"/>
          <w:lang w:eastAsia="es-MX"/>
          <w14:ligatures w14:val="none"/>
        </w:rPr>
      </w:pPr>
      <w:r w:rsidRPr="00781800">
        <w:rPr>
          <w:rFonts w:ascii="Arial" w:eastAsia="Times New Roman" w:hAnsi="Arial" w:cs="Arial"/>
          <w:color w:val="1F1F1F"/>
          <w:kern w:val="0"/>
          <w:lang w:eastAsia="es-MX"/>
          <w14:ligatures w14:val="none"/>
        </w:rPr>
        <w:t>Estos puntos suelen coincidir matemáticamente con periodos de alta densidad de réplicas tras sismos de gran magnitud (los puntos negros que se escapan hacia el tope del gráfico, superando la magnitud 7 y 8).</w:t>
      </w:r>
    </w:p>
    <w:p w14:paraId="0D4C177D" w14:textId="77777777" w:rsidR="00781800" w:rsidRPr="00781800" w:rsidRDefault="00781800" w:rsidP="00781800">
      <w:pPr>
        <w:spacing w:after="0" w:line="240" w:lineRule="auto"/>
        <w:outlineLvl w:val="2"/>
        <w:rPr>
          <w:rFonts w:ascii="Google Sans" w:eastAsia="Times New Roman" w:hAnsi="Google Sans" w:cs="Arial"/>
          <w:b/>
          <w:bCs/>
          <w:color w:val="1F1F1F"/>
          <w:kern w:val="0"/>
          <w:sz w:val="27"/>
          <w:szCs w:val="27"/>
          <w:lang w:eastAsia="es-MX"/>
          <w14:ligatures w14:val="none"/>
        </w:rPr>
      </w:pPr>
      <w:r w:rsidRPr="00781800">
        <w:rPr>
          <w:rFonts w:ascii="Google Sans" w:eastAsia="Times New Roman" w:hAnsi="Google Sans" w:cs="Arial"/>
          <w:b/>
          <w:bCs/>
          <w:color w:val="1F1F1F"/>
          <w:kern w:val="0"/>
          <w:sz w:val="27"/>
          <w:szCs w:val="27"/>
          <w:lang w:eastAsia="es-MX"/>
          <w14:ligatures w14:val="none"/>
        </w:rPr>
        <w:t>3. Dispersión de Datos y Anomalías (Puntos Negros)</w:t>
      </w:r>
    </w:p>
    <w:p w14:paraId="3B2DC817" w14:textId="77777777" w:rsidR="00781800" w:rsidRPr="00781800" w:rsidRDefault="00781800" w:rsidP="00781800">
      <w:pPr>
        <w:numPr>
          <w:ilvl w:val="0"/>
          <w:numId w:val="3"/>
        </w:numPr>
        <w:spacing w:after="0" w:line="240" w:lineRule="auto"/>
        <w:rPr>
          <w:rFonts w:ascii="Arial" w:eastAsia="Times New Roman" w:hAnsi="Arial" w:cs="Arial"/>
          <w:color w:val="1F1F1F"/>
          <w:kern w:val="0"/>
          <w:lang w:eastAsia="es-MX"/>
          <w14:ligatures w14:val="none"/>
        </w:rPr>
      </w:pPr>
      <w:r w:rsidRPr="00781800">
        <w:rPr>
          <w:rFonts w:ascii="Arial" w:eastAsia="Times New Roman" w:hAnsi="Arial" w:cs="Arial"/>
          <w:color w:val="1F1F1F"/>
          <w:kern w:val="0"/>
          <w:lang w:eastAsia="es-MX"/>
          <w14:ligatures w14:val="none"/>
        </w:rPr>
        <w:t xml:space="preserve">El grueso de la actividad sísmica es de baja e intermedia magnitud, concentrándose fuertemente en la franja de </w:t>
      </w:r>
      <w:r w:rsidRPr="00781800">
        <w:rPr>
          <w:rFonts w:ascii="Arial" w:eastAsia="Times New Roman" w:hAnsi="Arial" w:cs="Arial"/>
          <w:color w:val="1F1F1F"/>
          <w:kern w:val="0"/>
          <w:bdr w:val="none" w:sz="0" w:space="0" w:color="auto" w:frame="1"/>
          <w:lang w:eastAsia="es-MX"/>
          <w14:ligatures w14:val="none"/>
        </w:rPr>
        <w:t>$3.5$</w:t>
      </w:r>
      <w:r w:rsidRPr="00781800">
        <w:rPr>
          <w:rFonts w:ascii="Arial" w:eastAsia="Times New Roman" w:hAnsi="Arial" w:cs="Arial"/>
          <w:color w:val="1F1F1F"/>
          <w:kern w:val="0"/>
          <w:lang w:eastAsia="es-MX"/>
          <w14:ligatures w14:val="none"/>
        </w:rPr>
        <w:t xml:space="preserve"> a </w:t>
      </w:r>
      <w:r w:rsidRPr="00781800">
        <w:rPr>
          <w:rFonts w:ascii="Arial" w:eastAsia="Times New Roman" w:hAnsi="Arial" w:cs="Arial"/>
          <w:color w:val="1F1F1F"/>
          <w:kern w:val="0"/>
          <w:bdr w:val="none" w:sz="0" w:space="0" w:color="auto" w:frame="1"/>
          <w:lang w:eastAsia="es-MX"/>
          <w14:ligatures w14:val="none"/>
        </w:rPr>
        <w:t>$5.5$</w:t>
      </w:r>
      <w:r w:rsidRPr="00781800">
        <w:rPr>
          <w:rFonts w:ascii="Arial" w:eastAsia="Times New Roman" w:hAnsi="Arial" w:cs="Arial"/>
          <w:color w:val="1F1F1F"/>
          <w:kern w:val="0"/>
          <w:lang w:eastAsia="es-MX"/>
          <w14:ligatures w14:val="none"/>
        </w:rPr>
        <w:t>.</w:t>
      </w:r>
    </w:p>
    <w:p w14:paraId="6661DE3D" w14:textId="77777777" w:rsidR="00781800" w:rsidRPr="00781800" w:rsidRDefault="00781800" w:rsidP="00781800">
      <w:pPr>
        <w:numPr>
          <w:ilvl w:val="0"/>
          <w:numId w:val="3"/>
        </w:numPr>
        <w:spacing w:after="0" w:line="240" w:lineRule="auto"/>
        <w:rPr>
          <w:rFonts w:ascii="Arial" w:eastAsia="Times New Roman" w:hAnsi="Arial" w:cs="Arial"/>
          <w:color w:val="1F1F1F"/>
          <w:kern w:val="0"/>
          <w:lang w:eastAsia="es-MX"/>
          <w14:ligatures w14:val="none"/>
        </w:rPr>
      </w:pPr>
      <w:r w:rsidRPr="00781800">
        <w:rPr>
          <w:rFonts w:ascii="Arial" w:eastAsia="Times New Roman" w:hAnsi="Arial" w:cs="Arial"/>
          <w:color w:val="1F1F1F"/>
          <w:kern w:val="0"/>
          <w:lang w:eastAsia="es-MX"/>
          <w14:ligatures w14:val="none"/>
        </w:rPr>
        <w:t xml:space="preserve">Los puntos por encima de magnitud </w:t>
      </w:r>
      <w:r w:rsidRPr="00781800">
        <w:rPr>
          <w:rFonts w:ascii="Arial" w:eastAsia="Times New Roman" w:hAnsi="Arial" w:cs="Arial"/>
          <w:color w:val="1F1F1F"/>
          <w:kern w:val="0"/>
          <w:bdr w:val="none" w:sz="0" w:space="0" w:color="auto" w:frame="1"/>
          <w:lang w:eastAsia="es-MX"/>
          <w14:ligatures w14:val="none"/>
        </w:rPr>
        <w:t>$7.0$</w:t>
      </w:r>
      <w:r w:rsidRPr="00781800">
        <w:rPr>
          <w:rFonts w:ascii="Arial" w:eastAsia="Times New Roman" w:hAnsi="Arial" w:cs="Arial"/>
          <w:color w:val="1F1F1F"/>
          <w:kern w:val="0"/>
          <w:lang w:eastAsia="es-MX"/>
          <w14:ligatures w14:val="none"/>
        </w:rPr>
        <w:t xml:space="preserve"> actúan como </w:t>
      </w:r>
      <w:proofErr w:type="spellStart"/>
      <w:r w:rsidRPr="00781800">
        <w:rPr>
          <w:rFonts w:ascii="Arial" w:eastAsia="Times New Roman" w:hAnsi="Arial" w:cs="Arial"/>
          <w:i/>
          <w:iCs/>
          <w:color w:val="1F1F1F"/>
          <w:kern w:val="0"/>
          <w:bdr w:val="none" w:sz="0" w:space="0" w:color="auto" w:frame="1"/>
          <w:lang w:eastAsia="es-MX"/>
          <w14:ligatures w14:val="none"/>
        </w:rPr>
        <w:t>outliers</w:t>
      </w:r>
      <w:proofErr w:type="spellEnd"/>
      <w:r w:rsidRPr="00781800">
        <w:rPr>
          <w:rFonts w:ascii="Arial" w:eastAsia="Times New Roman" w:hAnsi="Arial" w:cs="Arial"/>
          <w:color w:val="1F1F1F"/>
          <w:kern w:val="0"/>
          <w:lang w:eastAsia="es-MX"/>
          <w14:ligatures w14:val="none"/>
        </w:rPr>
        <w:t xml:space="preserve"> estadísticos para la tendencia adaptativa, pero representan los eventos mayores reales del catálogo. Nota cómo la densidad de sismos menores parece cambiar sutilmente justo después de que ocurren estos eventos grandes.</w:t>
      </w:r>
    </w:p>
    <w:p w14:paraId="5397B9BA" w14:textId="77777777" w:rsidR="00781800" w:rsidRPr="00781800" w:rsidRDefault="00781800" w:rsidP="00781800">
      <w:pPr>
        <w:spacing w:after="0" w:line="240" w:lineRule="auto"/>
        <w:outlineLvl w:val="2"/>
        <w:rPr>
          <w:rFonts w:ascii="Google Sans" w:eastAsia="Times New Roman" w:hAnsi="Google Sans" w:cs="Arial"/>
          <w:b/>
          <w:bCs/>
          <w:color w:val="1F1F1F"/>
          <w:kern w:val="0"/>
          <w:sz w:val="27"/>
          <w:szCs w:val="27"/>
          <w:lang w:eastAsia="es-MX"/>
          <w14:ligatures w14:val="none"/>
        </w:rPr>
      </w:pPr>
      <w:r w:rsidRPr="00781800">
        <w:rPr>
          <w:rFonts w:ascii="Google Sans" w:eastAsia="Times New Roman" w:hAnsi="Google Sans" w:cs="Arial"/>
          <w:b/>
          <w:bCs/>
          <w:color w:val="1F1F1F"/>
          <w:kern w:val="0"/>
          <w:sz w:val="27"/>
          <w:szCs w:val="27"/>
          <w:lang w:eastAsia="es-MX"/>
          <w14:ligatures w14:val="none"/>
        </w:rPr>
        <w:t>4. Banda de Incertidumbre (Zona Sombreada Azul)</w:t>
      </w:r>
    </w:p>
    <w:p w14:paraId="7EBD002A" w14:textId="77777777" w:rsidR="00781800" w:rsidRPr="00781800" w:rsidRDefault="00781800" w:rsidP="00781800">
      <w:pPr>
        <w:numPr>
          <w:ilvl w:val="0"/>
          <w:numId w:val="4"/>
        </w:numPr>
        <w:spacing w:after="0" w:line="240" w:lineRule="auto"/>
        <w:rPr>
          <w:rFonts w:ascii="Arial" w:eastAsia="Times New Roman" w:hAnsi="Arial" w:cs="Arial"/>
          <w:color w:val="1F1F1F"/>
          <w:kern w:val="0"/>
          <w:lang w:eastAsia="es-MX"/>
          <w14:ligatures w14:val="none"/>
        </w:rPr>
      </w:pPr>
      <w:r w:rsidRPr="00781800">
        <w:rPr>
          <w:rFonts w:ascii="Arial" w:eastAsia="Times New Roman" w:hAnsi="Arial" w:cs="Arial"/>
          <w:color w:val="1F1F1F"/>
          <w:kern w:val="0"/>
          <w:lang w:eastAsia="es-MX"/>
          <w14:ligatures w14:val="none"/>
        </w:rPr>
        <w:t>El área azul representa el intervalo de confianza del modelo.</w:t>
      </w:r>
    </w:p>
    <w:p w14:paraId="33BC452B" w14:textId="77777777" w:rsidR="00781800" w:rsidRPr="00781800" w:rsidRDefault="00781800" w:rsidP="00781800">
      <w:pPr>
        <w:numPr>
          <w:ilvl w:val="0"/>
          <w:numId w:val="4"/>
        </w:numPr>
        <w:spacing w:after="0" w:line="240" w:lineRule="auto"/>
        <w:rPr>
          <w:rFonts w:ascii="Arial" w:eastAsia="Times New Roman" w:hAnsi="Arial" w:cs="Arial"/>
          <w:color w:val="1F1F1F"/>
          <w:kern w:val="0"/>
          <w:lang w:eastAsia="es-MX"/>
          <w14:ligatures w14:val="none"/>
        </w:rPr>
      </w:pPr>
      <w:r w:rsidRPr="00781800">
        <w:rPr>
          <w:rFonts w:ascii="Arial" w:eastAsia="Times New Roman" w:hAnsi="Arial" w:cs="Arial"/>
          <w:color w:val="1F1F1F"/>
          <w:kern w:val="0"/>
          <w:lang w:eastAsia="es-MX"/>
          <w14:ligatures w14:val="none"/>
        </w:rPr>
        <w:t xml:space="preserve">Es bastante uniforme a lo largo del tiempo histórico, lo que demuestra consistencia en la varianza de los datos de la muestra. Al final de la curva (la proyección a futuro), la banda mantiene su ancho controlado, lo que indica que el modelo estima que la actividad sísmica base seguirá confinada mayoritariamente entre magnitudes </w:t>
      </w:r>
      <w:r w:rsidRPr="00781800">
        <w:rPr>
          <w:rFonts w:ascii="Arial" w:eastAsia="Times New Roman" w:hAnsi="Arial" w:cs="Arial"/>
          <w:color w:val="1F1F1F"/>
          <w:kern w:val="0"/>
          <w:bdr w:val="none" w:sz="0" w:space="0" w:color="auto" w:frame="1"/>
          <w:lang w:eastAsia="es-MX"/>
          <w14:ligatures w14:val="none"/>
        </w:rPr>
        <w:t>$3.6$</w:t>
      </w:r>
      <w:r w:rsidRPr="00781800">
        <w:rPr>
          <w:rFonts w:ascii="Arial" w:eastAsia="Times New Roman" w:hAnsi="Arial" w:cs="Arial"/>
          <w:color w:val="1F1F1F"/>
          <w:kern w:val="0"/>
          <w:lang w:eastAsia="es-MX"/>
          <w14:ligatures w14:val="none"/>
        </w:rPr>
        <w:t xml:space="preserve"> y </w:t>
      </w:r>
      <w:r w:rsidRPr="00781800">
        <w:rPr>
          <w:rFonts w:ascii="Arial" w:eastAsia="Times New Roman" w:hAnsi="Arial" w:cs="Arial"/>
          <w:color w:val="1F1F1F"/>
          <w:kern w:val="0"/>
          <w:bdr w:val="none" w:sz="0" w:space="0" w:color="auto" w:frame="1"/>
          <w:lang w:eastAsia="es-MX"/>
          <w14:ligatures w14:val="none"/>
        </w:rPr>
        <w:t>$5.3$</w:t>
      </w:r>
      <w:r w:rsidRPr="00781800">
        <w:rPr>
          <w:rFonts w:ascii="Arial" w:eastAsia="Times New Roman" w:hAnsi="Arial" w:cs="Arial"/>
          <w:color w:val="1F1F1F"/>
          <w:kern w:val="0"/>
          <w:lang w:eastAsia="es-MX"/>
          <w14:ligatures w14:val="none"/>
        </w:rPr>
        <w:t xml:space="preserve"> durante el próximo semestre.</w:t>
      </w:r>
    </w:p>
    <w:p w14:paraId="58B64A7A" w14:textId="77777777" w:rsidR="00781800" w:rsidRPr="00781800" w:rsidRDefault="00781800" w:rsidP="00781800">
      <w:pPr>
        <w:spacing w:after="0" w:line="240" w:lineRule="auto"/>
        <w:outlineLvl w:val="2"/>
        <w:rPr>
          <w:rFonts w:ascii="Google Sans" w:eastAsia="Times New Roman" w:hAnsi="Google Sans" w:cs="Arial"/>
          <w:b/>
          <w:bCs/>
          <w:color w:val="1F1F1F"/>
          <w:kern w:val="0"/>
          <w:sz w:val="27"/>
          <w:szCs w:val="27"/>
          <w:lang w:eastAsia="es-MX"/>
          <w14:ligatures w14:val="none"/>
        </w:rPr>
      </w:pPr>
      <w:r w:rsidRPr="00781800">
        <w:rPr>
          <w:rFonts w:ascii="Google Sans" w:eastAsia="Times New Roman" w:hAnsi="Google Sans" w:cs="Arial"/>
          <w:b/>
          <w:bCs/>
          <w:color w:val="1F1F1F"/>
          <w:kern w:val="0"/>
          <w:sz w:val="27"/>
          <w:szCs w:val="27"/>
          <w:lang w:eastAsia="es-MX"/>
          <w14:ligatures w14:val="none"/>
        </w:rPr>
        <w:t>Diagnóstico del Modelo</w:t>
      </w:r>
    </w:p>
    <w:p w14:paraId="64540B93" w14:textId="77777777" w:rsidR="00781800" w:rsidRPr="00781800" w:rsidRDefault="00781800" w:rsidP="00781800">
      <w:pPr>
        <w:spacing w:after="0" w:line="240" w:lineRule="auto"/>
        <w:rPr>
          <w:rFonts w:ascii="Arial" w:eastAsia="Times New Roman" w:hAnsi="Arial" w:cs="Arial"/>
          <w:color w:val="1F1F1F"/>
          <w:kern w:val="0"/>
          <w:lang w:eastAsia="es-MX"/>
          <w14:ligatures w14:val="none"/>
        </w:rPr>
      </w:pPr>
      <w:r w:rsidRPr="00781800">
        <w:rPr>
          <w:rFonts w:ascii="Arial" w:eastAsia="Times New Roman" w:hAnsi="Arial" w:cs="Arial"/>
          <w:color w:val="1F1F1F"/>
          <w:kern w:val="0"/>
          <w:lang w:eastAsia="es-MX"/>
          <w14:ligatures w14:val="none"/>
        </w:rPr>
        <w:t>El ajuste de Prophet es adecuado para capturar el comportamiento base y la estacionalidad promedio de la serie temporal, aislando el ruido de fondo.</w:t>
      </w:r>
    </w:p>
    <w:p w14:paraId="074CFDC4" w14:textId="77777777" w:rsidR="00781800" w:rsidRPr="00781800" w:rsidRDefault="00781800" w:rsidP="00781800">
      <w:pPr>
        <w:spacing w:after="0" w:line="240" w:lineRule="auto"/>
        <w:rPr>
          <w:rFonts w:ascii="Arial" w:eastAsia="Times New Roman" w:hAnsi="Arial" w:cs="Arial"/>
          <w:color w:val="1F1F1F"/>
          <w:kern w:val="0"/>
          <w:lang w:eastAsia="es-MX"/>
          <w14:ligatures w14:val="none"/>
        </w:rPr>
      </w:pPr>
      <w:r w:rsidRPr="00781800">
        <w:rPr>
          <w:rFonts w:ascii="Arial" w:eastAsia="Times New Roman" w:hAnsi="Arial" w:cs="Arial"/>
          <w:color w:val="1F1F1F"/>
          <w:kern w:val="0"/>
          <w:lang w:eastAsia="es-MX"/>
          <w14:ligatures w14:val="none"/>
        </w:rPr>
        <w:t xml:space="preserve">Para un análisis sismológico más profundo, este output es excelente para contrastarlo con leyes estadísticas clásicas (como la </w:t>
      </w:r>
      <w:r w:rsidRPr="00781800">
        <w:rPr>
          <w:rFonts w:ascii="Arial" w:eastAsia="Times New Roman" w:hAnsi="Arial" w:cs="Arial"/>
          <w:i/>
          <w:iCs/>
          <w:color w:val="1F1F1F"/>
          <w:kern w:val="0"/>
          <w:bdr w:val="none" w:sz="0" w:space="0" w:color="auto" w:frame="1"/>
          <w:lang w:eastAsia="es-MX"/>
          <w14:ligatures w14:val="none"/>
        </w:rPr>
        <w:t>Ley de Gutenberg-Richter</w:t>
      </w:r>
      <w:r w:rsidRPr="00781800">
        <w:rPr>
          <w:rFonts w:ascii="Arial" w:eastAsia="Times New Roman" w:hAnsi="Arial" w:cs="Arial"/>
          <w:color w:val="1F1F1F"/>
          <w:kern w:val="0"/>
          <w:lang w:eastAsia="es-MX"/>
          <w14:ligatures w14:val="none"/>
        </w:rPr>
        <w:t xml:space="preserve"> para la relación frecuencia-magnitud), permitiendo validar si el pipeline refleja correctamente la liberación de energía del sistema de fallas estudiado.</w:t>
      </w:r>
    </w:p>
    <w:p w14:paraId="2CD1C653" w14:textId="77777777" w:rsidR="00781800" w:rsidRDefault="00781800">
      <w:pPr>
        <w:rPr>
          <w:lang w:val="es-ES_tradnl"/>
        </w:rPr>
      </w:pPr>
    </w:p>
    <w:p w14:paraId="349DD73A" w14:textId="236CE0E2" w:rsidR="00781800" w:rsidRDefault="00781800" w:rsidP="00781800">
      <w:pPr>
        <w:pStyle w:val="Ttulo1"/>
        <w:rPr>
          <w:lang w:val="es-ES_tradnl"/>
        </w:rPr>
      </w:pPr>
      <w:r>
        <w:rPr>
          <w:lang w:val="es-ES_tradnl"/>
        </w:rPr>
        <w:lastRenderedPageBreak/>
        <w:t>Datos desde el año 1420</w:t>
      </w:r>
    </w:p>
    <w:p w14:paraId="3AE798F7" w14:textId="77777777" w:rsidR="00781800" w:rsidRDefault="00781800" w:rsidP="00781800">
      <w:pPr>
        <w:rPr>
          <w:lang w:val="es-ES_tradnl"/>
        </w:rPr>
      </w:pPr>
    </w:p>
    <w:p w14:paraId="29A5660F" w14:textId="77777777" w:rsidR="00781800" w:rsidRDefault="00781800" w:rsidP="00781800">
      <w:pPr>
        <w:pStyle w:val="NormalWeb"/>
        <w:spacing w:before="0" w:beforeAutospacing="0" w:after="0" w:afterAutospacing="0"/>
        <w:rPr>
          <w:rFonts w:ascii="Arial" w:hAnsi="Arial" w:cs="Arial"/>
          <w:color w:val="1F1F1F"/>
        </w:rPr>
      </w:pPr>
      <w:r>
        <w:rPr>
          <w:rFonts w:ascii="Arial" w:hAnsi="Arial" w:cs="Arial" w:hint="cs"/>
          <w:color w:val="1F1F1F"/>
        </w:rPr>
        <w:t>Esta nueva visualización es fascinante porque expone un sesgo analítico masivo y un problema conceptual crítico al intentar aplicar Prophet a series temporales históricas tan extensas (que abarcan desde el año 1420 hasta el presente).</w:t>
      </w:r>
    </w:p>
    <w:p w14:paraId="494926FD" w14:textId="77777777" w:rsidR="00781800" w:rsidRDefault="00781800" w:rsidP="00781800">
      <w:pPr>
        <w:pStyle w:val="NormalWeb"/>
        <w:spacing w:before="0" w:beforeAutospacing="0" w:after="0" w:afterAutospacing="0"/>
        <w:rPr>
          <w:rFonts w:ascii="Arial" w:hAnsi="Arial" w:cs="Arial" w:hint="cs"/>
          <w:color w:val="1F1F1F"/>
        </w:rPr>
      </w:pPr>
      <w:r>
        <w:rPr>
          <w:rFonts w:ascii="Arial" w:hAnsi="Arial" w:cs="Arial" w:hint="cs"/>
          <w:color w:val="1F1F1F"/>
        </w:rPr>
        <w:t>Aquí tienes el análisis matemático y sismológico de lo que está ocurriendo en este gráfico:</w:t>
      </w:r>
    </w:p>
    <w:p w14:paraId="16699413" w14:textId="77777777" w:rsidR="00781800" w:rsidRDefault="00781800" w:rsidP="00781800">
      <w:pPr>
        <w:pStyle w:val="Ttulo3"/>
        <w:spacing w:before="0" w:after="0"/>
        <w:rPr>
          <w:rFonts w:ascii="Google Sans" w:hAnsi="Google Sans" w:cs="Arial" w:hint="cs"/>
          <w:color w:val="1F1F1F"/>
        </w:rPr>
      </w:pPr>
      <w:r>
        <w:rPr>
          <w:rFonts w:ascii="Google Sans" w:hAnsi="Google Sans" w:cs="Arial"/>
          <w:color w:val="1F1F1F"/>
        </w:rPr>
        <w:t>1. El Sesgo de Registro Histórico (La acumulación de puntos a la derecha)</w:t>
      </w:r>
    </w:p>
    <w:p w14:paraId="6B626069" w14:textId="77777777" w:rsidR="00781800" w:rsidRDefault="00781800" w:rsidP="00781800">
      <w:pPr>
        <w:pStyle w:val="NormalWeb"/>
        <w:numPr>
          <w:ilvl w:val="0"/>
          <w:numId w:val="5"/>
        </w:numPr>
        <w:spacing w:before="0" w:beforeAutospacing="0" w:after="0" w:afterAutospacing="0"/>
        <w:rPr>
          <w:rFonts w:ascii="Arial" w:hAnsi="Arial" w:cs="Arial"/>
          <w:color w:val="1F1F1F"/>
        </w:rPr>
      </w:pPr>
      <w:r>
        <w:rPr>
          <w:rFonts w:ascii="Arial" w:hAnsi="Arial" w:cs="Arial" w:hint="cs"/>
          <w:b/>
          <w:bCs/>
          <w:color w:val="1F1F1F"/>
          <w:bdr w:val="none" w:sz="0" w:space="0" w:color="auto" w:frame="1"/>
        </w:rPr>
        <w:t>Antes de 1800</w:t>
      </w:r>
      <w:r>
        <w:rPr>
          <w:rFonts w:ascii="Arial" w:hAnsi="Arial" w:cs="Arial" w:hint="cs"/>
          <w:color w:val="1F1F1F"/>
        </w:rPr>
        <w:t xml:space="preserve">: Hay poquísimos puntos negros y todos tienen magnitudes artificialmente altas (superiores a 7.0 u 8.0). Esto </w:t>
      </w:r>
      <w:r>
        <w:rPr>
          <w:rFonts w:ascii="Arial" w:hAnsi="Arial" w:cs="Arial" w:hint="cs"/>
          <w:b/>
          <w:bCs/>
          <w:color w:val="1F1F1F"/>
          <w:bdr w:val="none" w:sz="0" w:space="0" w:color="auto" w:frame="1"/>
        </w:rPr>
        <w:t>no significa</w:t>
      </w:r>
      <w:r>
        <w:rPr>
          <w:rFonts w:ascii="Arial" w:hAnsi="Arial" w:cs="Arial" w:hint="cs"/>
          <w:color w:val="1F1F1F"/>
        </w:rPr>
        <w:t xml:space="preserve"> que en los siglos XV o XVI no hubiera sismos pequeños; significa que en esa época solo se registraban los </w:t>
      </w:r>
      <w:proofErr w:type="spellStart"/>
      <w:r>
        <w:rPr>
          <w:rFonts w:ascii="Arial" w:hAnsi="Arial" w:cs="Arial" w:hint="cs"/>
          <w:color w:val="1F1F1F"/>
        </w:rPr>
        <w:t>megaterremotos</w:t>
      </w:r>
      <w:proofErr w:type="spellEnd"/>
      <w:r>
        <w:rPr>
          <w:rFonts w:ascii="Arial" w:hAnsi="Arial" w:cs="Arial" w:hint="cs"/>
          <w:color w:val="1F1F1F"/>
        </w:rPr>
        <w:t xml:space="preserve"> destructivos mediante crónicas históricas.</w:t>
      </w:r>
    </w:p>
    <w:p w14:paraId="38198F3C" w14:textId="77777777" w:rsidR="00781800" w:rsidRDefault="00781800" w:rsidP="00781800">
      <w:pPr>
        <w:pStyle w:val="NormalWeb"/>
        <w:numPr>
          <w:ilvl w:val="0"/>
          <w:numId w:val="5"/>
        </w:numPr>
        <w:spacing w:before="0" w:beforeAutospacing="0" w:after="0" w:afterAutospacing="0"/>
        <w:rPr>
          <w:rFonts w:ascii="Arial" w:hAnsi="Arial" w:cs="Arial" w:hint="cs"/>
          <w:color w:val="1F1F1F"/>
        </w:rPr>
      </w:pPr>
      <w:r>
        <w:rPr>
          <w:rFonts w:ascii="Arial" w:hAnsi="Arial" w:cs="Arial" w:hint="cs"/>
          <w:b/>
          <w:bCs/>
          <w:color w:val="1F1F1F"/>
          <w:bdr w:val="none" w:sz="0" w:space="0" w:color="auto" w:frame="1"/>
        </w:rPr>
        <w:t>Después de 1900</w:t>
      </w:r>
      <w:r>
        <w:rPr>
          <w:rFonts w:ascii="Arial" w:hAnsi="Arial" w:cs="Arial" w:hint="cs"/>
          <w:color w:val="1F1F1F"/>
        </w:rPr>
        <w:t>: La densidad de puntos negros explota hacia el suelo del gráfico. Esto coincide con la invención del sismógrafo y la llegada de las redes sismológicas modernas, que permiten detectar miles de sismos de magnitud 3.0 o 4.0 que antes eran invisibles para el ser humano.</w:t>
      </w:r>
    </w:p>
    <w:p w14:paraId="4798CAA3" w14:textId="77777777" w:rsidR="00781800" w:rsidRDefault="00781800" w:rsidP="00781800">
      <w:pPr>
        <w:pStyle w:val="Ttulo3"/>
        <w:spacing w:before="0" w:after="0"/>
        <w:rPr>
          <w:rFonts w:ascii="Google Sans" w:hAnsi="Google Sans" w:cs="Arial" w:hint="cs"/>
          <w:color w:val="1F1F1F"/>
        </w:rPr>
      </w:pPr>
      <w:r>
        <w:rPr>
          <w:rFonts w:ascii="Google Sans" w:hAnsi="Google Sans" w:cs="Arial"/>
          <w:color w:val="1F1F1F"/>
        </w:rPr>
        <w:t>2. El Error de la Tendencia (La línea roja diagonal)</w:t>
      </w:r>
    </w:p>
    <w:p w14:paraId="4BA2A0E3" w14:textId="77777777" w:rsidR="00781800" w:rsidRDefault="00781800" w:rsidP="00781800">
      <w:pPr>
        <w:pStyle w:val="NormalWeb"/>
        <w:numPr>
          <w:ilvl w:val="0"/>
          <w:numId w:val="6"/>
        </w:numPr>
        <w:spacing w:before="0" w:beforeAutospacing="0" w:after="0" w:afterAutospacing="0"/>
        <w:rPr>
          <w:rFonts w:ascii="Arial" w:hAnsi="Arial" w:cs="Arial"/>
          <w:color w:val="1F1F1F"/>
        </w:rPr>
      </w:pPr>
      <w:r>
        <w:rPr>
          <w:rFonts w:ascii="Arial" w:hAnsi="Arial" w:cs="Arial" w:hint="cs"/>
          <w:color w:val="1F1F1F"/>
        </w:rPr>
        <w:t>Prophet es un modelo aditivo diseñado para detectar tendencias comerciales o climáticas, por lo que asume de forma ingenua que los datos son homogéneos.</w:t>
      </w:r>
    </w:p>
    <w:p w14:paraId="3902FDDB" w14:textId="77777777" w:rsidR="00781800" w:rsidRDefault="00781800" w:rsidP="00781800">
      <w:pPr>
        <w:pStyle w:val="NormalWeb"/>
        <w:numPr>
          <w:ilvl w:val="0"/>
          <w:numId w:val="6"/>
        </w:numPr>
        <w:spacing w:before="0" w:beforeAutospacing="0" w:after="0" w:afterAutospacing="0"/>
        <w:rPr>
          <w:rFonts w:ascii="Arial" w:hAnsi="Arial" w:cs="Arial" w:hint="cs"/>
          <w:color w:val="1F1F1F"/>
        </w:rPr>
      </w:pPr>
      <w:r>
        <w:rPr>
          <w:rFonts w:ascii="Arial" w:hAnsi="Arial" w:cs="Arial" w:hint="cs"/>
          <w:color w:val="1F1F1F"/>
        </w:rPr>
        <w:t xml:space="preserve">Al ver que en el año 1400 la magnitud "promedio" registrada era ~13 y en el 2023 es ~4, el modelo traza una línea recta descendente absurda. Sismológicamente, </w:t>
      </w:r>
      <w:r>
        <w:rPr>
          <w:rFonts w:ascii="Arial" w:hAnsi="Arial" w:cs="Arial" w:hint="cs"/>
          <w:b/>
          <w:bCs/>
          <w:color w:val="1F1F1F"/>
          <w:bdr w:val="none" w:sz="0" w:space="0" w:color="auto" w:frame="1"/>
        </w:rPr>
        <w:t>una magnitud de 13 es físicamente imposible en la Tierra</w:t>
      </w:r>
      <w:r>
        <w:rPr>
          <w:rFonts w:ascii="Arial" w:hAnsi="Arial" w:cs="Arial" w:hint="cs"/>
          <w:color w:val="1F1F1F"/>
        </w:rPr>
        <w:t xml:space="preserve"> (destruiría el planeta, ya que la escala es logarítmica). La línea roja está completamente distorsionada por culpa del sesgo de los datos históricos del inicio.</w:t>
      </w:r>
    </w:p>
    <w:p w14:paraId="42D188C9" w14:textId="77777777" w:rsidR="00781800" w:rsidRDefault="00781800" w:rsidP="00781800">
      <w:pPr>
        <w:pStyle w:val="Ttulo3"/>
        <w:spacing w:before="0" w:after="0"/>
        <w:rPr>
          <w:rFonts w:ascii="Google Sans" w:hAnsi="Google Sans" w:cs="Arial" w:hint="cs"/>
          <w:color w:val="1F1F1F"/>
        </w:rPr>
      </w:pPr>
      <w:r>
        <w:rPr>
          <w:rFonts w:ascii="Google Sans" w:hAnsi="Google Sans" w:cs="Arial"/>
          <w:color w:val="1F1F1F"/>
        </w:rPr>
        <w:t>3. La Anomalía de la Proyección (El colapso final)</w:t>
      </w:r>
    </w:p>
    <w:p w14:paraId="7B7952C5" w14:textId="77777777" w:rsidR="00781800" w:rsidRDefault="00781800" w:rsidP="00781800">
      <w:pPr>
        <w:pStyle w:val="NormalWeb"/>
        <w:numPr>
          <w:ilvl w:val="0"/>
          <w:numId w:val="7"/>
        </w:numPr>
        <w:spacing w:before="0" w:beforeAutospacing="0" w:after="0" w:afterAutospacing="0"/>
        <w:rPr>
          <w:rFonts w:ascii="Arial" w:hAnsi="Arial" w:cs="Arial"/>
          <w:color w:val="1F1F1F"/>
        </w:rPr>
      </w:pPr>
      <w:r>
        <w:rPr>
          <w:rFonts w:ascii="Arial" w:hAnsi="Arial" w:cs="Arial" w:hint="cs"/>
          <w:color w:val="1F1F1F"/>
        </w:rPr>
        <w:t xml:space="preserve">Mira lo que ocurre justo al cruzar la línea discontinua roja vertical (cerca de 2023). La tendencia (línea azul/roja) </w:t>
      </w:r>
      <w:r>
        <w:rPr>
          <w:rFonts w:ascii="Arial" w:hAnsi="Arial" w:cs="Arial" w:hint="cs"/>
          <w:b/>
          <w:bCs/>
          <w:color w:val="1F1F1F"/>
          <w:bdr w:val="none" w:sz="0" w:space="0" w:color="auto" w:frame="1"/>
        </w:rPr>
        <w:t>se desploma abruptamente hacia abajo</w:t>
      </w:r>
      <w:r>
        <w:rPr>
          <w:rFonts w:ascii="Arial" w:hAnsi="Arial" w:cs="Arial" w:hint="cs"/>
          <w:color w:val="1F1F1F"/>
        </w:rPr>
        <w:t>.</w:t>
      </w:r>
    </w:p>
    <w:p w14:paraId="786941E7" w14:textId="77777777" w:rsidR="00781800" w:rsidRDefault="00781800" w:rsidP="00781800">
      <w:pPr>
        <w:pStyle w:val="NormalWeb"/>
        <w:numPr>
          <w:ilvl w:val="0"/>
          <w:numId w:val="7"/>
        </w:numPr>
        <w:spacing w:before="0" w:beforeAutospacing="0" w:after="0" w:afterAutospacing="0"/>
        <w:rPr>
          <w:rFonts w:ascii="Arial" w:hAnsi="Arial" w:cs="Arial" w:hint="cs"/>
          <w:color w:val="1F1F1F"/>
        </w:rPr>
      </w:pPr>
      <w:r>
        <w:rPr>
          <w:rFonts w:ascii="Arial" w:hAnsi="Arial" w:cs="Arial" w:hint="cs"/>
          <w:color w:val="1F1F1F"/>
        </w:rPr>
        <w:t>Esto pasa porque al incluir los sismos instrumentales modernos (los miles de puntos negros concentrados abajo), el peso estadístico de esa enorme masa de datos recientes arrastra la curva con violencia hacia el rango de magnitud 3 y 4.</w:t>
      </w:r>
    </w:p>
    <w:p w14:paraId="79124229" w14:textId="77777777" w:rsidR="00781800" w:rsidRDefault="00781800" w:rsidP="00781800">
      <w:pPr>
        <w:pStyle w:val="Ttulo3"/>
        <w:spacing w:before="0" w:after="0"/>
        <w:rPr>
          <w:rFonts w:ascii="Google Sans" w:hAnsi="Google Sans" w:cs="Arial" w:hint="cs"/>
          <w:color w:val="1F1F1F"/>
        </w:rPr>
      </w:pPr>
      <w:r>
        <w:rPr>
          <w:rFonts w:ascii="Google Sans" w:hAnsi="Google Sans" w:cs="Arial"/>
          <w:color w:val="1F1F1F"/>
        </w:rPr>
        <w:t>4. La Banda de Incertidumbre Artificial (Zona Azul)</w:t>
      </w:r>
    </w:p>
    <w:p w14:paraId="4C8119DA" w14:textId="77777777" w:rsidR="00781800" w:rsidRDefault="00781800" w:rsidP="00781800">
      <w:pPr>
        <w:pStyle w:val="NormalWeb"/>
        <w:numPr>
          <w:ilvl w:val="0"/>
          <w:numId w:val="8"/>
        </w:numPr>
        <w:spacing w:before="0" w:beforeAutospacing="0" w:after="0" w:afterAutospacing="0"/>
        <w:rPr>
          <w:rFonts w:ascii="Arial" w:hAnsi="Arial" w:cs="Arial"/>
          <w:color w:val="1F1F1F"/>
        </w:rPr>
      </w:pPr>
      <w:r>
        <w:rPr>
          <w:rFonts w:ascii="Arial" w:hAnsi="Arial" w:cs="Arial" w:hint="cs"/>
          <w:color w:val="1F1F1F"/>
        </w:rPr>
        <w:t>La zona sombreada azul se mantiene absurdamente ancha en el pasado (abarcando desde magnitud 11 a 14) porque el modelo intenta procesar la escasez de datos primitivos con la misma varianza que los datos modernos. No tiene ningún sentido físico real en sismología.</w:t>
      </w:r>
    </w:p>
    <w:p w14:paraId="0FC99CE3" w14:textId="77777777" w:rsidR="00781800" w:rsidRDefault="00781800" w:rsidP="00781800">
      <w:pPr>
        <w:pStyle w:val="Ttulo3"/>
        <w:spacing w:before="0" w:after="0"/>
        <w:rPr>
          <w:rFonts w:ascii="Google Sans" w:hAnsi="Google Sans" w:cs="Arial" w:hint="cs"/>
          <w:color w:val="1F1F1F"/>
        </w:rPr>
      </w:pPr>
      <w:r>
        <w:rPr>
          <w:rFonts w:ascii="Google Sans" w:hAnsi="Google Sans" w:cs="Arial"/>
          <w:color w:val="1F1F1F"/>
        </w:rPr>
        <w:lastRenderedPageBreak/>
        <w:t>Diagnóstico Científico y Solución para tu Pipeline</w:t>
      </w:r>
    </w:p>
    <w:p w14:paraId="44945807" w14:textId="77777777" w:rsidR="00781800" w:rsidRDefault="00781800" w:rsidP="00781800">
      <w:pPr>
        <w:pStyle w:val="NormalWeb"/>
        <w:spacing w:before="0" w:beforeAutospacing="0" w:after="0" w:afterAutospacing="0"/>
        <w:rPr>
          <w:rFonts w:ascii="Arial" w:hAnsi="Arial" w:cs="Arial"/>
          <w:color w:val="1F1F1F"/>
        </w:rPr>
      </w:pPr>
      <w:r>
        <w:rPr>
          <w:rFonts w:ascii="Arial" w:hAnsi="Arial" w:cs="Arial" w:hint="cs"/>
          <w:color w:val="1F1F1F"/>
        </w:rPr>
        <w:t xml:space="preserve">Este gráfico es el ejemplo perfecto de por qué </w:t>
      </w:r>
      <w:r>
        <w:rPr>
          <w:rFonts w:ascii="Arial" w:hAnsi="Arial" w:cs="Arial" w:hint="cs"/>
          <w:b/>
          <w:bCs/>
          <w:color w:val="1F1F1F"/>
          <w:bdr w:val="none" w:sz="0" w:space="0" w:color="auto" w:frame="1"/>
        </w:rPr>
        <w:t>no se deben mezclar catálogos de sismos históricos con catálogos instrumentales modernos</w:t>
      </w:r>
      <w:r>
        <w:rPr>
          <w:rFonts w:ascii="Arial" w:hAnsi="Arial" w:cs="Arial" w:hint="cs"/>
          <w:color w:val="1F1F1F"/>
        </w:rPr>
        <w:t xml:space="preserve"> en un modelo de series de tiempo crudo.</w:t>
      </w:r>
    </w:p>
    <w:p w14:paraId="0A01DACA" w14:textId="77777777" w:rsidR="00781800" w:rsidRDefault="00781800" w:rsidP="00781800">
      <w:pPr>
        <w:pStyle w:val="NormalWeb"/>
        <w:spacing w:before="0" w:beforeAutospacing="0" w:after="0" w:afterAutospacing="0"/>
        <w:rPr>
          <w:rFonts w:ascii="Arial" w:hAnsi="Arial" w:cs="Arial" w:hint="cs"/>
          <w:color w:val="1F1F1F"/>
        </w:rPr>
      </w:pPr>
      <w:r>
        <w:rPr>
          <w:rFonts w:ascii="Arial" w:hAnsi="Arial" w:cs="Arial" w:hint="cs"/>
          <w:color w:val="1F1F1F"/>
        </w:rPr>
        <w:t xml:space="preserve">Para corregir tu pipeline y obtener un análisis predictivo con valor científico real, debes aplicar un </w:t>
      </w:r>
      <w:r>
        <w:rPr>
          <w:rFonts w:ascii="Arial" w:hAnsi="Arial" w:cs="Arial" w:hint="cs"/>
          <w:b/>
          <w:bCs/>
          <w:color w:val="1F1F1F"/>
          <w:bdr w:val="none" w:sz="0" w:space="0" w:color="auto" w:frame="1"/>
        </w:rPr>
        <w:t>umbral de completitud</w:t>
      </w:r>
      <w:r>
        <w:rPr>
          <w:rFonts w:ascii="Arial" w:hAnsi="Arial" w:cs="Arial" w:hint="cs"/>
          <w:color w:val="1F1F1F"/>
        </w:rPr>
        <w:t>:</w:t>
      </w:r>
    </w:p>
    <w:p w14:paraId="04332D7C" w14:textId="77777777" w:rsidR="00781800" w:rsidRDefault="00781800" w:rsidP="00781800">
      <w:pPr>
        <w:pStyle w:val="NormalWeb"/>
        <w:numPr>
          <w:ilvl w:val="0"/>
          <w:numId w:val="9"/>
        </w:numPr>
        <w:spacing w:before="0" w:beforeAutospacing="0" w:after="0" w:afterAutospacing="0"/>
        <w:rPr>
          <w:rFonts w:ascii="Arial" w:hAnsi="Arial" w:cs="Arial" w:hint="cs"/>
          <w:color w:val="1F1F1F"/>
        </w:rPr>
      </w:pPr>
      <w:r>
        <w:rPr>
          <w:rFonts w:ascii="Arial" w:hAnsi="Arial" w:cs="Arial" w:hint="cs"/>
          <w:b/>
          <w:bCs/>
          <w:color w:val="1F1F1F"/>
          <w:bdr w:val="none" w:sz="0" w:space="0" w:color="auto" w:frame="1"/>
        </w:rPr>
        <w:t xml:space="preserve">Filtra tu </w:t>
      </w:r>
      <w:proofErr w:type="spellStart"/>
      <w:r>
        <w:rPr>
          <w:rFonts w:ascii="Arial" w:hAnsi="Arial" w:cs="Arial" w:hint="cs"/>
          <w:b/>
          <w:bCs/>
          <w:color w:val="1F1F1F"/>
          <w:bdr w:val="none" w:sz="0" w:space="0" w:color="auto" w:frame="1"/>
        </w:rPr>
        <w:t>DataFrame</w:t>
      </w:r>
      <w:proofErr w:type="spellEnd"/>
      <w:r>
        <w:rPr>
          <w:rFonts w:ascii="Arial" w:hAnsi="Arial" w:cs="Arial" w:hint="cs"/>
          <w:color w:val="1F1F1F"/>
        </w:rPr>
        <w:t xml:space="preserve">: Corta el </w:t>
      </w:r>
      <w:proofErr w:type="spellStart"/>
      <w:r>
        <w:rPr>
          <w:rFonts w:ascii="Arial" w:hAnsi="Arial" w:cs="Arial" w:hint="cs"/>
          <w:color w:val="1F1F1F"/>
        </w:rPr>
        <w:t>dataset</w:t>
      </w:r>
      <w:proofErr w:type="spellEnd"/>
      <w:r>
        <w:rPr>
          <w:rFonts w:ascii="Arial" w:hAnsi="Arial" w:cs="Arial" w:hint="cs"/>
          <w:color w:val="1F1F1F"/>
        </w:rPr>
        <w:t xml:space="preserve"> para quedarte únicamente con los datos a partir de un año donde la red sismológica ya fuera madura y homogénea (por ejemplo, desde </w:t>
      </w:r>
      <w:r>
        <w:rPr>
          <w:rFonts w:ascii="Arial" w:hAnsi="Arial" w:cs="Arial" w:hint="cs"/>
          <w:b/>
          <w:bCs/>
          <w:color w:val="1F1F1F"/>
          <w:bdr w:val="none" w:sz="0" w:space="0" w:color="auto" w:frame="1"/>
        </w:rPr>
        <w:t>1960</w:t>
      </w:r>
      <w:r>
        <w:rPr>
          <w:rFonts w:ascii="Arial" w:hAnsi="Arial" w:cs="Arial" w:hint="cs"/>
          <w:color w:val="1F1F1F"/>
        </w:rPr>
        <w:t xml:space="preserve"> o </w:t>
      </w:r>
      <w:r>
        <w:rPr>
          <w:rFonts w:ascii="Arial" w:hAnsi="Arial" w:cs="Arial" w:hint="cs"/>
          <w:b/>
          <w:bCs/>
          <w:color w:val="1F1F1F"/>
          <w:bdr w:val="none" w:sz="0" w:space="0" w:color="auto" w:frame="1"/>
        </w:rPr>
        <w:t>2000</w:t>
      </w:r>
      <w:r>
        <w:rPr>
          <w:rFonts w:ascii="Arial" w:hAnsi="Arial" w:cs="Arial" w:hint="cs"/>
          <w:color w:val="1F1F1F"/>
        </w:rPr>
        <w:t xml:space="preserve"> en adelante).</w:t>
      </w:r>
    </w:p>
    <w:p w14:paraId="3A64A711" w14:textId="77777777" w:rsidR="00781800" w:rsidRDefault="00781800" w:rsidP="00781800">
      <w:pPr>
        <w:pStyle w:val="NormalWeb"/>
        <w:numPr>
          <w:ilvl w:val="0"/>
          <w:numId w:val="9"/>
        </w:numPr>
        <w:spacing w:before="0" w:beforeAutospacing="0" w:after="0" w:afterAutospacing="0"/>
        <w:rPr>
          <w:rFonts w:ascii="Arial" w:hAnsi="Arial" w:cs="Arial" w:hint="cs"/>
          <w:color w:val="1F1F1F"/>
        </w:rPr>
      </w:pPr>
      <w:r>
        <w:rPr>
          <w:rFonts w:ascii="Arial" w:hAnsi="Arial" w:cs="Arial" w:hint="cs"/>
          <w:color w:val="1F1F1F"/>
        </w:rPr>
        <w:t xml:space="preserve">Si </w:t>
      </w:r>
      <w:proofErr w:type="spellStart"/>
      <w:r>
        <w:rPr>
          <w:rFonts w:ascii="Arial" w:hAnsi="Arial" w:cs="Arial" w:hint="cs"/>
          <w:color w:val="1F1F1F"/>
        </w:rPr>
        <w:t>restricts</w:t>
      </w:r>
      <w:proofErr w:type="spellEnd"/>
      <w:r>
        <w:rPr>
          <w:rFonts w:ascii="Arial" w:hAnsi="Arial" w:cs="Arial" w:hint="cs"/>
          <w:color w:val="1F1F1F"/>
        </w:rPr>
        <w:t xml:space="preserve"> el análisis a los últimos 20 o 30 años, eliminarás el sesgo de los siglos pasados, la tendencia se estabilizará en el promedio real de la región (</w:t>
      </w:r>
      <w:r>
        <w:rPr>
          <w:rStyle w:val="math-inline"/>
          <w:rFonts w:ascii="Arial" w:hAnsi="Arial" w:cs="Arial" w:hint="cs"/>
          <w:color w:val="1F1F1F"/>
          <w:bdr w:val="none" w:sz="0" w:space="0" w:color="auto" w:frame="1"/>
        </w:rPr>
        <w:t>$\</w:t>
      </w:r>
      <w:proofErr w:type="spellStart"/>
      <w:r>
        <w:rPr>
          <w:rStyle w:val="math-inline"/>
          <w:rFonts w:ascii="Arial" w:hAnsi="Arial" w:cs="Arial" w:hint="cs"/>
          <w:color w:val="1F1F1F"/>
          <w:bdr w:val="none" w:sz="0" w:space="0" w:color="auto" w:frame="1"/>
        </w:rPr>
        <w:t>approx</w:t>
      </w:r>
      <w:proofErr w:type="spellEnd"/>
      <w:r>
        <w:rPr>
          <w:rStyle w:val="math-inline"/>
          <w:rFonts w:ascii="Arial" w:hAnsi="Arial" w:cs="Arial" w:hint="cs"/>
          <w:color w:val="1F1F1F"/>
          <w:bdr w:val="none" w:sz="0" w:space="0" w:color="auto" w:frame="1"/>
        </w:rPr>
        <w:t xml:space="preserve"> 4.5$</w:t>
      </w:r>
      <w:r>
        <w:rPr>
          <w:rFonts w:ascii="Arial" w:hAnsi="Arial" w:cs="Arial" w:hint="cs"/>
          <w:color w:val="1F1F1F"/>
        </w:rPr>
        <w:t>), y la proyección de 6 meses de Prophet tendrá sentido matemático.</w:t>
      </w:r>
    </w:p>
    <w:p w14:paraId="07754432" w14:textId="77777777" w:rsidR="00781800" w:rsidRPr="00781800" w:rsidRDefault="00781800" w:rsidP="00781800">
      <w:pPr>
        <w:rPr>
          <w:lang w:val="es-ES_tradnl"/>
        </w:rPr>
      </w:pPr>
    </w:p>
    <w:p w14:paraId="04723B19" w14:textId="77777777" w:rsidR="00781800" w:rsidRPr="00781800" w:rsidRDefault="00781800" w:rsidP="00781800">
      <w:pPr>
        <w:rPr>
          <w:lang w:val="es-ES_tradnl"/>
        </w:rPr>
      </w:pPr>
    </w:p>
    <w:sectPr w:rsidR="00781800" w:rsidRPr="007818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1"/>
    <w:family w:val="swiss"/>
    <w:pitch w:val="variable"/>
    <w:sig w:usb0="E0002AFF" w:usb1="C0007843" w:usb2="00000009" w:usb3="00000000" w:csb0="000001FF" w:csb1="00000000"/>
  </w:font>
  <w:font w:name="Google Sans">
    <w:altName w:val="Calibri"/>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D5318"/>
    <w:multiLevelType w:val="multilevel"/>
    <w:tmpl w:val="20D6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74154"/>
    <w:multiLevelType w:val="multilevel"/>
    <w:tmpl w:val="01E0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90F71"/>
    <w:multiLevelType w:val="multilevel"/>
    <w:tmpl w:val="1FE4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921CF0"/>
    <w:multiLevelType w:val="multilevel"/>
    <w:tmpl w:val="BCD4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DA61F7"/>
    <w:multiLevelType w:val="multilevel"/>
    <w:tmpl w:val="2522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6669F8"/>
    <w:multiLevelType w:val="multilevel"/>
    <w:tmpl w:val="29A0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BD7366"/>
    <w:multiLevelType w:val="multilevel"/>
    <w:tmpl w:val="9D2A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3C34B0"/>
    <w:multiLevelType w:val="multilevel"/>
    <w:tmpl w:val="234EC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9670B7"/>
    <w:multiLevelType w:val="multilevel"/>
    <w:tmpl w:val="BA92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660312">
    <w:abstractNumId w:val="1"/>
  </w:num>
  <w:num w:numId="2" w16cid:durableId="2100758939">
    <w:abstractNumId w:val="5"/>
  </w:num>
  <w:num w:numId="3" w16cid:durableId="1056927034">
    <w:abstractNumId w:val="4"/>
  </w:num>
  <w:num w:numId="4" w16cid:durableId="2137095286">
    <w:abstractNumId w:val="2"/>
  </w:num>
  <w:num w:numId="5" w16cid:durableId="1009790227">
    <w:abstractNumId w:val="0"/>
  </w:num>
  <w:num w:numId="6" w16cid:durableId="653947679">
    <w:abstractNumId w:val="8"/>
  </w:num>
  <w:num w:numId="7" w16cid:durableId="1376389105">
    <w:abstractNumId w:val="3"/>
  </w:num>
  <w:num w:numId="8" w16cid:durableId="929971243">
    <w:abstractNumId w:val="6"/>
  </w:num>
  <w:num w:numId="9" w16cid:durableId="3082905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800"/>
    <w:rsid w:val="000A564B"/>
    <w:rsid w:val="00435041"/>
    <w:rsid w:val="00632FC8"/>
    <w:rsid w:val="006F0EAA"/>
    <w:rsid w:val="00781800"/>
    <w:rsid w:val="00982B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730D2152"/>
  <w15:chartTrackingRefBased/>
  <w15:docId w15:val="{86478442-B633-2144-8A40-6D5743F93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1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1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818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18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18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18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18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18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18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18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18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818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18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18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18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18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18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1800"/>
    <w:rPr>
      <w:rFonts w:eastAsiaTheme="majorEastAsia" w:cstheme="majorBidi"/>
      <w:color w:val="272727" w:themeColor="text1" w:themeTint="D8"/>
    </w:rPr>
  </w:style>
  <w:style w:type="paragraph" w:styleId="Ttulo">
    <w:name w:val="Title"/>
    <w:basedOn w:val="Normal"/>
    <w:next w:val="Normal"/>
    <w:link w:val="TtuloCar"/>
    <w:uiPriority w:val="10"/>
    <w:qFormat/>
    <w:rsid w:val="00781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18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18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18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1800"/>
    <w:pPr>
      <w:spacing w:before="160"/>
      <w:jc w:val="center"/>
    </w:pPr>
    <w:rPr>
      <w:i/>
      <w:iCs/>
      <w:color w:val="404040" w:themeColor="text1" w:themeTint="BF"/>
    </w:rPr>
  </w:style>
  <w:style w:type="character" w:customStyle="1" w:styleId="CitaCar">
    <w:name w:val="Cita Car"/>
    <w:basedOn w:val="Fuentedeprrafopredeter"/>
    <w:link w:val="Cita"/>
    <w:uiPriority w:val="29"/>
    <w:rsid w:val="00781800"/>
    <w:rPr>
      <w:i/>
      <w:iCs/>
      <w:color w:val="404040" w:themeColor="text1" w:themeTint="BF"/>
    </w:rPr>
  </w:style>
  <w:style w:type="paragraph" w:styleId="Prrafodelista">
    <w:name w:val="List Paragraph"/>
    <w:basedOn w:val="Normal"/>
    <w:uiPriority w:val="34"/>
    <w:qFormat/>
    <w:rsid w:val="00781800"/>
    <w:pPr>
      <w:ind w:left="720"/>
      <w:contextualSpacing/>
    </w:pPr>
  </w:style>
  <w:style w:type="character" w:styleId="nfasisintenso">
    <w:name w:val="Intense Emphasis"/>
    <w:basedOn w:val="Fuentedeprrafopredeter"/>
    <w:uiPriority w:val="21"/>
    <w:qFormat/>
    <w:rsid w:val="00781800"/>
    <w:rPr>
      <w:i/>
      <w:iCs/>
      <w:color w:val="0F4761" w:themeColor="accent1" w:themeShade="BF"/>
    </w:rPr>
  </w:style>
  <w:style w:type="paragraph" w:styleId="Citadestacada">
    <w:name w:val="Intense Quote"/>
    <w:basedOn w:val="Normal"/>
    <w:next w:val="Normal"/>
    <w:link w:val="CitadestacadaCar"/>
    <w:uiPriority w:val="30"/>
    <w:qFormat/>
    <w:rsid w:val="00781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1800"/>
    <w:rPr>
      <w:i/>
      <w:iCs/>
      <w:color w:val="0F4761" w:themeColor="accent1" w:themeShade="BF"/>
    </w:rPr>
  </w:style>
  <w:style w:type="character" w:styleId="Referenciaintensa">
    <w:name w:val="Intense Reference"/>
    <w:basedOn w:val="Fuentedeprrafopredeter"/>
    <w:uiPriority w:val="32"/>
    <w:qFormat/>
    <w:rsid w:val="00781800"/>
    <w:rPr>
      <w:b/>
      <w:bCs/>
      <w:smallCaps/>
      <w:color w:val="0F4761" w:themeColor="accent1" w:themeShade="BF"/>
      <w:spacing w:val="5"/>
    </w:rPr>
  </w:style>
  <w:style w:type="paragraph" w:styleId="NormalWeb">
    <w:name w:val="Normal (Web)"/>
    <w:basedOn w:val="Normal"/>
    <w:uiPriority w:val="99"/>
    <w:semiHidden/>
    <w:unhideWhenUsed/>
    <w:rsid w:val="00781800"/>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math-inline">
    <w:name w:val="math-inline"/>
    <w:basedOn w:val="Fuentedeprrafopredeter"/>
    <w:rsid w:val="007818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925</Words>
  <Characters>5089</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Jacinto Alexander Acosta Zambrano</dc:creator>
  <cp:keywords/>
  <dc:description/>
  <cp:lastModifiedBy>Jacinto Alexander Acosta Zambrano</cp:lastModifiedBy>
  <cp:revision>1</cp:revision>
  <dcterms:created xsi:type="dcterms:W3CDTF">2026-06-08T21:02:00Z</dcterms:created>
  <dcterms:modified xsi:type="dcterms:W3CDTF">2026-06-08T21:13:00Z</dcterms:modified>
</cp:coreProperties>
</file>