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БелорусскиЙ государственный университет</w:t>
      </w: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информатики и радиоэлектроники</w:t>
      </w: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инженерно-экономический</w:t>
      </w: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экономической информатики </w:t>
      </w: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Дисциплина «Системы и технологии интеллектуальной обработки данных»</w:t>
      </w: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ОТЧЁТ</w:t>
      </w: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C0C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Применение инструментов Data Mining</w:t>
      </w:r>
    </w:p>
    <w:p w:rsidR="00C73C0C" w:rsidRPr="003A1399" w:rsidRDefault="00C73C0C" w:rsidP="00C73C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8" w:type="dxa"/>
        <w:tblInd w:w="-411" w:type="dxa"/>
        <w:tblLayout w:type="fixed"/>
        <w:tblLook w:val="0000" w:firstRow="0" w:lastRow="0" w:firstColumn="0" w:lastColumn="0" w:noHBand="0" w:noVBand="0"/>
      </w:tblPr>
      <w:tblGrid>
        <w:gridCol w:w="4513"/>
        <w:gridCol w:w="2407"/>
        <w:gridCol w:w="3008"/>
      </w:tblGrid>
      <w:tr w:rsidR="00C73C0C" w:rsidRPr="003A1399" w:rsidTr="00F07EE7">
        <w:trPr>
          <w:trHeight w:val="420"/>
        </w:trPr>
        <w:tc>
          <w:tcPr>
            <w:tcW w:w="4513" w:type="dxa"/>
          </w:tcPr>
          <w:p w:rsidR="00C73C0C" w:rsidRPr="003A1399" w:rsidRDefault="00C73C0C" w:rsidP="00F0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</w:t>
            </w:r>
          </w:p>
        </w:tc>
        <w:tc>
          <w:tcPr>
            <w:tcW w:w="2407" w:type="dxa"/>
            <w:vAlign w:val="center"/>
          </w:tcPr>
          <w:p w:rsidR="00C73C0C" w:rsidRPr="003A1399" w:rsidRDefault="00C73C0C" w:rsidP="00F0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C73C0C" w:rsidRPr="003A1399" w:rsidRDefault="00C73C0C" w:rsidP="00F07EE7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772303</w:t>
            </w:r>
          </w:p>
          <w:p w:rsidR="00C73C0C" w:rsidRPr="003A1399" w:rsidRDefault="00C73C0C" w:rsidP="00F07EE7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Чернецева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Е.Г.</w:t>
            </w:r>
          </w:p>
          <w:p w:rsidR="00C73C0C" w:rsidRPr="003A1399" w:rsidRDefault="00C73C0C" w:rsidP="00F07EE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73C0C" w:rsidRPr="003A1399" w:rsidTr="00F07EE7">
        <w:trPr>
          <w:trHeight w:val="420"/>
        </w:trPr>
        <w:tc>
          <w:tcPr>
            <w:tcW w:w="4513" w:type="dxa"/>
            <w:vAlign w:val="center"/>
          </w:tcPr>
          <w:p w:rsidR="00C73C0C" w:rsidRPr="003A1399" w:rsidRDefault="00C73C0C" w:rsidP="00F0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07" w:type="dxa"/>
            <w:vAlign w:val="center"/>
          </w:tcPr>
          <w:p w:rsidR="00C73C0C" w:rsidRPr="003A1399" w:rsidRDefault="00C73C0C" w:rsidP="00F07EE7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C73C0C" w:rsidRPr="003A1399" w:rsidRDefault="00C73C0C" w:rsidP="00F07EE7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73C0C" w:rsidRPr="003A1399" w:rsidRDefault="00C73C0C" w:rsidP="00F07EE7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:rsidR="00C73C0C" w:rsidRPr="003A1399" w:rsidRDefault="00C73C0C" w:rsidP="00C73C0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Pr="003A1399" w:rsidRDefault="00C73C0C" w:rsidP="00C73C0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C5D" w:rsidRPr="003A1399" w:rsidRDefault="00197C5D" w:rsidP="00C73C0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C0C" w:rsidRDefault="00C73C0C" w:rsidP="00C7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</w:p>
    <w:p w:rsidR="00F00D31" w:rsidRDefault="00F00D31" w:rsidP="00F00D31">
      <w:pPr>
        <w:pStyle w:val="western"/>
        <w:spacing w:before="0" w:beforeAutospacing="0" w:after="0" w:afterAutospacing="0" w:line="240" w:lineRule="atLeast"/>
        <w:ind w:firstLine="706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lastRenderedPageBreak/>
        <w:t>Задание:</w:t>
      </w:r>
    </w:p>
    <w:p w:rsidR="00F00D31" w:rsidRDefault="00F00D31" w:rsidP="00F00D31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</w:p>
    <w:p w:rsidR="00F00D31" w:rsidRDefault="00F00D31" w:rsidP="00F00D31">
      <w:pPr>
        <w:pStyle w:val="western"/>
        <w:spacing w:before="0" w:beforeAutospacing="0" w:after="0" w:afterAutospacing="0" w:line="240" w:lineRule="atLeast"/>
        <w:ind w:firstLine="70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соответствии с индивидуальн</w:t>
      </w:r>
      <w:r>
        <w:rPr>
          <w:color w:val="000000"/>
          <w:sz w:val="27"/>
          <w:szCs w:val="27"/>
        </w:rPr>
        <w:t>ым вариантом задания построить 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>одель линейной регрессии</w:t>
      </w:r>
      <w:r>
        <w:rPr>
          <w:color w:val="000000"/>
          <w:sz w:val="27"/>
          <w:szCs w:val="27"/>
        </w:rPr>
        <w:t xml:space="preserve"> и выполнить её оценку</w:t>
      </w:r>
      <w:r>
        <w:rPr>
          <w:color w:val="000000"/>
          <w:sz w:val="27"/>
          <w:szCs w:val="27"/>
        </w:rPr>
        <w:t>.</w:t>
      </w:r>
    </w:p>
    <w:p w:rsidR="00F00D31" w:rsidRDefault="00F00D31" w:rsidP="00F00D31">
      <w:pPr>
        <w:pStyle w:val="western"/>
        <w:spacing w:before="0" w:beforeAutospacing="0" w:after="0" w:afterAutospacing="0" w:line="240" w:lineRule="atLeast"/>
        <w:ind w:firstLine="706"/>
        <w:jc w:val="both"/>
        <w:rPr>
          <w:color w:val="000000"/>
          <w:sz w:val="27"/>
          <w:szCs w:val="27"/>
        </w:rPr>
      </w:pPr>
    </w:p>
    <w:p w:rsidR="00F00D31" w:rsidRPr="00F00D31" w:rsidRDefault="00F00D31" w:rsidP="00F00D31">
      <w:pPr>
        <w:pStyle w:val="western"/>
        <w:spacing w:before="0" w:beforeAutospacing="0" w:after="0" w:afterAutospacing="0" w:line="240" w:lineRule="atLeast"/>
        <w:ind w:firstLine="706"/>
        <w:jc w:val="both"/>
        <w:rPr>
          <w:i/>
          <w:color w:val="000000"/>
          <w:sz w:val="27"/>
          <w:szCs w:val="27"/>
        </w:rPr>
      </w:pPr>
      <w:r w:rsidRPr="00F00D31">
        <w:rPr>
          <w:i/>
          <w:color w:val="000000"/>
          <w:sz w:val="27"/>
          <w:szCs w:val="27"/>
        </w:rPr>
        <w:t>Ход выполнения:</w:t>
      </w:r>
    </w:p>
    <w:p w:rsidR="00F00D31" w:rsidRDefault="00F00D31" w:rsidP="00F00D31">
      <w:pPr>
        <w:pStyle w:val="western"/>
        <w:spacing w:before="0" w:beforeAutospacing="0" w:after="0" w:afterAutospacing="0" w:line="240" w:lineRule="atLeast"/>
        <w:ind w:firstLine="706"/>
        <w:jc w:val="both"/>
        <w:rPr>
          <w:color w:val="000000"/>
          <w:sz w:val="27"/>
          <w:szCs w:val="27"/>
        </w:rPr>
      </w:pPr>
    </w:p>
    <w:p w:rsidR="00F00D31" w:rsidRPr="00F00D31" w:rsidRDefault="00F00D31" w:rsidP="00F00D31">
      <w:pPr>
        <w:pStyle w:val="western"/>
        <w:numPr>
          <w:ilvl w:val="0"/>
          <w:numId w:val="1"/>
        </w:numPr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Указываем данные и построим точечный график</w:t>
      </w:r>
    </w:p>
    <w:p w:rsidR="00F00D31" w:rsidRDefault="00F00D31" w:rsidP="00F00D31">
      <w:pPr>
        <w:jc w:val="center"/>
      </w:pPr>
      <w:r>
        <w:rPr>
          <w:noProof/>
        </w:rPr>
        <w:drawing>
          <wp:inline distT="0" distB="0" distL="0" distR="0">
            <wp:extent cx="4732020" cy="525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31" w:rsidRPr="00F00D31" w:rsidRDefault="00F00D31" w:rsidP="00F00D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00D31">
        <w:rPr>
          <w:rFonts w:ascii="Times New Roman" w:hAnsi="Times New Roman" w:cs="Times New Roman"/>
          <w:sz w:val="28"/>
        </w:rPr>
        <w:t>Находим корреляцию между годом и средней процентной ставкой, регрессию наименьших квадратов</w:t>
      </w:r>
    </w:p>
    <w:p w:rsidR="00F00D31" w:rsidRDefault="00F00D31" w:rsidP="00F00D31">
      <w:pPr>
        <w:jc w:val="center"/>
      </w:pPr>
      <w:r>
        <w:rPr>
          <w:noProof/>
        </w:rPr>
        <w:drawing>
          <wp:inline distT="0" distB="0" distL="0" distR="0">
            <wp:extent cx="4251960" cy="236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31" w:rsidRPr="00DA03E5" w:rsidRDefault="00F00D31" w:rsidP="00DA03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sz w:val="28"/>
        </w:rPr>
        <w:t xml:space="preserve">Выводим </w:t>
      </w:r>
      <w:r w:rsidR="00DA03E5" w:rsidRPr="00DA03E5">
        <w:rPr>
          <w:rFonts w:ascii="Times New Roman" w:hAnsi="Times New Roman" w:cs="Times New Roman"/>
          <w:sz w:val="28"/>
        </w:rPr>
        <w:t xml:space="preserve">переменные коэффициенты в </w:t>
      </w:r>
      <w:r w:rsidR="00DA03E5" w:rsidRPr="00DA03E5">
        <w:rPr>
          <w:rFonts w:ascii="Times New Roman" w:hAnsi="Times New Roman" w:cs="Times New Roman"/>
          <w:sz w:val="28"/>
          <w:lang w:val="en-US"/>
        </w:rPr>
        <w:t>fit</w:t>
      </w:r>
      <w:r w:rsidR="00DA03E5" w:rsidRPr="00DA03E5">
        <w:rPr>
          <w:rFonts w:ascii="Times New Roman" w:hAnsi="Times New Roman" w:cs="Times New Roman"/>
          <w:sz w:val="28"/>
        </w:rPr>
        <w:t>, а именно y-</w:t>
      </w:r>
      <w:proofErr w:type="spellStart"/>
      <w:r w:rsidR="00DA03E5" w:rsidRPr="00DA03E5">
        <w:rPr>
          <w:rFonts w:ascii="Times New Roman" w:hAnsi="Times New Roman" w:cs="Times New Roman"/>
          <w:sz w:val="28"/>
        </w:rPr>
        <w:t>intercept</w:t>
      </w:r>
      <w:proofErr w:type="spellEnd"/>
      <w:r w:rsidR="00DA03E5" w:rsidRPr="00DA03E5">
        <w:rPr>
          <w:rFonts w:ascii="Times New Roman" w:hAnsi="Times New Roman" w:cs="Times New Roman"/>
          <w:sz w:val="28"/>
        </w:rPr>
        <w:t xml:space="preserve"> и </w:t>
      </w:r>
      <w:proofErr w:type="spellStart"/>
      <w:proofErr w:type="gramStart"/>
      <w:r w:rsidR="00DA03E5" w:rsidRPr="00DA03E5">
        <w:rPr>
          <w:rFonts w:ascii="Times New Roman" w:hAnsi="Times New Roman" w:cs="Times New Roman"/>
          <w:sz w:val="28"/>
        </w:rPr>
        <w:t>slope</w:t>
      </w:r>
      <w:proofErr w:type="spellEnd"/>
      <w:r w:rsidR="00DA03E5" w:rsidRPr="00DA03E5">
        <w:rPr>
          <w:rFonts w:ascii="Times New Roman" w:hAnsi="Times New Roman" w:cs="Times New Roman"/>
          <w:sz w:val="28"/>
        </w:rPr>
        <w:t xml:space="preserve">  через</w:t>
      </w:r>
      <w:proofErr w:type="gramEnd"/>
      <w:r w:rsidR="00DA03E5" w:rsidRPr="00DA03E5">
        <w:rPr>
          <w:rFonts w:ascii="Times New Roman" w:hAnsi="Times New Roman" w:cs="Times New Roman"/>
          <w:sz w:val="28"/>
        </w:rPr>
        <w:t xml:space="preserve"> доступ к этой части переменной.</w:t>
      </w:r>
    </w:p>
    <w:p w:rsidR="00DA03E5" w:rsidRPr="00DA03E5" w:rsidRDefault="00DA03E5" w:rsidP="00F00D31">
      <w:pPr>
        <w:jc w:val="center"/>
        <w:rPr>
          <w:rFonts w:ascii="Times New Roman" w:hAnsi="Times New Roman" w:cs="Times New Roman"/>
          <w:noProof/>
          <w:sz w:val="28"/>
        </w:rPr>
      </w:pPr>
    </w:p>
    <w:p w:rsidR="00DA03E5" w:rsidRPr="00DA03E5" w:rsidRDefault="00F00D31" w:rsidP="00F00D31">
      <w:pPr>
        <w:jc w:val="center"/>
        <w:rPr>
          <w:rFonts w:ascii="Times New Roman" w:hAnsi="Times New Roman" w:cs="Times New Roman"/>
          <w:noProof/>
          <w:sz w:val="28"/>
        </w:rPr>
      </w:pPr>
      <w:r w:rsidRPr="00DA03E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614E1FB" wp14:editId="4A2E3C7D">
            <wp:extent cx="2065020" cy="1211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E5" w:rsidRPr="00DA03E5" w:rsidRDefault="00DA03E5" w:rsidP="00DA03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 w:rsidRPr="00DA03E5">
        <w:rPr>
          <w:rFonts w:ascii="Times New Roman" w:hAnsi="Times New Roman" w:cs="Times New Roman"/>
          <w:noProof/>
          <w:sz w:val="28"/>
        </w:rPr>
        <w:t>Получение оценки процентной ставки в 2025 году с помощью формулы для линии</w:t>
      </w:r>
    </w:p>
    <w:p w:rsidR="00DA03E5" w:rsidRPr="00DA03E5" w:rsidRDefault="00F00D31" w:rsidP="00F00D31">
      <w:pPr>
        <w:jc w:val="center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D36D3C" wp14:editId="4C12913B">
            <wp:extent cx="3352800" cy="243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E5" w:rsidRPr="00DA03E5" w:rsidRDefault="00DA03E5" w:rsidP="00DA03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sz w:val="28"/>
        </w:rPr>
        <w:t>Используем формулу для вычисления остатков и построим их</w:t>
      </w:r>
    </w:p>
    <w:p w:rsidR="00DA03E5" w:rsidRPr="00DA03E5" w:rsidRDefault="00F00D31" w:rsidP="00F00D31">
      <w:pPr>
        <w:jc w:val="center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37CD4C" wp14:editId="2FCB8C31">
            <wp:extent cx="4320540" cy="495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569D6" wp14:editId="6C59F17C">
            <wp:extent cx="4061460" cy="2240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E5" w:rsidRPr="00DA03E5" w:rsidRDefault="00DA03E5" w:rsidP="00DA03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sz w:val="28"/>
        </w:rPr>
        <w:t>Два других способа получить остатки и построить их:</w:t>
      </w:r>
    </w:p>
    <w:p w:rsidR="00DA03E5" w:rsidRPr="00DA03E5" w:rsidRDefault="00F00D31" w:rsidP="00F00D31">
      <w:pPr>
        <w:jc w:val="center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8222BB" wp14:editId="397B2192">
            <wp:extent cx="4526280" cy="868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C3BC60" wp14:editId="471E7CA7">
            <wp:extent cx="4076700" cy="2148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E5" w:rsidRPr="00DA03E5" w:rsidRDefault="00DA03E5" w:rsidP="00DA03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sz w:val="28"/>
        </w:rPr>
        <w:lastRenderedPageBreak/>
        <w:t>Построение графика линии регрессии на том же участке, что и наш точечный график</w:t>
      </w:r>
    </w:p>
    <w:p w:rsidR="00DA03E5" w:rsidRPr="00DA03E5" w:rsidRDefault="00DA03E5" w:rsidP="00F00D31">
      <w:pPr>
        <w:jc w:val="center"/>
        <w:rPr>
          <w:rFonts w:ascii="Times New Roman" w:hAnsi="Times New Roman" w:cs="Times New Roman"/>
          <w:sz w:val="28"/>
        </w:rPr>
      </w:pPr>
    </w:p>
    <w:p w:rsidR="00DA03E5" w:rsidRPr="00DA03E5" w:rsidRDefault="00F00D31" w:rsidP="00F00D31">
      <w:pPr>
        <w:jc w:val="center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A0DAF8" wp14:editId="70FD6728">
            <wp:extent cx="3878580" cy="495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6B6E87" wp14:editId="687C1AC4">
            <wp:extent cx="4061460" cy="2522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E5" w:rsidRPr="00DA03E5" w:rsidRDefault="00DA03E5" w:rsidP="00DA03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A03E5">
        <w:rPr>
          <w:rFonts w:ascii="Times New Roman" w:hAnsi="Times New Roman" w:cs="Times New Roman"/>
          <w:sz w:val="28"/>
        </w:rPr>
        <w:t xml:space="preserve">Вызываем функцию </w:t>
      </w:r>
      <w:proofErr w:type="gramStart"/>
      <w:r w:rsidRPr="00DA03E5">
        <w:rPr>
          <w:rFonts w:ascii="Times New Roman" w:hAnsi="Times New Roman" w:cs="Times New Roman"/>
          <w:sz w:val="28"/>
          <w:lang w:val="en-US"/>
        </w:rPr>
        <w:t>su</w:t>
      </w:r>
      <w:bookmarkStart w:id="0" w:name="_GoBack"/>
      <w:bookmarkEnd w:id="0"/>
      <w:r w:rsidRPr="00DA03E5">
        <w:rPr>
          <w:rFonts w:ascii="Times New Roman" w:hAnsi="Times New Roman" w:cs="Times New Roman"/>
          <w:sz w:val="28"/>
          <w:lang w:val="en-US"/>
        </w:rPr>
        <w:t>mmary</w:t>
      </w:r>
      <w:r w:rsidRPr="00DA03E5">
        <w:rPr>
          <w:rFonts w:ascii="Times New Roman" w:hAnsi="Times New Roman" w:cs="Times New Roman"/>
          <w:sz w:val="28"/>
        </w:rPr>
        <w:t>(</w:t>
      </w:r>
      <w:proofErr w:type="gramEnd"/>
      <w:r w:rsidRPr="00DA03E5">
        <w:rPr>
          <w:rFonts w:ascii="Times New Roman" w:hAnsi="Times New Roman" w:cs="Times New Roman"/>
          <w:sz w:val="28"/>
        </w:rPr>
        <w:t xml:space="preserve">) для получения результатов </w:t>
      </w:r>
      <w:r w:rsidRPr="00DA03E5">
        <w:rPr>
          <w:rFonts w:ascii="Times New Roman" w:hAnsi="Times New Roman" w:cs="Times New Roman"/>
          <w:sz w:val="28"/>
          <w:lang w:val="en-US"/>
        </w:rPr>
        <w:t>F</w:t>
      </w:r>
      <w:r w:rsidRPr="00DA03E5">
        <w:rPr>
          <w:rFonts w:ascii="Times New Roman" w:hAnsi="Times New Roman" w:cs="Times New Roman"/>
          <w:sz w:val="28"/>
        </w:rPr>
        <w:t>-тестов и др.</w:t>
      </w:r>
    </w:p>
    <w:p w:rsidR="00DA03E5" w:rsidRDefault="00DA03E5" w:rsidP="00F00D31">
      <w:pPr>
        <w:jc w:val="center"/>
      </w:pPr>
    </w:p>
    <w:p w:rsidR="0044117D" w:rsidRDefault="00F00D31" w:rsidP="00F00D31">
      <w:pPr>
        <w:jc w:val="center"/>
      </w:pPr>
      <w:r>
        <w:rPr>
          <w:noProof/>
        </w:rPr>
        <w:drawing>
          <wp:inline distT="0" distB="0" distL="0" distR="0">
            <wp:extent cx="4084320" cy="2293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C405C"/>
    <w:multiLevelType w:val="hybridMultilevel"/>
    <w:tmpl w:val="EEE8EF50"/>
    <w:lvl w:ilvl="0" w:tplc="07EA0B0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8C"/>
    <w:rsid w:val="00197C5D"/>
    <w:rsid w:val="0044117D"/>
    <w:rsid w:val="00C73C0C"/>
    <w:rsid w:val="00DA03E5"/>
    <w:rsid w:val="00F00D31"/>
    <w:rsid w:val="00F8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A068"/>
  <w15:chartTrackingRefBased/>
  <w15:docId w15:val="{87D03E83-E274-45EC-BBCF-04FF7F01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C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F0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0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67906-BF0F-4EAF-80EC-AD58379D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2020-02-14T15:07:00Z</dcterms:created>
  <dcterms:modified xsi:type="dcterms:W3CDTF">2020-05-18T10:38:00Z</dcterms:modified>
</cp:coreProperties>
</file>