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1D40" w:rsidRDefault="00B11D40" w:rsidP="00AC3F78">
      <w:pPr>
        <w:spacing w:line="480" w:lineRule="auto"/>
        <w:rPr>
          <w:color w:val="000000" w:themeColor="text1"/>
        </w:rPr>
      </w:pPr>
    </w:p>
    <w:p w:rsidR="00B11D40" w:rsidRPr="00AC3F78" w:rsidRDefault="00B11D40" w:rsidP="00AC3F78">
      <w:pPr>
        <w:spacing w:line="480" w:lineRule="auto"/>
        <w:jc w:val="center"/>
        <w:rPr>
          <w:color w:val="9F1A07"/>
          <w:sz w:val="32"/>
          <w:szCs w:val="32"/>
        </w:rPr>
      </w:pPr>
      <w:r w:rsidRPr="00303F77">
        <w:rPr>
          <w:color w:val="9F1A07"/>
          <w:sz w:val="32"/>
          <w:szCs w:val="32"/>
        </w:rPr>
        <w:t>HARVARD UNIVERSITY</w:t>
      </w:r>
    </w:p>
    <w:p w:rsidR="00646A3B" w:rsidRPr="00B11D40" w:rsidRDefault="00646A3B" w:rsidP="00AC3F78">
      <w:pPr>
        <w:spacing w:line="480" w:lineRule="auto"/>
        <w:jc w:val="center"/>
        <w:rPr>
          <w:color w:val="000000" w:themeColor="text1"/>
        </w:rPr>
      </w:pPr>
    </w:p>
    <w:p w:rsidR="00646A3B" w:rsidRPr="00AC3F78" w:rsidRDefault="00B11D40" w:rsidP="00AC3F78">
      <w:pPr>
        <w:spacing w:line="480" w:lineRule="auto"/>
        <w:jc w:val="center"/>
        <w:rPr>
          <w:color w:val="000000" w:themeColor="text1"/>
          <w:sz w:val="32"/>
          <w:szCs w:val="32"/>
        </w:rPr>
      </w:pPr>
      <w:r w:rsidRPr="00AC3F78">
        <w:rPr>
          <w:color w:val="000000" w:themeColor="text1"/>
          <w:sz w:val="32"/>
          <w:szCs w:val="32"/>
        </w:rPr>
        <w:t xml:space="preserve">POLICY </w:t>
      </w:r>
      <w:r w:rsidR="00B539E3" w:rsidRPr="00AC3F78">
        <w:rPr>
          <w:color w:val="000000" w:themeColor="text1"/>
          <w:sz w:val="32"/>
          <w:szCs w:val="32"/>
        </w:rPr>
        <w:t>ANALYSIS</w:t>
      </w:r>
      <w:r w:rsidR="00F65293" w:rsidRPr="00AC3F78">
        <w:rPr>
          <w:color w:val="000000" w:themeColor="text1"/>
          <w:sz w:val="32"/>
          <w:szCs w:val="32"/>
        </w:rPr>
        <w:t xml:space="preserve"> CAPSTONE</w:t>
      </w:r>
    </w:p>
    <w:p w:rsidR="00AC3F78" w:rsidRDefault="00AC3F78" w:rsidP="00AC3F78">
      <w:pPr>
        <w:pBdr>
          <w:top w:val="single" w:sz="4" w:space="1" w:color="auto"/>
          <w:bottom w:val="single" w:sz="4" w:space="1" w:color="auto"/>
        </w:pBdr>
        <w:spacing w:line="480" w:lineRule="auto"/>
        <w:rPr>
          <w:b/>
          <w:bCs/>
          <w:color w:val="000000" w:themeColor="text1"/>
          <w:sz w:val="18"/>
          <w:szCs w:val="18"/>
        </w:rPr>
      </w:pPr>
    </w:p>
    <w:p w:rsidR="00646A3B" w:rsidRPr="00303F77" w:rsidRDefault="00646A3B" w:rsidP="00AC3F78">
      <w:pPr>
        <w:pBdr>
          <w:top w:val="single" w:sz="4" w:space="1" w:color="auto"/>
          <w:bottom w:val="single" w:sz="4" w:space="1" w:color="auto"/>
        </w:pBdr>
        <w:spacing w:line="480" w:lineRule="auto"/>
        <w:jc w:val="center"/>
        <w:rPr>
          <w:b/>
          <w:bCs/>
          <w:color w:val="000000" w:themeColor="text1"/>
          <w:sz w:val="28"/>
          <w:szCs w:val="28"/>
        </w:rPr>
      </w:pPr>
      <w:r w:rsidRPr="00303F77">
        <w:rPr>
          <w:b/>
          <w:bCs/>
          <w:color w:val="000000" w:themeColor="text1"/>
          <w:sz w:val="28"/>
          <w:szCs w:val="28"/>
        </w:rPr>
        <w:t>Closing the Gap:</w:t>
      </w:r>
    </w:p>
    <w:p w:rsidR="00B11D40" w:rsidRPr="00AC3F78" w:rsidRDefault="00F65293" w:rsidP="00BF06A1">
      <w:pPr>
        <w:pBdr>
          <w:top w:val="single" w:sz="4" w:space="1" w:color="auto"/>
          <w:bottom w:val="single" w:sz="4" w:space="1" w:color="auto"/>
        </w:pBdr>
        <w:spacing w:line="480" w:lineRule="auto"/>
        <w:jc w:val="center"/>
        <w:rPr>
          <w:b/>
          <w:bCs/>
          <w:color w:val="000000" w:themeColor="text1"/>
          <w:sz w:val="28"/>
          <w:szCs w:val="28"/>
        </w:rPr>
      </w:pPr>
      <w:r>
        <w:rPr>
          <w:b/>
          <w:bCs/>
          <w:color w:val="000000" w:themeColor="text1"/>
          <w:sz w:val="28"/>
          <w:szCs w:val="28"/>
        </w:rPr>
        <w:t>A Policy Proposal Addressing Income Inequality</w:t>
      </w:r>
      <w:r w:rsidR="00BF06A1">
        <w:rPr>
          <w:b/>
          <w:bCs/>
          <w:color w:val="000000" w:themeColor="text1"/>
          <w:sz w:val="28"/>
          <w:szCs w:val="28"/>
        </w:rPr>
        <w:t xml:space="preserve"> </w:t>
      </w:r>
      <w:r>
        <w:rPr>
          <w:b/>
          <w:bCs/>
          <w:color w:val="000000" w:themeColor="text1"/>
          <w:sz w:val="28"/>
          <w:szCs w:val="28"/>
        </w:rPr>
        <w:t>via Fiscal Policy Reform</w:t>
      </w:r>
    </w:p>
    <w:p w:rsidR="00303F77" w:rsidRDefault="00303F77" w:rsidP="00AC3F78">
      <w:pPr>
        <w:spacing w:line="480" w:lineRule="auto"/>
        <w:rPr>
          <w:i/>
          <w:iCs/>
          <w:color w:val="000000" w:themeColor="text1"/>
        </w:rPr>
      </w:pPr>
    </w:p>
    <w:p w:rsidR="00646A3B" w:rsidRPr="00B11D40" w:rsidRDefault="00646A3B" w:rsidP="00AC3F78">
      <w:pPr>
        <w:spacing w:line="480" w:lineRule="auto"/>
        <w:rPr>
          <w:color w:val="000000" w:themeColor="text1"/>
        </w:rPr>
      </w:pPr>
      <w:r w:rsidRPr="00B11D40">
        <w:rPr>
          <w:i/>
          <w:iCs/>
          <w:color w:val="000000" w:themeColor="text1"/>
        </w:rPr>
        <w:t>Author:</w:t>
      </w:r>
      <w:r w:rsidRPr="00B11D40">
        <w:rPr>
          <w:color w:val="000000" w:themeColor="text1"/>
        </w:rPr>
        <w:t xml:space="preserve"> </w:t>
      </w:r>
      <w:r w:rsidR="00B11D40" w:rsidRPr="00B11D40">
        <w:rPr>
          <w:color w:val="000000" w:themeColor="text1"/>
        </w:rPr>
        <w:tab/>
      </w:r>
      <w:r w:rsidR="00B11D40" w:rsidRPr="00B11D40">
        <w:rPr>
          <w:color w:val="000000" w:themeColor="text1"/>
        </w:rPr>
        <w:tab/>
      </w:r>
      <w:r w:rsidR="00B11D40" w:rsidRPr="00B11D40">
        <w:rPr>
          <w:color w:val="000000" w:themeColor="text1"/>
        </w:rPr>
        <w:tab/>
      </w:r>
      <w:r w:rsidR="00B11D40" w:rsidRPr="00B11D40">
        <w:rPr>
          <w:color w:val="000000" w:themeColor="text1"/>
        </w:rPr>
        <w:tab/>
      </w:r>
      <w:r w:rsidRPr="00B11D40">
        <w:rPr>
          <w:color w:val="000000" w:themeColor="text1"/>
        </w:rPr>
        <w:tab/>
      </w:r>
      <w:r w:rsidRPr="00B11D40">
        <w:rPr>
          <w:color w:val="000000" w:themeColor="text1"/>
        </w:rPr>
        <w:tab/>
      </w:r>
      <w:r w:rsidRPr="00B11D40">
        <w:rPr>
          <w:color w:val="000000" w:themeColor="text1"/>
        </w:rPr>
        <w:tab/>
      </w:r>
      <w:r w:rsidR="00303F77">
        <w:rPr>
          <w:color w:val="000000" w:themeColor="text1"/>
        </w:rPr>
        <w:tab/>
      </w:r>
      <w:r w:rsidR="00303F77">
        <w:rPr>
          <w:color w:val="000000" w:themeColor="text1"/>
        </w:rPr>
        <w:tab/>
      </w:r>
      <w:r w:rsidR="00303F77">
        <w:rPr>
          <w:color w:val="000000" w:themeColor="text1"/>
        </w:rPr>
        <w:tab/>
      </w:r>
      <w:r w:rsidR="00303F77">
        <w:rPr>
          <w:color w:val="000000" w:themeColor="text1"/>
        </w:rPr>
        <w:tab/>
      </w:r>
      <w:r w:rsidR="00B11D40" w:rsidRPr="00B11D40">
        <w:rPr>
          <w:i/>
          <w:iCs/>
          <w:color w:val="000000" w:themeColor="text1"/>
        </w:rPr>
        <w:t>Professor:</w:t>
      </w:r>
      <w:r w:rsidRPr="00B11D40">
        <w:rPr>
          <w:color w:val="000000" w:themeColor="text1"/>
        </w:rPr>
        <w:tab/>
      </w:r>
    </w:p>
    <w:p w:rsidR="00646A3B" w:rsidRPr="00B11D40" w:rsidRDefault="00646A3B" w:rsidP="00AC3F78">
      <w:pPr>
        <w:spacing w:line="480" w:lineRule="auto"/>
        <w:rPr>
          <w:color w:val="000000" w:themeColor="text1"/>
        </w:rPr>
      </w:pPr>
      <w:r w:rsidRPr="00B11D40">
        <w:rPr>
          <w:color w:val="9F1A07"/>
        </w:rPr>
        <w:t>Joaquin Dominguez</w:t>
      </w:r>
      <w:r w:rsidRPr="00B11D40">
        <w:rPr>
          <w:color w:val="000000" w:themeColor="text1"/>
        </w:rPr>
        <w:tab/>
      </w:r>
      <w:r w:rsidR="00B11D40" w:rsidRPr="00B11D40">
        <w:rPr>
          <w:color w:val="000000" w:themeColor="text1"/>
        </w:rPr>
        <w:tab/>
      </w:r>
      <w:r w:rsidR="00B11D40" w:rsidRPr="00B11D40">
        <w:rPr>
          <w:color w:val="000000" w:themeColor="text1"/>
        </w:rPr>
        <w:tab/>
      </w:r>
      <w:r w:rsidR="00B11D40" w:rsidRPr="00B11D40">
        <w:rPr>
          <w:color w:val="000000" w:themeColor="text1"/>
        </w:rPr>
        <w:tab/>
      </w:r>
      <w:r w:rsidR="00B11D40" w:rsidRPr="00B11D40">
        <w:rPr>
          <w:color w:val="000000" w:themeColor="text1"/>
        </w:rPr>
        <w:tab/>
      </w:r>
      <w:r w:rsidR="00B11D40" w:rsidRPr="00B11D40">
        <w:rPr>
          <w:color w:val="000000" w:themeColor="text1"/>
        </w:rPr>
        <w:tab/>
      </w:r>
      <w:r w:rsidR="00303F77">
        <w:rPr>
          <w:color w:val="000000" w:themeColor="text1"/>
        </w:rPr>
        <w:tab/>
      </w:r>
      <w:r w:rsidR="00303F77">
        <w:rPr>
          <w:color w:val="000000" w:themeColor="text1"/>
        </w:rPr>
        <w:tab/>
      </w:r>
      <w:r w:rsidR="00B11D40" w:rsidRPr="00B11D40">
        <w:rPr>
          <w:color w:val="9F1A07"/>
        </w:rPr>
        <w:t>Dr. Sparsha Saha</w:t>
      </w:r>
    </w:p>
    <w:p w:rsidR="00B11D40" w:rsidRDefault="00B11D40" w:rsidP="00AC3F78">
      <w:pPr>
        <w:spacing w:line="480" w:lineRule="auto"/>
        <w:rPr>
          <w:color w:val="000000" w:themeColor="text1"/>
        </w:rPr>
      </w:pPr>
    </w:p>
    <w:p w:rsidR="00BF06A1" w:rsidRPr="00B11D40" w:rsidRDefault="00BF06A1" w:rsidP="00AC3F78">
      <w:pPr>
        <w:spacing w:line="480" w:lineRule="auto"/>
        <w:rPr>
          <w:color w:val="000000" w:themeColor="text1"/>
        </w:rPr>
      </w:pPr>
    </w:p>
    <w:p w:rsidR="00B11D40" w:rsidRPr="00F65293" w:rsidRDefault="00B11D40" w:rsidP="00AC3F78">
      <w:pPr>
        <w:spacing w:line="480" w:lineRule="auto"/>
        <w:jc w:val="center"/>
        <w:rPr>
          <w:i/>
          <w:iCs/>
          <w:color w:val="000000" w:themeColor="text1"/>
        </w:rPr>
      </w:pPr>
      <w:r w:rsidRPr="00F65293">
        <w:rPr>
          <w:i/>
          <w:iCs/>
          <w:color w:val="000000" w:themeColor="text1"/>
        </w:rPr>
        <w:t xml:space="preserve">A report submitted in </w:t>
      </w:r>
      <w:r w:rsidR="00F65293">
        <w:rPr>
          <w:i/>
          <w:iCs/>
          <w:color w:val="000000" w:themeColor="text1"/>
        </w:rPr>
        <w:t>partial fulfillment</w:t>
      </w:r>
      <w:r w:rsidRPr="00F65293">
        <w:rPr>
          <w:i/>
          <w:iCs/>
          <w:color w:val="000000" w:themeColor="text1"/>
        </w:rPr>
        <w:t xml:space="preserve"> of the requirements</w:t>
      </w:r>
    </w:p>
    <w:p w:rsidR="00AC3F78" w:rsidRDefault="00B11D40" w:rsidP="00BF06A1">
      <w:pPr>
        <w:spacing w:line="480" w:lineRule="auto"/>
        <w:jc w:val="center"/>
        <w:rPr>
          <w:i/>
          <w:iCs/>
          <w:color w:val="000000" w:themeColor="text1"/>
        </w:rPr>
      </w:pPr>
      <w:r w:rsidRPr="00F65293">
        <w:rPr>
          <w:i/>
          <w:iCs/>
          <w:color w:val="000000" w:themeColor="text1"/>
        </w:rPr>
        <w:t xml:space="preserve">for the degree of Master of </w:t>
      </w:r>
      <w:r w:rsidR="0025105D">
        <w:rPr>
          <w:i/>
          <w:iCs/>
          <w:color w:val="000000" w:themeColor="text1"/>
        </w:rPr>
        <w:t xml:space="preserve">Liberal </w:t>
      </w:r>
      <w:r w:rsidRPr="00F65293">
        <w:rPr>
          <w:i/>
          <w:iCs/>
          <w:color w:val="000000" w:themeColor="text1"/>
        </w:rPr>
        <w:t>Arts</w:t>
      </w:r>
    </w:p>
    <w:p w:rsidR="00B11D40" w:rsidRPr="00BF06A1" w:rsidRDefault="00B11D40" w:rsidP="00BF06A1">
      <w:pPr>
        <w:spacing w:line="480" w:lineRule="auto"/>
        <w:jc w:val="center"/>
        <w:rPr>
          <w:i/>
          <w:iCs/>
          <w:color w:val="000000" w:themeColor="text1"/>
        </w:rPr>
      </w:pPr>
      <w:r w:rsidRPr="00F65293">
        <w:rPr>
          <w:i/>
          <w:iCs/>
          <w:color w:val="000000" w:themeColor="text1"/>
        </w:rPr>
        <w:t>in the</w:t>
      </w:r>
    </w:p>
    <w:p w:rsidR="00B11D40" w:rsidRPr="00B11D40" w:rsidRDefault="00B11D40" w:rsidP="00AC3F78">
      <w:pPr>
        <w:spacing w:line="480" w:lineRule="auto"/>
        <w:jc w:val="center"/>
        <w:rPr>
          <w:color w:val="9F1A07"/>
        </w:rPr>
      </w:pPr>
      <w:r w:rsidRPr="00B11D40">
        <w:rPr>
          <w:color w:val="9F1A07"/>
        </w:rPr>
        <w:t>Government Department</w:t>
      </w:r>
    </w:p>
    <w:p w:rsidR="00B11D40" w:rsidRDefault="00B11D40" w:rsidP="00AC3F78">
      <w:pPr>
        <w:spacing w:line="480" w:lineRule="auto"/>
        <w:jc w:val="center"/>
        <w:rPr>
          <w:color w:val="9F1A07"/>
        </w:rPr>
      </w:pPr>
      <w:r w:rsidRPr="00B11D40">
        <w:rPr>
          <w:color w:val="9F1A07"/>
        </w:rPr>
        <w:t xml:space="preserve">Harvard </w:t>
      </w:r>
      <w:r w:rsidR="00E2689A">
        <w:rPr>
          <w:color w:val="9F1A07"/>
        </w:rPr>
        <w:t>Extension School</w:t>
      </w:r>
    </w:p>
    <w:p w:rsidR="00303F77" w:rsidRDefault="00303F77" w:rsidP="00AC3F78">
      <w:pPr>
        <w:spacing w:line="480" w:lineRule="auto"/>
        <w:rPr>
          <w:color w:val="9F1A07"/>
        </w:rPr>
      </w:pPr>
    </w:p>
    <w:p w:rsidR="00303F77" w:rsidRPr="00F65293" w:rsidRDefault="00303F77" w:rsidP="00AC3F78">
      <w:pPr>
        <w:spacing w:line="480" w:lineRule="auto"/>
        <w:jc w:val="center"/>
        <w:rPr>
          <w:color w:val="000000" w:themeColor="text1"/>
        </w:rPr>
      </w:pPr>
      <w:r w:rsidRPr="00F65293">
        <w:rPr>
          <w:color w:val="000000" w:themeColor="text1"/>
        </w:rPr>
        <w:t>May 4, 2020</w:t>
      </w:r>
    </w:p>
    <w:p w:rsidR="00B11D40" w:rsidRPr="00B11D40" w:rsidRDefault="00B11D40" w:rsidP="00AC3F78">
      <w:pPr>
        <w:spacing w:line="480" w:lineRule="auto"/>
        <w:rPr>
          <w:color w:val="000000" w:themeColor="text1"/>
        </w:rPr>
      </w:pPr>
    </w:p>
    <w:p w:rsidR="00601768" w:rsidRPr="00303F77" w:rsidRDefault="00646A3B" w:rsidP="00AC3F78">
      <w:pPr>
        <w:spacing w:line="480" w:lineRule="auto"/>
        <w:jc w:val="center"/>
        <w:rPr>
          <w:color w:val="000000" w:themeColor="text1"/>
        </w:rPr>
      </w:pPr>
      <w:r w:rsidRPr="00B11D40">
        <w:rPr>
          <w:color w:val="000000" w:themeColor="text1"/>
        </w:rPr>
        <w:br w:type="page"/>
      </w:r>
    </w:p>
    <w:sdt>
      <w:sdtPr>
        <w:rPr>
          <w:rFonts w:ascii="Garamond" w:hAnsi="Garamond"/>
          <w:color w:val="000000" w:themeColor="text1"/>
        </w:rPr>
        <w:id w:val="495309299"/>
        <w:docPartObj>
          <w:docPartGallery w:val="Table of Contents"/>
          <w:docPartUnique/>
        </w:docPartObj>
      </w:sdtPr>
      <w:sdtEndPr>
        <w:rPr>
          <w:rFonts w:eastAsiaTheme="minorHAnsi" w:cs="Times New Roman (Body CS)"/>
          <w:noProof/>
          <w:sz w:val="24"/>
          <w:szCs w:val="24"/>
        </w:rPr>
      </w:sdtEndPr>
      <w:sdtContent>
        <w:p w:rsidR="00646A3B" w:rsidRPr="00646A3B" w:rsidRDefault="00646A3B" w:rsidP="00AC3F78">
          <w:pPr>
            <w:pStyle w:val="TOCHeading"/>
            <w:spacing w:line="480" w:lineRule="auto"/>
            <w:rPr>
              <w:b w:val="0"/>
              <w:bCs w:val="0"/>
            </w:rPr>
          </w:pPr>
          <w:r w:rsidRPr="00601768">
            <w:rPr>
              <w:rFonts w:ascii="Garamond" w:hAnsi="Garamond"/>
              <w:color w:val="000000" w:themeColor="text1"/>
            </w:rPr>
            <w:t>Table of Contents</w:t>
          </w:r>
        </w:p>
        <w:p w:rsidR="004732AF" w:rsidRDefault="00646A3B">
          <w:pPr>
            <w:pStyle w:val="TOC1"/>
            <w:tabs>
              <w:tab w:val="right" w:leader="dot" w:pos="9350"/>
            </w:tabs>
            <w:rPr>
              <w:rFonts w:eastAsiaTheme="minorEastAsia" w:cstheme="minorBidi"/>
              <w:b w:val="0"/>
              <w:bCs w:val="0"/>
              <w:i w:val="0"/>
              <w:iCs w:val="0"/>
              <w:noProof/>
            </w:rPr>
          </w:pPr>
          <w:r w:rsidRPr="00601768">
            <w:rPr>
              <w:rFonts w:ascii="Garamond" w:hAnsi="Garamond"/>
              <w:b w:val="0"/>
              <w:bCs w:val="0"/>
              <w:color w:val="000000" w:themeColor="text1"/>
            </w:rPr>
            <w:fldChar w:fldCharType="begin"/>
          </w:r>
          <w:r w:rsidRPr="00601768">
            <w:rPr>
              <w:rFonts w:ascii="Garamond" w:hAnsi="Garamond"/>
              <w:color w:val="000000" w:themeColor="text1"/>
            </w:rPr>
            <w:instrText xml:space="preserve"> TOC \o "1-3" \h \z \u </w:instrText>
          </w:r>
          <w:r w:rsidRPr="00601768">
            <w:rPr>
              <w:rFonts w:ascii="Garamond" w:hAnsi="Garamond"/>
              <w:b w:val="0"/>
              <w:bCs w:val="0"/>
              <w:color w:val="000000" w:themeColor="text1"/>
            </w:rPr>
            <w:fldChar w:fldCharType="separate"/>
          </w:r>
          <w:hyperlink w:anchor="_Toc39584232" w:history="1">
            <w:r w:rsidR="004732AF" w:rsidRPr="00263CE3">
              <w:rPr>
                <w:rStyle w:val="Hyperlink"/>
                <w:rFonts w:ascii="Garamond" w:hAnsi="Garamond"/>
                <w:noProof/>
              </w:rPr>
              <w:t>Executive Summary</w:t>
            </w:r>
            <w:r w:rsidR="004732AF">
              <w:rPr>
                <w:noProof/>
                <w:webHidden/>
              </w:rPr>
              <w:tab/>
            </w:r>
            <w:r w:rsidR="004732AF">
              <w:rPr>
                <w:noProof/>
                <w:webHidden/>
              </w:rPr>
              <w:fldChar w:fldCharType="begin"/>
            </w:r>
            <w:r w:rsidR="004732AF">
              <w:rPr>
                <w:noProof/>
                <w:webHidden/>
              </w:rPr>
              <w:instrText xml:space="preserve"> PAGEREF _Toc39584232 \h </w:instrText>
            </w:r>
            <w:r w:rsidR="004732AF">
              <w:rPr>
                <w:noProof/>
                <w:webHidden/>
              </w:rPr>
            </w:r>
            <w:r w:rsidR="004732AF">
              <w:rPr>
                <w:noProof/>
                <w:webHidden/>
              </w:rPr>
              <w:fldChar w:fldCharType="separate"/>
            </w:r>
            <w:r w:rsidR="004732AF">
              <w:rPr>
                <w:noProof/>
                <w:webHidden/>
              </w:rPr>
              <w:t>1</w:t>
            </w:r>
            <w:r w:rsidR="004732AF">
              <w:rPr>
                <w:noProof/>
                <w:webHidden/>
              </w:rPr>
              <w:fldChar w:fldCharType="end"/>
            </w:r>
          </w:hyperlink>
        </w:p>
        <w:p w:rsidR="004732AF" w:rsidRDefault="004732AF">
          <w:pPr>
            <w:pStyle w:val="TOC1"/>
            <w:tabs>
              <w:tab w:val="right" w:leader="dot" w:pos="9350"/>
            </w:tabs>
            <w:rPr>
              <w:rFonts w:eastAsiaTheme="minorEastAsia" w:cstheme="minorBidi"/>
              <w:b w:val="0"/>
              <w:bCs w:val="0"/>
              <w:i w:val="0"/>
              <w:iCs w:val="0"/>
              <w:noProof/>
            </w:rPr>
          </w:pPr>
          <w:hyperlink w:anchor="_Toc39584233" w:history="1">
            <w:r w:rsidRPr="00263CE3">
              <w:rPr>
                <w:rStyle w:val="Hyperlink"/>
                <w:rFonts w:ascii="Garamond" w:hAnsi="Garamond"/>
                <w:noProof/>
              </w:rPr>
              <w:t>Framing the Problem</w:t>
            </w:r>
            <w:r>
              <w:rPr>
                <w:noProof/>
                <w:webHidden/>
              </w:rPr>
              <w:tab/>
            </w:r>
            <w:r>
              <w:rPr>
                <w:noProof/>
                <w:webHidden/>
              </w:rPr>
              <w:fldChar w:fldCharType="begin"/>
            </w:r>
            <w:r>
              <w:rPr>
                <w:noProof/>
                <w:webHidden/>
              </w:rPr>
              <w:instrText xml:space="preserve"> PAGEREF _Toc39584233 \h </w:instrText>
            </w:r>
            <w:r>
              <w:rPr>
                <w:noProof/>
                <w:webHidden/>
              </w:rPr>
            </w:r>
            <w:r>
              <w:rPr>
                <w:noProof/>
                <w:webHidden/>
              </w:rPr>
              <w:fldChar w:fldCharType="separate"/>
            </w:r>
            <w:r>
              <w:rPr>
                <w:noProof/>
                <w:webHidden/>
              </w:rPr>
              <w:t>1</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34" w:history="1">
            <w:r w:rsidRPr="00263CE3">
              <w:rPr>
                <w:rStyle w:val="Hyperlink"/>
                <w:rFonts w:ascii="Garamond" w:hAnsi="Garamond"/>
                <w:i/>
                <w:iCs/>
                <w:noProof/>
              </w:rPr>
              <w:t>Supply-Side Policy Shortcomings</w:t>
            </w:r>
            <w:r>
              <w:rPr>
                <w:noProof/>
                <w:webHidden/>
              </w:rPr>
              <w:tab/>
            </w:r>
            <w:r>
              <w:rPr>
                <w:noProof/>
                <w:webHidden/>
              </w:rPr>
              <w:fldChar w:fldCharType="begin"/>
            </w:r>
            <w:r>
              <w:rPr>
                <w:noProof/>
                <w:webHidden/>
              </w:rPr>
              <w:instrText xml:space="preserve"> PAGEREF _Toc39584234 \h </w:instrText>
            </w:r>
            <w:r>
              <w:rPr>
                <w:noProof/>
                <w:webHidden/>
              </w:rPr>
            </w:r>
            <w:r>
              <w:rPr>
                <w:noProof/>
                <w:webHidden/>
              </w:rPr>
              <w:fldChar w:fldCharType="separate"/>
            </w:r>
            <w:r>
              <w:rPr>
                <w:noProof/>
                <w:webHidden/>
              </w:rPr>
              <w:t>2</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35" w:history="1">
            <w:r w:rsidRPr="00263CE3">
              <w:rPr>
                <w:rStyle w:val="Hyperlink"/>
                <w:rFonts w:ascii="Garamond" w:hAnsi="Garamond"/>
                <w:i/>
                <w:iCs/>
                <w:noProof/>
              </w:rPr>
              <w:t>Comparing Reagan and Bush vs. Clinton Fiscal Policy</w:t>
            </w:r>
            <w:r>
              <w:rPr>
                <w:noProof/>
                <w:webHidden/>
              </w:rPr>
              <w:tab/>
            </w:r>
            <w:r>
              <w:rPr>
                <w:noProof/>
                <w:webHidden/>
              </w:rPr>
              <w:fldChar w:fldCharType="begin"/>
            </w:r>
            <w:r>
              <w:rPr>
                <w:noProof/>
                <w:webHidden/>
              </w:rPr>
              <w:instrText xml:space="preserve"> PAGEREF _Toc39584235 \h </w:instrText>
            </w:r>
            <w:r>
              <w:rPr>
                <w:noProof/>
                <w:webHidden/>
              </w:rPr>
            </w:r>
            <w:r>
              <w:rPr>
                <w:noProof/>
                <w:webHidden/>
              </w:rPr>
              <w:fldChar w:fldCharType="separate"/>
            </w:r>
            <w:r>
              <w:rPr>
                <w:noProof/>
                <w:webHidden/>
              </w:rPr>
              <w:t>2</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36" w:history="1">
            <w:r w:rsidRPr="00263CE3">
              <w:rPr>
                <w:rStyle w:val="Hyperlink"/>
                <w:rFonts w:ascii="Garamond" w:hAnsi="Garamond"/>
                <w:i/>
                <w:iCs/>
                <w:noProof/>
              </w:rPr>
              <w:t>Increased Deficit</w:t>
            </w:r>
            <w:r>
              <w:rPr>
                <w:noProof/>
                <w:webHidden/>
              </w:rPr>
              <w:tab/>
            </w:r>
            <w:r>
              <w:rPr>
                <w:noProof/>
                <w:webHidden/>
              </w:rPr>
              <w:fldChar w:fldCharType="begin"/>
            </w:r>
            <w:r>
              <w:rPr>
                <w:noProof/>
                <w:webHidden/>
              </w:rPr>
              <w:instrText xml:space="preserve"> PAGEREF _Toc39584236 \h </w:instrText>
            </w:r>
            <w:r>
              <w:rPr>
                <w:noProof/>
                <w:webHidden/>
              </w:rPr>
            </w:r>
            <w:r>
              <w:rPr>
                <w:noProof/>
                <w:webHidden/>
              </w:rPr>
              <w:fldChar w:fldCharType="separate"/>
            </w:r>
            <w:r>
              <w:rPr>
                <w:noProof/>
                <w:webHidden/>
              </w:rPr>
              <w:t>3</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37" w:history="1">
            <w:r w:rsidRPr="00263CE3">
              <w:rPr>
                <w:rStyle w:val="Hyperlink"/>
                <w:rFonts w:ascii="Garamond" w:hAnsi="Garamond"/>
                <w:i/>
                <w:iCs/>
                <w:noProof/>
              </w:rPr>
              <w:t>Benefactors</w:t>
            </w:r>
            <w:r>
              <w:rPr>
                <w:noProof/>
                <w:webHidden/>
              </w:rPr>
              <w:tab/>
            </w:r>
            <w:r>
              <w:rPr>
                <w:noProof/>
                <w:webHidden/>
              </w:rPr>
              <w:fldChar w:fldCharType="begin"/>
            </w:r>
            <w:r>
              <w:rPr>
                <w:noProof/>
                <w:webHidden/>
              </w:rPr>
              <w:instrText xml:space="preserve"> PAGEREF _Toc39584237 \h </w:instrText>
            </w:r>
            <w:r>
              <w:rPr>
                <w:noProof/>
                <w:webHidden/>
              </w:rPr>
            </w:r>
            <w:r>
              <w:rPr>
                <w:noProof/>
                <w:webHidden/>
              </w:rPr>
              <w:fldChar w:fldCharType="separate"/>
            </w:r>
            <w:r>
              <w:rPr>
                <w:noProof/>
                <w:webHidden/>
              </w:rPr>
              <w:t>4</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38" w:history="1">
            <w:r w:rsidRPr="00263CE3">
              <w:rPr>
                <w:rStyle w:val="Hyperlink"/>
                <w:rFonts w:ascii="Garamond" w:hAnsi="Garamond"/>
                <w:i/>
                <w:iCs/>
                <w:noProof/>
              </w:rPr>
              <w:t>Outlining the Issue</w:t>
            </w:r>
            <w:r>
              <w:rPr>
                <w:noProof/>
                <w:webHidden/>
              </w:rPr>
              <w:tab/>
            </w:r>
            <w:r>
              <w:rPr>
                <w:noProof/>
                <w:webHidden/>
              </w:rPr>
              <w:fldChar w:fldCharType="begin"/>
            </w:r>
            <w:r>
              <w:rPr>
                <w:noProof/>
                <w:webHidden/>
              </w:rPr>
              <w:instrText xml:space="preserve"> PAGEREF _Toc39584238 \h </w:instrText>
            </w:r>
            <w:r>
              <w:rPr>
                <w:noProof/>
                <w:webHidden/>
              </w:rPr>
            </w:r>
            <w:r>
              <w:rPr>
                <w:noProof/>
                <w:webHidden/>
              </w:rPr>
              <w:fldChar w:fldCharType="separate"/>
            </w:r>
            <w:r>
              <w:rPr>
                <w:noProof/>
                <w:webHidden/>
              </w:rPr>
              <w:t>4</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39" w:history="1">
            <w:r w:rsidRPr="00263CE3">
              <w:rPr>
                <w:rStyle w:val="Hyperlink"/>
                <w:rFonts w:ascii="Garamond" w:hAnsi="Garamond"/>
                <w:i/>
                <w:iCs/>
                <w:noProof/>
              </w:rPr>
              <w:t>Implications of Supply-Side Policies and High Inequality</w:t>
            </w:r>
            <w:r>
              <w:rPr>
                <w:noProof/>
                <w:webHidden/>
              </w:rPr>
              <w:tab/>
            </w:r>
            <w:r>
              <w:rPr>
                <w:noProof/>
                <w:webHidden/>
              </w:rPr>
              <w:fldChar w:fldCharType="begin"/>
            </w:r>
            <w:r>
              <w:rPr>
                <w:noProof/>
                <w:webHidden/>
              </w:rPr>
              <w:instrText xml:space="preserve"> PAGEREF _Toc39584239 \h </w:instrText>
            </w:r>
            <w:r>
              <w:rPr>
                <w:noProof/>
                <w:webHidden/>
              </w:rPr>
            </w:r>
            <w:r>
              <w:rPr>
                <w:noProof/>
                <w:webHidden/>
              </w:rPr>
              <w:fldChar w:fldCharType="separate"/>
            </w:r>
            <w:r>
              <w:rPr>
                <w:noProof/>
                <w:webHidden/>
              </w:rPr>
              <w:t>5</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40" w:history="1">
            <w:r w:rsidRPr="00263CE3">
              <w:rPr>
                <w:rStyle w:val="Hyperlink"/>
                <w:rFonts w:ascii="Garamond" w:hAnsi="Garamond"/>
                <w:i/>
                <w:iCs/>
                <w:noProof/>
              </w:rPr>
              <w:t>Effect on Economic Growth</w:t>
            </w:r>
            <w:r>
              <w:rPr>
                <w:noProof/>
                <w:webHidden/>
              </w:rPr>
              <w:tab/>
            </w:r>
            <w:r>
              <w:rPr>
                <w:noProof/>
                <w:webHidden/>
              </w:rPr>
              <w:fldChar w:fldCharType="begin"/>
            </w:r>
            <w:r>
              <w:rPr>
                <w:noProof/>
                <w:webHidden/>
              </w:rPr>
              <w:instrText xml:space="preserve"> PAGEREF _Toc39584240 \h </w:instrText>
            </w:r>
            <w:r>
              <w:rPr>
                <w:noProof/>
                <w:webHidden/>
              </w:rPr>
            </w:r>
            <w:r>
              <w:rPr>
                <w:noProof/>
                <w:webHidden/>
              </w:rPr>
              <w:fldChar w:fldCharType="separate"/>
            </w:r>
            <w:r>
              <w:rPr>
                <w:noProof/>
                <w:webHidden/>
              </w:rPr>
              <w:t>5</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41" w:history="1">
            <w:r w:rsidRPr="00263CE3">
              <w:rPr>
                <w:rStyle w:val="Hyperlink"/>
                <w:rFonts w:ascii="Garamond" w:hAnsi="Garamond"/>
                <w:i/>
                <w:iCs/>
                <w:noProof/>
              </w:rPr>
              <w:t>Decreasing Social Mobility</w:t>
            </w:r>
            <w:r>
              <w:rPr>
                <w:noProof/>
                <w:webHidden/>
              </w:rPr>
              <w:tab/>
            </w:r>
            <w:r>
              <w:rPr>
                <w:noProof/>
                <w:webHidden/>
              </w:rPr>
              <w:fldChar w:fldCharType="begin"/>
            </w:r>
            <w:r>
              <w:rPr>
                <w:noProof/>
                <w:webHidden/>
              </w:rPr>
              <w:instrText xml:space="preserve"> PAGEREF _Toc39584241 \h </w:instrText>
            </w:r>
            <w:r>
              <w:rPr>
                <w:noProof/>
                <w:webHidden/>
              </w:rPr>
            </w:r>
            <w:r>
              <w:rPr>
                <w:noProof/>
                <w:webHidden/>
              </w:rPr>
              <w:fldChar w:fldCharType="separate"/>
            </w:r>
            <w:r>
              <w:rPr>
                <w:noProof/>
                <w:webHidden/>
              </w:rPr>
              <w:t>6</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42" w:history="1">
            <w:r w:rsidRPr="00263CE3">
              <w:rPr>
                <w:rStyle w:val="Hyperlink"/>
                <w:rFonts w:ascii="Garamond" w:hAnsi="Garamond"/>
                <w:i/>
                <w:iCs/>
                <w:noProof/>
              </w:rPr>
              <w:t>Political Power Concentration</w:t>
            </w:r>
            <w:r>
              <w:rPr>
                <w:noProof/>
                <w:webHidden/>
              </w:rPr>
              <w:tab/>
            </w:r>
            <w:r>
              <w:rPr>
                <w:noProof/>
                <w:webHidden/>
              </w:rPr>
              <w:fldChar w:fldCharType="begin"/>
            </w:r>
            <w:r>
              <w:rPr>
                <w:noProof/>
                <w:webHidden/>
              </w:rPr>
              <w:instrText xml:space="preserve"> PAGEREF _Toc39584242 \h </w:instrText>
            </w:r>
            <w:r>
              <w:rPr>
                <w:noProof/>
                <w:webHidden/>
              </w:rPr>
            </w:r>
            <w:r>
              <w:rPr>
                <w:noProof/>
                <w:webHidden/>
              </w:rPr>
              <w:fldChar w:fldCharType="separate"/>
            </w:r>
            <w:r>
              <w:rPr>
                <w:noProof/>
                <w:webHidden/>
              </w:rPr>
              <w:t>6</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3" w:history="1">
            <w:r w:rsidRPr="00263CE3">
              <w:rPr>
                <w:rStyle w:val="Hyperlink"/>
                <w:rFonts w:ascii="Garamond" w:hAnsi="Garamond"/>
                <w:i/>
                <w:iCs/>
                <w:noProof/>
              </w:rPr>
              <w:t>Solutions</w:t>
            </w:r>
            <w:r>
              <w:rPr>
                <w:noProof/>
                <w:webHidden/>
              </w:rPr>
              <w:tab/>
            </w:r>
            <w:r>
              <w:rPr>
                <w:noProof/>
                <w:webHidden/>
              </w:rPr>
              <w:fldChar w:fldCharType="begin"/>
            </w:r>
            <w:r>
              <w:rPr>
                <w:noProof/>
                <w:webHidden/>
              </w:rPr>
              <w:instrText xml:space="preserve"> PAGEREF _Toc39584243 \h </w:instrText>
            </w:r>
            <w:r>
              <w:rPr>
                <w:noProof/>
                <w:webHidden/>
              </w:rPr>
            </w:r>
            <w:r>
              <w:rPr>
                <w:noProof/>
                <w:webHidden/>
              </w:rPr>
              <w:fldChar w:fldCharType="separate"/>
            </w:r>
            <w:r>
              <w:rPr>
                <w:noProof/>
                <w:webHidden/>
              </w:rPr>
              <w:t>7</w:t>
            </w:r>
            <w:r>
              <w:rPr>
                <w:noProof/>
                <w:webHidden/>
              </w:rPr>
              <w:fldChar w:fldCharType="end"/>
            </w:r>
          </w:hyperlink>
        </w:p>
        <w:p w:rsidR="004732AF" w:rsidRDefault="004732AF">
          <w:pPr>
            <w:pStyle w:val="TOC1"/>
            <w:tabs>
              <w:tab w:val="right" w:leader="dot" w:pos="9350"/>
            </w:tabs>
            <w:rPr>
              <w:rFonts w:eastAsiaTheme="minorEastAsia" w:cstheme="minorBidi"/>
              <w:b w:val="0"/>
              <w:bCs w:val="0"/>
              <w:i w:val="0"/>
              <w:iCs w:val="0"/>
              <w:noProof/>
            </w:rPr>
          </w:pPr>
          <w:hyperlink w:anchor="_Toc39584244" w:history="1">
            <w:r w:rsidRPr="00263CE3">
              <w:rPr>
                <w:rStyle w:val="Hyperlink"/>
                <w:rFonts w:ascii="Garamond" w:hAnsi="Garamond"/>
                <w:noProof/>
              </w:rPr>
              <w:t>Background</w:t>
            </w:r>
            <w:r>
              <w:rPr>
                <w:noProof/>
                <w:webHidden/>
              </w:rPr>
              <w:tab/>
            </w:r>
            <w:r>
              <w:rPr>
                <w:noProof/>
                <w:webHidden/>
              </w:rPr>
              <w:fldChar w:fldCharType="begin"/>
            </w:r>
            <w:r>
              <w:rPr>
                <w:noProof/>
                <w:webHidden/>
              </w:rPr>
              <w:instrText xml:space="preserve"> PAGEREF _Toc39584244 \h </w:instrText>
            </w:r>
            <w:r>
              <w:rPr>
                <w:noProof/>
                <w:webHidden/>
              </w:rPr>
            </w:r>
            <w:r>
              <w:rPr>
                <w:noProof/>
                <w:webHidden/>
              </w:rPr>
              <w:fldChar w:fldCharType="separate"/>
            </w:r>
            <w:r>
              <w:rPr>
                <w:noProof/>
                <w:webHidden/>
              </w:rPr>
              <w:t>7</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5" w:history="1">
            <w:r w:rsidRPr="00263CE3">
              <w:rPr>
                <w:rStyle w:val="Hyperlink"/>
                <w:rFonts w:ascii="Garamond" w:hAnsi="Garamond"/>
                <w:i/>
                <w:noProof/>
              </w:rPr>
              <w:t>Early U.S. Tax Systems</w:t>
            </w:r>
            <w:r>
              <w:rPr>
                <w:noProof/>
                <w:webHidden/>
              </w:rPr>
              <w:tab/>
            </w:r>
            <w:r>
              <w:rPr>
                <w:noProof/>
                <w:webHidden/>
              </w:rPr>
              <w:fldChar w:fldCharType="begin"/>
            </w:r>
            <w:r>
              <w:rPr>
                <w:noProof/>
                <w:webHidden/>
              </w:rPr>
              <w:instrText xml:space="preserve"> PAGEREF _Toc39584245 \h </w:instrText>
            </w:r>
            <w:r>
              <w:rPr>
                <w:noProof/>
                <w:webHidden/>
              </w:rPr>
            </w:r>
            <w:r>
              <w:rPr>
                <w:noProof/>
                <w:webHidden/>
              </w:rPr>
              <w:fldChar w:fldCharType="separate"/>
            </w:r>
            <w:r>
              <w:rPr>
                <w:noProof/>
                <w:webHidden/>
              </w:rPr>
              <w:t>7</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6" w:history="1">
            <w:r w:rsidRPr="00263CE3">
              <w:rPr>
                <w:rStyle w:val="Hyperlink"/>
                <w:rFonts w:ascii="Garamond" w:hAnsi="Garamond"/>
                <w:i/>
                <w:noProof/>
              </w:rPr>
              <w:t>New Deal Era</w:t>
            </w:r>
            <w:r>
              <w:rPr>
                <w:noProof/>
                <w:webHidden/>
              </w:rPr>
              <w:tab/>
            </w:r>
            <w:r>
              <w:rPr>
                <w:noProof/>
                <w:webHidden/>
              </w:rPr>
              <w:fldChar w:fldCharType="begin"/>
            </w:r>
            <w:r>
              <w:rPr>
                <w:noProof/>
                <w:webHidden/>
              </w:rPr>
              <w:instrText xml:space="preserve"> PAGEREF _Toc39584246 \h </w:instrText>
            </w:r>
            <w:r>
              <w:rPr>
                <w:noProof/>
                <w:webHidden/>
              </w:rPr>
            </w:r>
            <w:r>
              <w:rPr>
                <w:noProof/>
                <w:webHidden/>
              </w:rPr>
              <w:fldChar w:fldCharType="separate"/>
            </w:r>
            <w:r>
              <w:rPr>
                <w:noProof/>
                <w:webHidden/>
              </w:rPr>
              <w:t>10</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7" w:history="1">
            <w:r w:rsidRPr="00263CE3">
              <w:rPr>
                <w:rStyle w:val="Hyperlink"/>
                <w:rFonts w:ascii="Garamond" w:hAnsi="Garamond"/>
                <w:i/>
                <w:iCs/>
                <w:noProof/>
              </w:rPr>
              <w:t>Age of Neoliberalism</w:t>
            </w:r>
            <w:r>
              <w:rPr>
                <w:noProof/>
                <w:webHidden/>
              </w:rPr>
              <w:tab/>
            </w:r>
            <w:r>
              <w:rPr>
                <w:noProof/>
                <w:webHidden/>
              </w:rPr>
              <w:fldChar w:fldCharType="begin"/>
            </w:r>
            <w:r>
              <w:rPr>
                <w:noProof/>
                <w:webHidden/>
              </w:rPr>
              <w:instrText xml:space="preserve"> PAGEREF _Toc39584247 \h </w:instrText>
            </w:r>
            <w:r>
              <w:rPr>
                <w:noProof/>
                <w:webHidden/>
              </w:rPr>
            </w:r>
            <w:r>
              <w:rPr>
                <w:noProof/>
                <w:webHidden/>
              </w:rPr>
              <w:fldChar w:fldCharType="separate"/>
            </w:r>
            <w:r>
              <w:rPr>
                <w:noProof/>
                <w:webHidden/>
              </w:rPr>
              <w:t>11</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8" w:history="1">
            <w:r w:rsidRPr="00263CE3">
              <w:rPr>
                <w:rStyle w:val="Hyperlink"/>
                <w:rFonts w:ascii="Garamond" w:hAnsi="Garamond"/>
                <w:i/>
                <w:noProof/>
              </w:rPr>
              <w:t>Reagan Era</w:t>
            </w:r>
            <w:r>
              <w:rPr>
                <w:noProof/>
                <w:webHidden/>
              </w:rPr>
              <w:tab/>
            </w:r>
            <w:r>
              <w:rPr>
                <w:noProof/>
                <w:webHidden/>
              </w:rPr>
              <w:fldChar w:fldCharType="begin"/>
            </w:r>
            <w:r>
              <w:rPr>
                <w:noProof/>
                <w:webHidden/>
              </w:rPr>
              <w:instrText xml:space="preserve"> PAGEREF _Toc39584248 \h </w:instrText>
            </w:r>
            <w:r>
              <w:rPr>
                <w:noProof/>
                <w:webHidden/>
              </w:rPr>
            </w:r>
            <w:r>
              <w:rPr>
                <w:noProof/>
                <w:webHidden/>
              </w:rPr>
              <w:fldChar w:fldCharType="separate"/>
            </w:r>
            <w:r>
              <w:rPr>
                <w:noProof/>
                <w:webHidden/>
              </w:rPr>
              <w:t>13</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49" w:history="1">
            <w:r w:rsidRPr="00263CE3">
              <w:rPr>
                <w:rStyle w:val="Hyperlink"/>
                <w:rFonts w:ascii="Garamond" w:hAnsi="Garamond"/>
                <w:i/>
                <w:noProof/>
              </w:rPr>
              <w:t>Today’s Political Economy</w:t>
            </w:r>
            <w:r>
              <w:rPr>
                <w:noProof/>
                <w:webHidden/>
              </w:rPr>
              <w:tab/>
            </w:r>
            <w:r>
              <w:rPr>
                <w:noProof/>
                <w:webHidden/>
              </w:rPr>
              <w:fldChar w:fldCharType="begin"/>
            </w:r>
            <w:r>
              <w:rPr>
                <w:noProof/>
                <w:webHidden/>
              </w:rPr>
              <w:instrText xml:space="preserve"> PAGEREF _Toc39584249 \h </w:instrText>
            </w:r>
            <w:r>
              <w:rPr>
                <w:noProof/>
                <w:webHidden/>
              </w:rPr>
            </w:r>
            <w:r>
              <w:rPr>
                <w:noProof/>
                <w:webHidden/>
              </w:rPr>
              <w:fldChar w:fldCharType="separate"/>
            </w:r>
            <w:r>
              <w:rPr>
                <w:noProof/>
                <w:webHidden/>
              </w:rPr>
              <w:t>15</w:t>
            </w:r>
            <w:r>
              <w:rPr>
                <w:noProof/>
                <w:webHidden/>
              </w:rPr>
              <w:fldChar w:fldCharType="end"/>
            </w:r>
          </w:hyperlink>
        </w:p>
        <w:p w:rsidR="004732AF" w:rsidRDefault="004732AF">
          <w:pPr>
            <w:pStyle w:val="TOC1"/>
            <w:tabs>
              <w:tab w:val="right" w:leader="dot" w:pos="9350"/>
            </w:tabs>
            <w:rPr>
              <w:rFonts w:eastAsiaTheme="minorEastAsia" w:cstheme="minorBidi"/>
              <w:b w:val="0"/>
              <w:bCs w:val="0"/>
              <w:i w:val="0"/>
              <w:iCs w:val="0"/>
              <w:noProof/>
            </w:rPr>
          </w:pPr>
          <w:hyperlink w:anchor="_Toc39584250" w:history="1">
            <w:r w:rsidRPr="00263CE3">
              <w:rPr>
                <w:rStyle w:val="Hyperlink"/>
                <w:rFonts w:ascii="Garamond" w:hAnsi="Garamond"/>
                <w:noProof/>
              </w:rPr>
              <w:t>Methodology</w:t>
            </w:r>
            <w:r>
              <w:rPr>
                <w:noProof/>
                <w:webHidden/>
              </w:rPr>
              <w:tab/>
            </w:r>
            <w:r>
              <w:rPr>
                <w:noProof/>
                <w:webHidden/>
              </w:rPr>
              <w:fldChar w:fldCharType="begin"/>
            </w:r>
            <w:r>
              <w:rPr>
                <w:noProof/>
                <w:webHidden/>
              </w:rPr>
              <w:instrText xml:space="preserve"> PAGEREF _Toc39584250 \h </w:instrText>
            </w:r>
            <w:r>
              <w:rPr>
                <w:noProof/>
                <w:webHidden/>
              </w:rPr>
            </w:r>
            <w:r>
              <w:rPr>
                <w:noProof/>
                <w:webHidden/>
              </w:rPr>
              <w:fldChar w:fldCharType="separate"/>
            </w:r>
            <w:r>
              <w:rPr>
                <w:noProof/>
                <w:webHidden/>
              </w:rPr>
              <w:t>17</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1" w:history="1">
            <w:r w:rsidRPr="00263CE3">
              <w:rPr>
                <w:rStyle w:val="Hyperlink"/>
                <w:rFonts w:ascii="Garamond" w:hAnsi="Garamond"/>
                <w:i/>
                <w:iCs/>
                <w:noProof/>
              </w:rPr>
              <w:t>Principle 1</w:t>
            </w:r>
            <w:r>
              <w:rPr>
                <w:noProof/>
                <w:webHidden/>
              </w:rPr>
              <w:tab/>
            </w:r>
            <w:r>
              <w:rPr>
                <w:noProof/>
                <w:webHidden/>
              </w:rPr>
              <w:fldChar w:fldCharType="begin"/>
            </w:r>
            <w:r>
              <w:rPr>
                <w:noProof/>
                <w:webHidden/>
              </w:rPr>
              <w:instrText xml:space="preserve"> PAGEREF _Toc39584251 \h </w:instrText>
            </w:r>
            <w:r>
              <w:rPr>
                <w:noProof/>
                <w:webHidden/>
              </w:rPr>
            </w:r>
            <w:r>
              <w:rPr>
                <w:noProof/>
                <w:webHidden/>
              </w:rPr>
              <w:fldChar w:fldCharType="separate"/>
            </w:r>
            <w:r>
              <w:rPr>
                <w:noProof/>
                <w:webHidden/>
              </w:rPr>
              <w:t>17</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2" w:history="1">
            <w:r w:rsidRPr="00263CE3">
              <w:rPr>
                <w:rStyle w:val="Hyperlink"/>
                <w:rFonts w:ascii="Garamond" w:hAnsi="Garamond"/>
                <w:i/>
                <w:iCs/>
                <w:noProof/>
              </w:rPr>
              <w:t>Principle 2</w:t>
            </w:r>
            <w:r>
              <w:rPr>
                <w:noProof/>
                <w:webHidden/>
              </w:rPr>
              <w:tab/>
            </w:r>
            <w:r>
              <w:rPr>
                <w:noProof/>
                <w:webHidden/>
              </w:rPr>
              <w:fldChar w:fldCharType="begin"/>
            </w:r>
            <w:r>
              <w:rPr>
                <w:noProof/>
                <w:webHidden/>
              </w:rPr>
              <w:instrText xml:space="preserve"> PAGEREF _Toc39584252 \h </w:instrText>
            </w:r>
            <w:r>
              <w:rPr>
                <w:noProof/>
                <w:webHidden/>
              </w:rPr>
            </w:r>
            <w:r>
              <w:rPr>
                <w:noProof/>
                <w:webHidden/>
              </w:rPr>
              <w:fldChar w:fldCharType="separate"/>
            </w:r>
            <w:r>
              <w:rPr>
                <w:noProof/>
                <w:webHidden/>
              </w:rPr>
              <w:t>17</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3" w:history="1">
            <w:r w:rsidRPr="00263CE3">
              <w:rPr>
                <w:rStyle w:val="Hyperlink"/>
                <w:rFonts w:ascii="Garamond" w:hAnsi="Garamond"/>
                <w:i/>
                <w:iCs/>
                <w:noProof/>
              </w:rPr>
              <w:t>Principle 3</w:t>
            </w:r>
            <w:r>
              <w:rPr>
                <w:noProof/>
                <w:webHidden/>
              </w:rPr>
              <w:tab/>
            </w:r>
            <w:r>
              <w:rPr>
                <w:noProof/>
                <w:webHidden/>
              </w:rPr>
              <w:fldChar w:fldCharType="begin"/>
            </w:r>
            <w:r>
              <w:rPr>
                <w:noProof/>
                <w:webHidden/>
              </w:rPr>
              <w:instrText xml:space="preserve"> PAGEREF _Toc39584253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4" w:history="1">
            <w:r w:rsidRPr="00263CE3">
              <w:rPr>
                <w:rStyle w:val="Hyperlink"/>
                <w:rFonts w:ascii="Garamond" w:hAnsi="Garamond"/>
                <w:i/>
                <w:iCs/>
                <w:noProof/>
              </w:rPr>
              <w:t>Efficacy</w:t>
            </w:r>
            <w:r>
              <w:rPr>
                <w:noProof/>
                <w:webHidden/>
              </w:rPr>
              <w:tab/>
            </w:r>
            <w:r>
              <w:rPr>
                <w:noProof/>
                <w:webHidden/>
              </w:rPr>
              <w:fldChar w:fldCharType="begin"/>
            </w:r>
            <w:r>
              <w:rPr>
                <w:noProof/>
                <w:webHidden/>
              </w:rPr>
              <w:instrText xml:space="preserve"> PAGEREF _Toc39584254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5" w:history="1">
            <w:r w:rsidRPr="00263CE3">
              <w:rPr>
                <w:rStyle w:val="Hyperlink"/>
                <w:rFonts w:ascii="Garamond" w:hAnsi="Garamond"/>
                <w:i/>
                <w:iCs/>
                <w:noProof/>
              </w:rPr>
              <w:t>Political Feasibility</w:t>
            </w:r>
            <w:r>
              <w:rPr>
                <w:noProof/>
                <w:webHidden/>
              </w:rPr>
              <w:tab/>
            </w:r>
            <w:r>
              <w:rPr>
                <w:noProof/>
                <w:webHidden/>
              </w:rPr>
              <w:fldChar w:fldCharType="begin"/>
            </w:r>
            <w:r>
              <w:rPr>
                <w:noProof/>
                <w:webHidden/>
              </w:rPr>
              <w:instrText xml:space="preserve"> PAGEREF _Toc39584255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6" w:history="1">
            <w:r w:rsidRPr="00263CE3">
              <w:rPr>
                <w:rStyle w:val="Hyperlink"/>
                <w:rFonts w:ascii="Garamond" w:hAnsi="Garamond"/>
                <w:i/>
                <w:iCs/>
                <w:noProof/>
              </w:rPr>
              <w:t>Impact on Economy</w:t>
            </w:r>
            <w:r>
              <w:rPr>
                <w:noProof/>
                <w:webHidden/>
              </w:rPr>
              <w:tab/>
            </w:r>
            <w:r>
              <w:rPr>
                <w:noProof/>
                <w:webHidden/>
              </w:rPr>
              <w:fldChar w:fldCharType="begin"/>
            </w:r>
            <w:r>
              <w:rPr>
                <w:noProof/>
                <w:webHidden/>
              </w:rPr>
              <w:instrText xml:space="preserve"> PAGEREF _Toc39584256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1"/>
            <w:tabs>
              <w:tab w:val="right" w:leader="dot" w:pos="9350"/>
            </w:tabs>
            <w:rPr>
              <w:rFonts w:eastAsiaTheme="minorEastAsia" w:cstheme="minorBidi"/>
              <w:b w:val="0"/>
              <w:bCs w:val="0"/>
              <w:i w:val="0"/>
              <w:iCs w:val="0"/>
              <w:noProof/>
            </w:rPr>
          </w:pPr>
          <w:hyperlink w:anchor="_Toc39584257" w:history="1">
            <w:r w:rsidRPr="00263CE3">
              <w:rPr>
                <w:rStyle w:val="Hyperlink"/>
                <w:rFonts w:ascii="Garamond" w:hAnsi="Garamond"/>
                <w:noProof/>
              </w:rPr>
              <w:t>Policy Actions and Recommendations</w:t>
            </w:r>
            <w:r>
              <w:rPr>
                <w:noProof/>
                <w:webHidden/>
              </w:rPr>
              <w:tab/>
            </w:r>
            <w:r>
              <w:rPr>
                <w:noProof/>
                <w:webHidden/>
              </w:rPr>
              <w:fldChar w:fldCharType="begin"/>
            </w:r>
            <w:r>
              <w:rPr>
                <w:noProof/>
                <w:webHidden/>
              </w:rPr>
              <w:instrText xml:space="preserve"> PAGEREF _Toc39584257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58" w:history="1">
            <w:r w:rsidRPr="00263CE3">
              <w:rPr>
                <w:rStyle w:val="Hyperlink"/>
                <w:rFonts w:ascii="Garamond" w:hAnsi="Garamond"/>
                <w:i/>
                <w:noProof/>
              </w:rPr>
              <w:t>Corporate Tax</w:t>
            </w:r>
            <w:r>
              <w:rPr>
                <w:noProof/>
                <w:webHidden/>
              </w:rPr>
              <w:tab/>
            </w:r>
            <w:r>
              <w:rPr>
                <w:noProof/>
                <w:webHidden/>
              </w:rPr>
              <w:fldChar w:fldCharType="begin"/>
            </w:r>
            <w:r>
              <w:rPr>
                <w:noProof/>
                <w:webHidden/>
              </w:rPr>
              <w:instrText xml:space="preserve"> PAGEREF _Toc39584258 \h </w:instrText>
            </w:r>
            <w:r>
              <w:rPr>
                <w:noProof/>
                <w:webHidden/>
              </w:rPr>
            </w:r>
            <w:r>
              <w:rPr>
                <w:noProof/>
                <w:webHidden/>
              </w:rPr>
              <w:fldChar w:fldCharType="separate"/>
            </w:r>
            <w:r>
              <w:rPr>
                <w:noProof/>
                <w:webHidden/>
              </w:rPr>
              <w:t>18</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59" w:history="1">
            <w:r w:rsidRPr="00263CE3">
              <w:rPr>
                <w:rStyle w:val="Hyperlink"/>
                <w:rFonts w:ascii="Garamond" w:hAnsi="Garamond"/>
                <w:i/>
                <w:iCs/>
                <w:noProof/>
              </w:rPr>
              <w:t>Evaluation</w:t>
            </w:r>
            <w:r>
              <w:rPr>
                <w:noProof/>
                <w:webHidden/>
              </w:rPr>
              <w:tab/>
            </w:r>
            <w:r>
              <w:rPr>
                <w:noProof/>
                <w:webHidden/>
              </w:rPr>
              <w:fldChar w:fldCharType="begin"/>
            </w:r>
            <w:r>
              <w:rPr>
                <w:noProof/>
                <w:webHidden/>
              </w:rPr>
              <w:instrText xml:space="preserve"> PAGEREF _Toc39584259 \h </w:instrText>
            </w:r>
            <w:r>
              <w:rPr>
                <w:noProof/>
                <w:webHidden/>
              </w:rPr>
            </w:r>
            <w:r>
              <w:rPr>
                <w:noProof/>
                <w:webHidden/>
              </w:rPr>
              <w:fldChar w:fldCharType="separate"/>
            </w:r>
            <w:r>
              <w:rPr>
                <w:noProof/>
                <w:webHidden/>
              </w:rPr>
              <w:t>20</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60" w:history="1">
            <w:r w:rsidRPr="00263CE3">
              <w:rPr>
                <w:rStyle w:val="Hyperlink"/>
                <w:rFonts w:ascii="Garamond" w:hAnsi="Garamond"/>
                <w:i/>
                <w:noProof/>
              </w:rPr>
              <w:t>Progressive Income Tax</w:t>
            </w:r>
            <w:r>
              <w:rPr>
                <w:noProof/>
                <w:webHidden/>
              </w:rPr>
              <w:tab/>
            </w:r>
            <w:r>
              <w:rPr>
                <w:noProof/>
                <w:webHidden/>
              </w:rPr>
              <w:fldChar w:fldCharType="begin"/>
            </w:r>
            <w:r>
              <w:rPr>
                <w:noProof/>
                <w:webHidden/>
              </w:rPr>
              <w:instrText xml:space="preserve"> PAGEREF _Toc39584260 \h </w:instrText>
            </w:r>
            <w:r>
              <w:rPr>
                <w:noProof/>
                <w:webHidden/>
              </w:rPr>
            </w:r>
            <w:r>
              <w:rPr>
                <w:noProof/>
                <w:webHidden/>
              </w:rPr>
              <w:fldChar w:fldCharType="separate"/>
            </w:r>
            <w:r>
              <w:rPr>
                <w:noProof/>
                <w:webHidden/>
              </w:rPr>
              <w:t>21</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61" w:history="1">
            <w:r w:rsidRPr="00263CE3">
              <w:rPr>
                <w:rStyle w:val="Hyperlink"/>
                <w:rFonts w:ascii="Garamond" w:hAnsi="Garamond"/>
                <w:i/>
                <w:iCs/>
                <w:noProof/>
              </w:rPr>
              <w:t>Evaluation</w:t>
            </w:r>
            <w:r>
              <w:rPr>
                <w:noProof/>
                <w:webHidden/>
              </w:rPr>
              <w:tab/>
            </w:r>
            <w:r>
              <w:rPr>
                <w:noProof/>
                <w:webHidden/>
              </w:rPr>
              <w:fldChar w:fldCharType="begin"/>
            </w:r>
            <w:r>
              <w:rPr>
                <w:noProof/>
                <w:webHidden/>
              </w:rPr>
              <w:instrText xml:space="preserve"> PAGEREF _Toc39584261 \h </w:instrText>
            </w:r>
            <w:r>
              <w:rPr>
                <w:noProof/>
                <w:webHidden/>
              </w:rPr>
            </w:r>
            <w:r>
              <w:rPr>
                <w:noProof/>
                <w:webHidden/>
              </w:rPr>
              <w:fldChar w:fldCharType="separate"/>
            </w:r>
            <w:r>
              <w:rPr>
                <w:noProof/>
                <w:webHidden/>
              </w:rPr>
              <w:t>22</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62" w:history="1">
            <w:r w:rsidRPr="00263CE3">
              <w:rPr>
                <w:rStyle w:val="Hyperlink"/>
                <w:rFonts w:ascii="Garamond" w:hAnsi="Garamond"/>
                <w:i/>
                <w:noProof/>
              </w:rPr>
              <w:t>Progressive Wealth Tax</w:t>
            </w:r>
            <w:r>
              <w:rPr>
                <w:noProof/>
                <w:webHidden/>
              </w:rPr>
              <w:tab/>
            </w:r>
            <w:r>
              <w:rPr>
                <w:noProof/>
                <w:webHidden/>
              </w:rPr>
              <w:fldChar w:fldCharType="begin"/>
            </w:r>
            <w:r>
              <w:rPr>
                <w:noProof/>
                <w:webHidden/>
              </w:rPr>
              <w:instrText xml:space="preserve"> PAGEREF _Toc39584262 \h </w:instrText>
            </w:r>
            <w:r>
              <w:rPr>
                <w:noProof/>
                <w:webHidden/>
              </w:rPr>
            </w:r>
            <w:r>
              <w:rPr>
                <w:noProof/>
                <w:webHidden/>
              </w:rPr>
              <w:fldChar w:fldCharType="separate"/>
            </w:r>
            <w:r>
              <w:rPr>
                <w:noProof/>
                <w:webHidden/>
              </w:rPr>
              <w:t>23</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63" w:history="1">
            <w:r w:rsidRPr="00263CE3">
              <w:rPr>
                <w:rStyle w:val="Hyperlink"/>
                <w:rFonts w:ascii="Garamond" w:hAnsi="Garamond"/>
                <w:i/>
                <w:iCs/>
                <w:noProof/>
              </w:rPr>
              <w:t>Evaluation</w:t>
            </w:r>
            <w:r>
              <w:rPr>
                <w:noProof/>
                <w:webHidden/>
              </w:rPr>
              <w:tab/>
            </w:r>
            <w:r>
              <w:rPr>
                <w:noProof/>
                <w:webHidden/>
              </w:rPr>
              <w:fldChar w:fldCharType="begin"/>
            </w:r>
            <w:r>
              <w:rPr>
                <w:noProof/>
                <w:webHidden/>
              </w:rPr>
              <w:instrText xml:space="preserve"> PAGEREF _Toc39584263 \h </w:instrText>
            </w:r>
            <w:r>
              <w:rPr>
                <w:noProof/>
                <w:webHidden/>
              </w:rPr>
            </w:r>
            <w:r>
              <w:rPr>
                <w:noProof/>
                <w:webHidden/>
              </w:rPr>
              <w:fldChar w:fldCharType="separate"/>
            </w:r>
            <w:r>
              <w:rPr>
                <w:noProof/>
                <w:webHidden/>
              </w:rPr>
              <w:t>24</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64" w:history="1">
            <w:r w:rsidRPr="00263CE3">
              <w:rPr>
                <w:rStyle w:val="Hyperlink"/>
                <w:rFonts w:ascii="Garamond" w:hAnsi="Garamond"/>
                <w:i/>
                <w:noProof/>
              </w:rPr>
              <w:t>Tax Avoidance</w:t>
            </w:r>
            <w:r>
              <w:rPr>
                <w:noProof/>
                <w:webHidden/>
              </w:rPr>
              <w:tab/>
            </w:r>
            <w:r>
              <w:rPr>
                <w:noProof/>
                <w:webHidden/>
              </w:rPr>
              <w:fldChar w:fldCharType="begin"/>
            </w:r>
            <w:r>
              <w:rPr>
                <w:noProof/>
                <w:webHidden/>
              </w:rPr>
              <w:instrText xml:space="preserve"> PAGEREF _Toc39584264 \h </w:instrText>
            </w:r>
            <w:r>
              <w:rPr>
                <w:noProof/>
                <w:webHidden/>
              </w:rPr>
            </w:r>
            <w:r>
              <w:rPr>
                <w:noProof/>
                <w:webHidden/>
              </w:rPr>
              <w:fldChar w:fldCharType="separate"/>
            </w:r>
            <w:r>
              <w:rPr>
                <w:noProof/>
                <w:webHidden/>
              </w:rPr>
              <w:t>25</w:t>
            </w:r>
            <w:r>
              <w:rPr>
                <w:noProof/>
                <w:webHidden/>
              </w:rPr>
              <w:fldChar w:fldCharType="end"/>
            </w:r>
          </w:hyperlink>
        </w:p>
        <w:p w:rsidR="004732AF" w:rsidRDefault="004732AF">
          <w:pPr>
            <w:pStyle w:val="TOC3"/>
            <w:tabs>
              <w:tab w:val="right" w:leader="dot" w:pos="9350"/>
            </w:tabs>
            <w:rPr>
              <w:rFonts w:eastAsiaTheme="minorEastAsia" w:cstheme="minorBidi"/>
              <w:noProof/>
              <w:sz w:val="24"/>
              <w:szCs w:val="24"/>
            </w:rPr>
          </w:pPr>
          <w:hyperlink w:anchor="_Toc39584265" w:history="1">
            <w:r w:rsidRPr="00263CE3">
              <w:rPr>
                <w:rStyle w:val="Hyperlink"/>
                <w:rFonts w:ascii="Garamond" w:hAnsi="Garamond"/>
                <w:i/>
                <w:iCs/>
                <w:noProof/>
              </w:rPr>
              <w:t>Evaluation</w:t>
            </w:r>
            <w:r>
              <w:rPr>
                <w:noProof/>
                <w:webHidden/>
              </w:rPr>
              <w:tab/>
            </w:r>
            <w:r>
              <w:rPr>
                <w:noProof/>
                <w:webHidden/>
              </w:rPr>
              <w:fldChar w:fldCharType="begin"/>
            </w:r>
            <w:r>
              <w:rPr>
                <w:noProof/>
                <w:webHidden/>
              </w:rPr>
              <w:instrText xml:space="preserve"> PAGEREF _Toc39584265 \h </w:instrText>
            </w:r>
            <w:r>
              <w:rPr>
                <w:noProof/>
                <w:webHidden/>
              </w:rPr>
            </w:r>
            <w:r>
              <w:rPr>
                <w:noProof/>
                <w:webHidden/>
              </w:rPr>
              <w:fldChar w:fldCharType="separate"/>
            </w:r>
            <w:r>
              <w:rPr>
                <w:noProof/>
                <w:webHidden/>
              </w:rPr>
              <w:t>26</w:t>
            </w:r>
            <w:r>
              <w:rPr>
                <w:noProof/>
                <w:webHidden/>
              </w:rPr>
              <w:fldChar w:fldCharType="end"/>
            </w:r>
          </w:hyperlink>
        </w:p>
        <w:p w:rsidR="004732AF" w:rsidRDefault="004732AF">
          <w:pPr>
            <w:pStyle w:val="TOC2"/>
            <w:tabs>
              <w:tab w:val="right" w:leader="dot" w:pos="9350"/>
            </w:tabs>
            <w:rPr>
              <w:rFonts w:eastAsiaTheme="minorEastAsia" w:cstheme="minorBidi"/>
              <w:b w:val="0"/>
              <w:bCs w:val="0"/>
              <w:noProof/>
              <w:sz w:val="24"/>
              <w:szCs w:val="24"/>
            </w:rPr>
          </w:pPr>
          <w:hyperlink w:anchor="_Toc39584266" w:history="1">
            <w:r w:rsidRPr="00263CE3">
              <w:rPr>
                <w:rStyle w:val="Hyperlink"/>
                <w:rFonts w:ascii="Garamond" w:hAnsi="Garamond"/>
                <w:i/>
                <w:iCs/>
                <w:noProof/>
              </w:rPr>
              <w:t>Policy Recommendation</w:t>
            </w:r>
            <w:r>
              <w:rPr>
                <w:noProof/>
                <w:webHidden/>
              </w:rPr>
              <w:tab/>
            </w:r>
            <w:r>
              <w:rPr>
                <w:noProof/>
                <w:webHidden/>
              </w:rPr>
              <w:fldChar w:fldCharType="begin"/>
            </w:r>
            <w:r>
              <w:rPr>
                <w:noProof/>
                <w:webHidden/>
              </w:rPr>
              <w:instrText xml:space="preserve"> PAGEREF _Toc39584266 \h </w:instrText>
            </w:r>
            <w:r>
              <w:rPr>
                <w:noProof/>
                <w:webHidden/>
              </w:rPr>
            </w:r>
            <w:r>
              <w:rPr>
                <w:noProof/>
                <w:webHidden/>
              </w:rPr>
              <w:fldChar w:fldCharType="separate"/>
            </w:r>
            <w:r>
              <w:rPr>
                <w:noProof/>
                <w:webHidden/>
              </w:rPr>
              <w:t>27</w:t>
            </w:r>
            <w:r>
              <w:rPr>
                <w:noProof/>
                <w:webHidden/>
              </w:rPr>
              <w:fldChar w:fldCharType="end"/>
            </w:r>
          </w:hyperlink>
        </w:p>
        <w:p w:rsidR="004732AF" w:rsidRPr="004732AF" w:rsidRDefault="004732AF">
          <w:pPr>
            <w:pStyle w:val="TOC1"/>
            <w:tabs>
              <w:tab w:val="right" w:leader="dot" w:pos="9350"/>
            </w:tabs>
            <w:rPr>
              <w:rFonts w:ascii="Garamond" w:eastAsiaTheme="minorEastAsia" w:hAnsi="Garamond" w:cstheme="minorBidi"/>
              <w:b w:val="0"/>
              <w:bCs w:val="0"/>
              <w:i w:val="0"/>
              <w:iCs w:val="0"/>
              <w:noProof/>
            </w:rPr>
          </w:pPr>
          <w:hyperlink w:anchor="_Toc39584267" w:history="1">
            <w:r w:rsidRPr="004732AF">
              <w:rPr>
                <w:rStyle w:val="Hyperlink"/>
                <w:rFonts w:ascii="Garamond" w:hAnsi="Garamond"/>
                <w:noProof/>
              </w:rPr>
              <w:t>Works Cited</w:t>
            </w:r>
            <w:r w:rsidRPr="004732AF">
              <w:rPr>
                <w:rFonts w:ascii="Garamond" w:hAnsi="Garamond"/>
                <w:noProof/>
                <w:webHidden/>
              </w:rPr>
              <w:tab/>
            </w:r>
            <w:r w:rsidRPr="004732AF">
              <w:rPr>
                <w:rFonts w:ascii="Garamond" w:hAnsi="Garamond"/>
                <w:noProof/>
                <w:webHidden/>
              </w:rPr>
              <w:fldChar w:fldCharType="begin"/>
            </w:r>
            <w:r w:rsidRPr="004732AF">
              <w:rPr>
                <w:rFonts w:ascii="Garamond" w:hAnsi="Garamond"/>
                <w:noProof/>
                <w:webHidden/>
              </w:rPr>
              <w:instrText xml:space="preserve"> PAGEREF _Toc39584267 \h </w:instrText>
            </w:r>
            <w:r w:rsidRPr="004732AF">
              <w:rPr>
                <w:rFonts w:ascii="Garamond" w:hAnsi="Garamond"/>
                <w:noProof/>
                <w:webHidden/>
              </w:rPr>
            </w:r>
            <w:r w:rsidRPr="004732AF">
              <w:rPr>
                <w:rFonts w:ascii="Garamond" w:hAnsi="Garamond"/>
                <w:noProof/>
                <w:webHidden/>
              </w:rPr>
              <w:fldChar w:fldCharType="separate"/>
            </w:r>
            <w:r w:rsidRPr="004732AF">
              <w:rPr>
                <w:rFonts w:ascii="Garamond" w:hAnsi="Garamond"/>
                <w:noProof/>
                <w:webHidden/>
              </w:rPr>
              <w:t>29</w:t>
            </w:r>
            <w:r w:rsidRPr="004732AF">
              <w:rPr>
                <w:rFonts w:ascii="Garamond" w:hAnsi="Garamond"/>
                <w:noProof/>
                <w:webHidden/>
              </w:rPr>
              <w:fldChar w:fldCharType="end"/>
            </w:r>
          </w:hyperlink>
        </w:p>
        <w:p w:rsidR="004732AF" w:rsidRPr="004732AF" w:rsidRDefault="004732AF">
          <w:pPr>
            <w:pStyle w:val="TOC1"/>
            <w:tabs>
              <w:tab w:val="right" w:leader="dot" w:pos="9350"/>
            </w:tabs>
            <w:rPr>
              <w:rFonts w:ascii="Garamond" w:eastAsiaTheme="minorEastAsia" w:hAnsi="Garamond" w:cstheme="minorBidi"/>
              <w:b w:val="0"/>
              <w:bCs w:val="0"/>
              <w:i w:val="0"/>
              <w:iCs w:val="0"/>
              <w:noProof/>
            </w:rPr>
          </w:pPr>
          <w:hyperlink w:anchor="_Toc39584268" w:history="1">
            <w:r w:rsidRPr="004732AF">
              <w:rPr>
                <w:rStyle w:val="Hyperlink"/>
                <w:rFonts w:ascii="Garamond" w:hAnsi="Garamond"/>
                <w:noProof/>
              </w:rPr>
              <w:t>Appendix</w:t>
            </w:r>
            <w:r w:rsidRPr="004732AF">
              <w:rPr>
                <w:rFonts w:ascii="Garamond" w:hAnsi="Garamond"/>
                <w:noProof/>
                <w:webHidden/>
              </w:rPr>
              <w:tab/>
            </w:r>
            <w:r w:rsidRPr="004732AF">
              <w:rPr>
                <w:rFonts w:ascii="Garamond" w:hAnsi="Garamond"/>
                <w:noProof/>
                <w:webHidden/>
              </w:rPr>
              <w:fldChar w:fldCharType="begin"/>
            </w:r>
            <w:r w:rsidRPr="004732AF">
              <w:rPr>
                <w:rFonts w:ascii="Garamond" w:hAnsi="Garamond"/>
                <w:noProof/>
                <w:webHidden/>
              </w:rPr>
              <w:instrText xml:space="preserve"> PAGEREF _Toc39584268 \h </w:instrText>
            </w:r>
            <w:r w:rsidRPr="004732AF">
              <w:rPr>
                <w:rFonts w:ascii="Garamond" w:hAnsi="Garamond"/>
                <w:noProof/>
                <w:webHidden/>
              </w:rPr>
            </w:r>
            <w:r w:rsidRPr="004732AF">
              <w:rPr>
                <w:rFonts w:ascii="Garamond" w:hAnsi="Garamond"/>
                <w:noProof/>
                <w:webHidden/>
              </w:rPr>
              <w:fldChar w:fldCharType="separate"/>
            </w:r>
            <w:r w:rsidRPr="004732AF">
              <w:rPr>
                <w:rFonts w:ascii="Garamond" w:hAnsi="Garamond"/>
                <w:noProof/>
                <w:webHidden/>
              </w:rPr>
              <w:t>36</w:t>
            </w:r>
            <w:r w:rsidRPr="004732AF">
              <w:rPr>
                <w:rFonts w:ascii="Garamond" w:hAnsi="Garamond"/>
                <w:noProof/>
                <w:webHidden/>
              </w:rPr>
              <w:fldChar w:fldCharType="end"/>
            </w:r>
          </w:hyperlink>
        </w:p>
        <w:p w:rsidR="00646A3B" w:rsidRPr="00601768" w:rsidRDefault="00646A3B" w:rsidP="00AC3F78">
          <w:pPr>
            <w:spacing w:line="480" w:lineRule="auto"/>
            <w:rPr>
              <w:color w:val="000000" w:themeColor="text1"/>
            </w:rPr>
          </w:pPr>
          <w:r w:rsidRPr="00601768">
            <w:rPr>
              <w:b/>
              <w:bCs/>
              <w:noProof/>
              <w:color w:val="000000" w:themeColor="text1"/>
            </w:rPr>
            <w:fldChar w:fldCharType="end"/>
          </w:r>
        </w:p>
      </w:sdtContent>
    </w:sdt>
    <w:p w:rsidR="00646A3B" w:rsidRDefault="00646A3B" w:rsidP="00AC3F78">
      <w:pPr>
        <w:spacing w:line="480" w:lineRule="auto"/>
      </w:pPr>
    </w:p>
    <w:p w:rsidR="00303F77" w:rsidRDefault="00303F77" w:rsidP="00AC3F78">
      <w:pPr>
        <w:spacing w:line="480" w:lineRule="auto"/>
        <w:sectPr w:rsidR="00303F77" w:rsidSect="00303F77">
          <w:headerReference w:type="even" r:id="rId8"/>
          <w:headerReference w:type="default" r:id="rId9"/>
          <w:pgSz w:w="12240" w:h="15840"/>
          <w:pgMar w:top="1440" w:right="1440" w:bottom="1440" w:left="1440" w:header="720" w:footer="720" w:gutter="0"/>
          <w:pgNumType w:start="1"/>
          <w:cols w:space="720"/>
          <w:titlePg/>
          <w:docGrid w:linePitch="360"/>
        </w:sectPr>
      </w:pPr>
    </w:p>
    <w:p w:rsidR="0065561B" w:rsidRDefault="0065561B" w:rsidP="0065561B">
      <w:pPr>
        <w:spacing w:line="480" w:lineRule="auto"/>
        <w:rPr>
          <w:u w:val="single"/>
        </w:rPr>
      </w:pPr>
      <w:r>
        <w:lastRenderedPageBreak/>
        <w:t xml:space="preserve">To: </w:t>
      </w:r>
      <w:r w:rsidRPr="00B021A5">
        <w:rPr>
          <w:u w:val="single"/>
        </w:rPr>
        <w:t xml:space="preserve">United States Congress Joint Committee on Taxes; </w:t>
      </w:r>
    </w:p>
    <w:p w:rsidR="0065561B" w:rsidRDefault="0065561B" w:rsidP="0065561B">
      <w:pPr>
        <w:spacing w:line="480" w:lineRule="auto"/>
        <w:ind w:left="360"/>
      </w:pPr>
      <w:r w:rsidRPr="00B021A5">
        <w:rPr>
          <w:u w:val="single"/>
        </w:rPr>
        <w:t>United States House of Representatives Ways and Means Committee</w:t>
      </w:r>
    </w:p>
    <w:p w:rsidR="0065561B" w:rsidRPr="00B021A5" w:rsidRDefault="0065561B" w:rsidP="0065561B">
      <w:pPr>
        <w:spacing w:line="480" w:lineRule="auto"/>
        <w:rPr>
          <w:u w:val="single"/>
        </w:rPr>
      </w:pPr>
      <w:r>
        <w:t xml:space="preserve">From: </w:t>
      </w:r>
      <w:r w:rsidRPr="00B021A5">
        <w:rPr>
          <w:u w:val="single"/>
        </w:rPr>
        <w:t>Joaquin Domingue</w:t>
      </w:r>
      <w:r>
        <w:rPr>
          <w:u w:val="single"/>
        </w:rPr>
        <w:t>z</w:t>
      </w:r>
    </w:p>
    <w:p w:rsidR="0065561B" w:rsidRDefault="0065561B" w:rsidP="0065561B">
      <w:pPr>
        <w:spacing w:line="480" w:lineRule="auto"/>
      </w:pPr>
      <w:r>
        <w:t xml:space="preserve">Date: </w:t>
      </w:r>
      <w:r>
        <w:rPr>
          <w:u w:val="single"/>
        </w:rPr>
        <w:t>May 5, 2020</w:t>
      </w:r>
    </w:p>
    <w:p w:rsidR="0065561B" w:rsidRPr="0065561B" w:rsidRDefault="0065561B" w:rsidP="0065561B">
      <w:pPr>
        <w:spacing w:line="480" w:lineRule="auto"/>
        <w:rPr>
          <w:u w:val="single"/>
        </w:rPr>
      </w:pPr>
      <w:r>
        <w:t xml:space="preserve">Re: </w:t>
      </w:r>
      <w:r w:rsidRPr="00B021A5">
        <w:rPr>
          <w:u w:val="single"/>
        </w:rPr>
        <w:t>Fiscal Policy Reform as a Means to Address Income Inequality</w:t>
      </w:r>
    </w:p>
    <w:p w:rsidR="007D1B4B" w:rsidRPr="00F65293" w:rsidRDefault="007D1B4B" w:rsidP="00AC3F78">
      <w:pPr>
        <w:pStyle w:val="Heading1"/>
        <w:spacing w:line="480" w:lineRule="auto"/>
        <w:rPr>
          <w:rFonts w:ascii="Garamond" w:hAnsi="Garamond"/>
          <w:color w:val="000000" w:themeColor="text1"/>
        </w:rPr>
      </w:pPr>
      <w:bookmarkStart w:id="0" w:name="_Toc39584232"/>
      <w:r w:rsidRPr="00F65293">
        <w:rPr>
          <w:rFonts w:ascii="Garamond" w:hAnsi="Garamond"/>
          <w:color w:val="000000" w:themeColor="text1"/>
        </w:rPr>
        <w:t>Executive Summary</w:t>
      </w:r>
      <w:bookmarkEnd w:id="0"/>
    </w:p>
    <w:p w:rsidR="007D1B4B" w:rsidRPr="00601768" w:rsidRDefault="007D1B4B" w:rsidP="00AC3F78">
      <w:pPr>
        <w:spacing w:line="480" w:lineRule="auto"/>
        <w:ind w:firstLine="720"/>
        <w:rPr>
          <w:b/>
          <w:bCs/>
          <w:color w:val="000000" w:themeColor="text1"/>
        </w:rPr>
      </w:pPr>
      <w:r w:rsidRPr="00601768">
        <w:rPr>
          <w:color w:val="000000" w:themeColor="text1"/>
        </w:rPr>
        <w:t>Outdated and ineffective macroeconomic platforms have significantly altered wealth distributions in the U.S. for the past 40 years via fiscal policy. Such influence has contributed to unsustainable levels of inequality that undermine the core of democratic governance. In consideration of the social and political ramifications current trends are likely to effect, fiscal policy reform should be used as a means to curb income inequality. It is imperative that economic growth and power be distributed through a more progressive tax system: introducing new fiscal tools</w:t>
      </w:r>
      <w:r w:rsidR="00735E21">
        <w:rPr>
          <w:color w:val="000000" w:themeColor="text1"/>
        </w:rPr>
        <w:t>, such as a wealth tax,</w:t>
      </w:r>
      <w:r w:rsidRPr="00601768">
        <w:rPr>
          <w:color w:val="000000" w:themeColor="text1"/>
        </w:rPr>
        <w:t xml:space="preserve"> to address previously untargeted sources of wealth; using modern technology and seeking international coordination to mitigate revenue loss due to tax avoidance; and integrating tax systems to reflect equality in income. In addition to being in the country’s economic and social interest, a more progressive tax reform is in order as a matter of principle—the current tax system is fundamentally unjust and should be altered to reflect the country’s values for equal opportunity and innovation</w:t>
      </w:r>
      <w:r w:rsidR="00471103" w:rsidRPr="00601768">
        <w:rPr>
          <w:color w:val="000000" w:themeColor="text1"/>
        </w:rPr>
        <w:t>.</w:t>
      </w:r>
    </w:p>
    <w:p w:rsidR="00CA4559" w:rsidRPr="00DF0368" w:rsidRDefault="00CA4559" w:rsidP="00AC3F78">
      <w:pPr>
        <w:pStyle w:val="Heading1"/>
        <w:spacing w:line="480" w:lineRule="auto"/>
        <w:rPr>
          <w:rFonts w:ascii="Garamond" w:hAnsi="Garamond"/>
          <w:color w:val="000000" w:themeColor="text1"/>
        </w:rPr>
      </w:pPr>
      <w:bookmarkStart w:id="1" w:name="_Toc39584233"/>
      <w:r w:rsidRPr="00DF0368">
        <w:rPr>
          <w:rFonts w:ascii="Garamond" w:hAnsi="Garamond"/>
          <w:color w:val="000000" w:themeColor="text1"/>
        </w:rPr>
        <w:t>Framing the Problem</w:t>
      </w:r>
      <w:bookmarkEnd w:id="1"/>
    </w:p>
    <w:p w:rsidR="00CA4559" w:rsidRPr="00601768" w:rsidRDefault="00CA4559" w:rsidP="00AC3F78">
      <w:pPr>
        <w:spacing w:line="480" w:lineRule="auto"/>
        <w:ind w:firstLine="720"/>
        <w:rPr>
          <w:color w:val="000000" w:themeColor="text1"/>
        </w:rPr>
      </w:pPr>
      <w:r w:rsidRPr="00601768">
        <w:rPr>
          <w:color w:val="000000" w:themeColor="text1"/>
        </w:rPr>
        <w:t xml:space="preserve">For the past 40 years, U.S. fiscal policy has been overwhelmingly influenced by a supply-side theory of macroeconomics—namely, one which claims that economic growth is maximized by </w:t>
      </w:r>
      <w:r w:rsidRPr="00601768">
        <w:rPr>
          <w:color w:val="000000" w:themeColor="text1"/>
        </w:rPr>
        <w:lastRenderedPageBreak/>
        <w:t>lowering taxes, especially for the highest income earners.</w:t>
      </w:r>
      <w:r w:rsidRPr="00601768">
        <w:rPr>
          <w:rStyle w:val="FootnoteReference"/>
          <w:color w:val="000000" w:themeColor="text1"/>
        </w:rPr>
        <w:footnoteReference w:id="1"/>
      </w:r>
      <w:r w:rsidRPr="00601768">
        <w:rPr>
          <w:color w:val="000000" w:themeColor="text1"/>
        </w:rPr>
        <w:t xml:space="preserve"> Fiscal policy, the theory suggests, can influence the private-sector and thus, the economy via the incentivizing of investment and employment behavior. Proponents of supply-side economics substantiate their theory with an interpretation of Arthur Laffer’s economic modeling, whereby increases in tax revenue are considered to be the result of an increase in labor supply.</w:t>
      </w:r>
      <w:r w:rsidRPr="00601768">
        <w:rPr>
          <w:rStyle w:val="FootnoteReference"/>
          <w:color w:val="000000" w:themeColor="text1"/>
        </w:rPr>
        <w:footnoteReference w:id="2"/>
      </w:r>
      <w:r w:rsidRPr="00601768">
        <w:rPr>
          <w:color w:val="000000" w:themeColor="text1"/>
        </w:rPr>
        <w:t xml:space="preserve"> This principle is a central tenet, </w:t>
      </w:r>
      <w:r w:rsidRPr="00601768">
        <w:rPr>
          <w:i/>
          <w:iCs/>
          <w:color w:val="000000" w:themeColor="text1"/>
        </w:rPr>
        <w:t>inter alia</w:t>
      </w:r>
      <w:r w:rsidRPr="00601768">
        <w:rPr>
          <w:color w:val="000000" w:themeColor="text1"/>
        </w:rPr>
        <w:t>, of an approach to governance called Neoliberalism. However, data suggests the policies implemented in line with this theory fall significantly short of the intended/predicted outcomes.</w:t>
      </w:r>
      <w:r w:rsidRPr="00601768">
        <w:rPr>
          <w:rStyle w:val="FootnoteReference"/>
          <w:color w:val="000000" w:themeColor="text1"/>
        </w:rPr>
        <w:footnoteReference w:id="3"/>
      </w:r>
      <w:r w:rsidRPr="00601768">
        <w:rPr>
          <w:color w:val="000000" w:themeColor="text1"/>
        </w:rPr>
        <w:t xml:space="preserve"> </w:t>
      </w:r>
    </w:p>
    <w:p w:rsidR="00CA4559" w:rsidRPr="00601768" w:rsidRDefault="00CA4559" w:rsidP="00AC3F78">
      <w:pPr>
        <w:pStyle w:val="Heading2"/>
        <w:spacing w:line="480" w:lineRule="auto"/>
        <w:rPr>
          <w:rFonts w:ascii="Garamond" w:hAnsi="Garamond"/>
          <w:i/>
          <w:iCs/>
          <w:color w:val="000000" w:themeColor="text1"/>
        </w:rPr>
      </w:pPr>
      <w:bookmarkStart w:id="2" w:name="_Toc39584234"/>
      <w:r w:rsidRPr="00601768">
        <w:rPr>
          <w:rFonts w:ascii="Garamond" w:hAnsi="Garamond"/>
          <w:i/>
          <w:iCs/>
          <w:color w:val="000000" w:themeColor="text1"/>
        </w:rPr>
        <w:t>Supply-Side Policy Shortcomings</w:t>
      </w:r>
      <w:bookmarkEnd w:id="2"/>
    </w:p>
    <w:p w:rsidR="00CA4559" w:rsidRPr="00601768" w:rsidRDefault="00CA4559" w:rsidP="00AC3F78">
      <w:pPr>
        <w:pStyle w:val="Heading3"/>
        <w:spacing w:line="480" w:lineRule="auto"/>
        <w:rPr>
          <w:rFonts w:ascii="Garamond" w:hAnsi="Garamond"/>
          <w:i/>
          <w:iCs/>
          <w:color w:val="000000" w:themeColor="text1"/>
        </w:rPr>
      </w:pPr>
      <w:bookmarkStart w:id="3" w:name="_Toc39584235"/>
      <w:r w:rsidRPr="00601768">
        <w:rPr>
          <w:rFonts w:ascii="Garamond" w:hAnsi="Garamond"/>
          <w:i/>
          <w:iCs/>
          <w:color w:val="000000" w:themeColor="text1"/>
        </w:rPr>
        <w:t>Comparing Reagan and Bush vs. Clinton Fiscal Policy</w:t>
      </w:r>
      <w:bookmarkEnd w:id="3"/>
    </w:p>
    <w:p w:rsidR="00CA4559" w:rsidRPr="00601768" w:rsidRDefault="00CA4559" w:rsidP="00AC3F78">
      <w:pPr>
        <w:spacing w:line="480" w:lineRule="auto"/>
        <w:ind w:firstLine="720"/>
        <w:rPr>
          <w:color w:val="000000" w:themeColor="text1"/>
        </w:rPr>
      </w:pPr>
      <w:r w:rsidRPr="00601768">
        <w:rPr>
          <w:color w:val="000000" w:themeColor="text1"/>
        </w:rPr>
        <w:t>A few metrics will allow us to evaluate the claims of supply-side theory by comparing the state of the economy during the Reagan and Bush administrations, which put forth a fiscal platform consistent with said theory, with the Clinton administration which reversed the Reagan tax cuts and implemented a more progressive fiscal policy. For example, under the supply-side policies of Reagan and Bush, investment growth averaged 4.05%, while the reversal of said policies under the Clinton administration depicts an average annual growth in nonresidential fixed investment of 10.5%.</w:t>
      </w:r>
      <w:r w:rsidRPr="00601768">
        <w:rPr>
          <w:rStyle w:val="FootnoteReference"/>
          <w:color w:val="000000" w:themeColor="text1"/>
        </w:rPr>
        <w:footnoteReference w:id="4"/>
      </w:r>
      <w:r w:rsidRPr="00601768">
        <w:rPr>
          <w:color w:val="000000" w:themeColor="text1"/>
        </w:rPr>
        <w:t xml:space="preserve"> Additionally, overall economic growth was lower during the Reagan and Bush eras with an average GDP of 3.05% compared to the Clinton era GDP of 3.8%.</w:t>
      </w:r>
      <w:r w:rsidRPr="00601768">
        <w:rPr>
          <w:rStyle w:val="FootnoteReference"/>
          <w:color w:val="000000" w:themeColor="text1"/>
        </w:rPr>
        <w:footnoteReference w:id="5"/>
      </w:r>
      <w:r w:rsidRPr="00601768">
        <w:rPr>
          <w:color w:val="000000" w:themeColor="text1"/>
        </w:rPr>
        <w:t xml:space="preserve"> Despite the supposed incentives created through the lowering of taxes, employment growth was also weaker under supply-side </w:t>
      </w:r>
      <w:r w:rsidRPr="00601768">
        <w:rPr>
          <w:color w:val="000000" w:themeColor="text1"/>
        </w:rPr>
        <w:lastRenderedPageBreak/>
        <w:t>policies (2% vs 2.6%).</w:t>
      </w:r>
      <w:r w:rsidRPr="00601768">
        <w:rPr>
          <w:rStyle w:val="FootnoteReference"/>
          <w:color w:val="000000" w:themeColor="text1"/>
        </w:rPr>
        <w:footnoteReference w:id="6"/>
      </w:r>
      <w:r w:rsidRPr="00601768">
        <w:rPr>
          <w:color w:val="000000" w:themeColor="text1"/>
        </w:rPr>
        <w:t xml:space="preserve"> More importantly, the precise demographic such policies were targeted to benefit—the middle class—saw income and wage stagnation with an average annual growth in real median household income of 1.1%, compared to 2.3% under Clinton’s fiscal platform.</w:t>
      </w:r>
      <w:r w:rsidRPr="00601768">
        <w:rPr>
          <w:rStyle w:val="FootnoteReference"/>
          <w:color w:val="000000" w:themeColor="text1"/>
        </w:rPr>
        <w:footnoteReference w:id="7"/>
      </w:r>
      <w:r w:rsidRPr="00601768">
        <w:rPr>
          <w:color w:val="000000" w:themeColor="text1"/>
        </w:rPr>
        <w:t xml:space="preserve"> </w:t>
      </w:r>
    </w:p>
    <w:p w:rsidR="00CA4559" w:rsidRPr="00601768" w:rsidRDefault="00CA4559" w:rsidP="00AC3F78">
      <w:pPr>
        <w:pStyle w:val="Heading3"/>
        <w:spacing w:line="480" w:lineRule="auto"/>
        <w:rPr>
          <w:rFonts w:ascii="Garamond" w:hAnsi="Garamond"/>
          <w:i/>
          <w:iCs/>
          <w:color w:val="000000" w:themeColor="text1"/>
        </w:rPr>
      </w:pPr>
      <w:bookmarkStart w:id="4" w:name="_Toc39584236"/>
      <w:r w:rsidRPr="00601768">
        <w:rPr>
          <w:rFonts w:ascii="Garamond" w:hAnsi="Garamond"/>
          <w:i/>
          <w:iCs/>
          <w:color w:val="000000" w:themeColor="text1"/>
        </w:rPr>
        <w:t>Increased Deficit</w:t>
      </w:r>
      <w:bookmarkEnd w:id="4"/>
    </w:p>
    <w:p w:rsidR="00735E21" w:rsidRDefault="00CA4559" w:rsidP="00AC3F78">
      <w:pPr>
        <w:spacing w:line="480" w:lineRule="auto"/>
        <w:ind w:firstLine="720"/>
        <w:rPr>
          <w:color w:val="000000" w:themeColor="text1"/>
        </w:rPr>
      </w:pPr>
      <w:r w:rsidRPr="00601768">
        <w:rPr>
          <w:color w:val="000000" w:themeColor="text1"/>
        </w:rPr>
        <w:t xml:space="preserve">An underlying premise of supply-side policies is that subsequent economic growth will offset lower tax rates vis-à-vis total federal tax revenue. Praxis and data, however, reject this notion. In 2003, when the Bush Administration was considering fiscal policy reform, the Economic Policy Institute (EPI) released a statement—signed by 10 Nobel prize laureates—wherein this economic agenda was unequivocally opposed: </w:t>
      </w:r>
    </w:p>
    <w:p w:rsidR="00735E21" w:rsidRDefault="00735E21" w:rsidP="002D7EC1">
      <w:pPr>
        <w:spacing w:line="360" w:lineRule="auto"/>
        <w:ind w:left="1080" w:right="990"/>
        <w:jc w:val="both"/>
        <w:rPr>
          <w:color w:val="000000" w:themeColor="text1"/>
        </w:rPr>
      </w:pPr>
      <w:r>
        <w:rPr>
          <w:color w:val="000000" w:themeColor="text1"/>
        </w:rPr>
        <w:t>P</w:t>
      </w:r>
      <w:r w:rsidR="00CA4559" w:rsidRPr="00601768">
        <w:rPr>
          <w:color w:val="000000" w:themeColor="text1"/>
        </w:rPr>
        <w:t>assing these tax cuts will worsen the long-term budget outlook adding to the nation’s projected chronic deficits. The fiscal deterioration will reduce the capacity of the government to finance Social Security and Medicare benefits as well as investments in schools, health, infrastructure, and basic research. Moreover, the proposed tax cuts will generate further inequalities in after-tax income.</w:t>
      </w:r>
      <w:r>
        <w:rPr>
          <w:rStyle w:val="FootnoteReference"/>
          <w:color w:val="000000" w:themeColor="text1"/>
        </w:rPr>
        <w:footnoteReference w:id="8"/>
      </w:r>
    </w:p>
    <w:p w:rsidR="00ED352F" w:rsidRDefault="00CA4559" w:rsidP="00735E21">
      <w:pPr>
        <w:spacing w:line="480" w:lineRule="auto"/>
        <w:rPr>
          <w:color w:val="000000" w:themeColor="text1"/>
        </w:rPr>
      </w:pPr>
      <w:r w:rsidRPr="00601768">
        <w:rPr>
          <w:color w:val="000000" w:themeColor="text1"/>
        </w:rPr>
        <w:t xml:space="preserve"> Indeed, in the five fiscal years proceeding adoption of this legislation, the $860 billion tax cuts not only failed to be revenue neutral, but notably had a total net effect on the deficit of $929 billion (with interest costs).</w:t>
      </w:r>
      <w:r w:rsidRPr="00601768">
        <w:rPr>
          <w:rStyle w:val="FootnoteReference"/>
          <w:color w:val="000000" w:themeColor="text1"/>
        </w:rPr>
        <w:footnoteReference w:id="9"/>
      </w:r>
      <w:r w:rsidRPr="00601768">
        <w:rPr>
          <w:color w:val="000000" w:themeColor="text1"/>
        </w:rPr>
        <w:t xml:space="preserve"> </w:t>
      </w:r>
    </w:p>
    <w:p w:rsidR="00CA4559" w:rsidRPr="00601768" w:rsidRDefault="00CA4559" w:rsidP="00AC3F78">
      <w:pPr>
        <w:spacing w:line="480" w:lineRule="auto"/>
        <w:ind w:firstLine="720"/>
        <w:rPr>
          <w:color w:val="000000" w:themeColor="text1"/>
        </w:rPr>
      </w:pPr>
      <w:r w:rsidRPr="00601768">
        <w:rPr>
          <w:color w:val="000000" w:themeColor="text1"/>
        </w:rPr>
        <w:t>Most recently, upon deliberation of the Trump Administration’s fiscal policy reform, Treasury Secretary Steven Mnuchin stated of the Tax Cuts and Jobs Act of 2017 (TCJA), “the tax plan will pay for itself with economic growth.”</w:t>
      </w:r>
      <w:r w:rsidRPr="00601768">
        <w:rPr>
          <w:rStyle w:val="FootnoteReference"/>
          <w:color w:val="000000" w:themeColor="text1"/>
        </w:rPr>
        <w:footnoteReference w:id="10"/>
      </w:r>
      <w:r w:rsidRPr="00601768">
        <w:rPr>
          <w:color w:val="000000" w:themeColor="text1"/>
        </w:rPr>
        <w:t xml:space="preserve"> Senate Majority Leader Mitch McConnel went a </w:t>
      </w:r>
      <w:r w:rsidRPr="00601768">
        <w:rPr>
          <w:color w:val="000000" w:themeColor="text1"/>
        </w:rPr>
        <w:lastRenderedPageBreak/>
        <w:t>step further and claimed, “I not only don’t think it will increase the deficit, I think it will be beyond revenue-neutral. In other words, I think it will be more than enough to fill that gap.”</w:t>
      </w:r>
      <w:r w:rsidRPr="00601768">
        <w:rPr>
          <w:rStyle w:val="FootnoteReference"/>
          <w:color w:val="000000" w:themeColor="text1"/>
        </w:rPr>
        <w:footnoteReference w:id="11"/>
      </w:r>
      <w:r w:rsidRPr="00601768">
        <w:rPr>
          <w:color w:val="000000" w:themeColor="text1"/>
        </w:rPr>
        <w:t xml:space="preserve"> Unsurprisingly, upon the passing of the TCJA, corporate tax revenues fell 31 percent in the first year.</w:t>
      </w:r>
      <w:r w:rsidRPr="00601768">
        <w:rPr>
          <w:rStyle w:val="FootnoteReference"/>
          <w:color w:val="000000" w:themeColor="text1"/>
        </w:rPr>
        <w:footnoteReference w:id="12"/>
      </w:r>
      <w:r w:rsidRPr="00601768">
        <w:rPr>
          <w:color w:val="000000" w:themeColor="text1"/>
        </w:rPr>
        <w:t xml:space="preserve"> Notwithstanding the fiscal stimulus package in the form of lowered tax rates, the total tax revenue has decreased since the passing of the TCJA, significantly increasing the deficit.</w:t>
      </w:r>
      <w:r w:rsidRPr="00601768">
        <w:rPr>
          <w:rStyle w:val="FootnoteReference"/>
          <w:color w:val="000000" w:themeColor="text1"/>
        </w:rPr>
        <w:footnoteReference w:id="13"/>
      </w:r>
      <w:r w:rsidRPr="00601768">
        <w:rPr>
          <w:color w:val="000000" w:themeColor="text1"/>
        </w:rPr>
        <w:t xml:space="preserve"> As predicted by most economists and the Congressional Budget Office</w:t>
      </w:r>
      <w:r w:rsidR="002D7EC1">
        <w:rPr>
          <w:color w:val="000000" w:themeColor="text1"/>
        </w:rPr>
        <w:t xml:space="preserve"> (CBO)</w:t>
      </w:r>
      <w:r w:rsidRPr="00601768">
        <w:rPr>
          <w:color w:val="000000" w:themeColor="text1"/>
        </w:rPr>
        <w:t>, the TJCA fell considerably short of its predicted outcome, with regards to revenue neutrality and job creation. With an increasing deficit, inflationary constraints limit the potential for future policy makers to engage in discretionary stimulus programs, ad hoc or otherwise beneficial to economic growth.</w:t>
      </w:r>
    </w:p>
    <w:p w:rsidR="00CA4559" w:rsidRPr="00DF0368" w:rsidRDefault="00953081" w:rsidP="00AC3F78">
      <w:pPr>
        <w:pStyle w:val="Heading3"/>
        <w:spacing w:line="480" w:lineRule="auto"/>
        <w:rPr>
          <w:rFonts w:ascii="Garamond" w:hAnsi="Garamond"/>
          <w:i/>
          <w:iCs/>
          <w:color w:val="000000" w:themeColor="text1"/>
        </w:rPr>
      </w:pPr>
      <w:r>
        <w:rPr>
          <w:rFonts w:ascii="Garamond" w:hAnsi="Garamond"/>
          <w:i/>
          <w:iCs/>
          <w:color w:val="000000" w:themeColor="text1"/>
        </w:rPr>
        <w:t>Interested Actors</w:t>
      </w:r>
    </w:p>
    <w:p w:rsidR="00CA4559" w:rsidRPr="00601768" w:rsidRDefault="00CA4559" w:rsidP="00AC3F78">
      <w:pPr>
        <w:spacing w:line="480" w:lineRule="auto"/>
        <w:ind w:firstLine="720"/>
        <w:rPr>
          <w:color w:val="000000" w:themeColor="text1"/>
        </w:rPr>
      </w:pPr>
      <w:r w:rsidRPr="00601768">
        <w:rPr>
          <w:color w:val="000000" w:themeColor="text1"/>
        </w:rPr>
        <w:t>The measures used above depict outcomes from supply-side policies that are ineffective for most members of the economy; however, such policies have been shown to benefit the highest-income earners (i.e., those to whom the tax cuts apply). A recent analysis from the International Monetary Fund (IMF) found the top beneficiaries of the TJCA invested only 20 percent of their increased cashflow toward capital expenditures or R&amp;D, while the remaining 80 percent was directed toward buybacks, dividends, and other asset planning adjustments.</w:t>
      </w:r>
      <w:r w:rsidRPr="00601768">
        <w:rPr>
          <w:rStyle w:val="FootnoteReference"/>
          <w:color w:val="000000" w:themeColor="text1"/>
        </w:rPr>
        <w:footnoteReference w:id="14"/>
      </w:r>
      <w:r w:rsidRPr="00601768">
        <w:rPr>
          <w:color w:val="000000" w:themeColor="text1"/>
        </w:rPr>
        <w:t xml:space="preserve"> Simply put, the additional revenue afforded by these tax cuts mostly benefited shareholders instead of increasing wages and investment opportunities.</w:t>
      </w:r>
    </w:p>
    <w:p w:rsidR="00CA4559" w:rsidRPr="00DF0368" w:rsidRDefault="00CA4559" w:rsidP="00AC3F78">
      <w:pPr>
        <w:pStyle w:val="Heading2"/>
        <w:spacing w:line="480" w:lineRule="auto"/>
        <w:rPr>
          <w:rFonts w:ascii="Garamond" w:hAnsi="Garamond"/>
          <w:i/>
          <w:iCs/>
          <w:color w:val="000000" w:themeColor="text1"/>
        </w:rPr>
      </w:pPr>
      <w:bookmarkStart w:id="5" w:name="_Toc39584238"/>
      <w:r w:rsidRPr="00DF0368">
        <w:rPr>
          <w:rFonts w:ascii="Garamond" w:hAnsi="Garamond"/>
          <w:i/>
          <w:iCs/>
          <w:color w:val="000000" w:themeColor="text1"/>
        </w:rPr>
        <w:lastRenderedPageBreak/>
        <w:t xml:space="preserve">Outlining the </w:t>
      </w:r>
      <w:r w:rsidR="00DF0368">
        <w:rPr>
          <w:rFonts w:ascii="Garamond" w:hAnsi="Garamond"/>
          <w:i/>
          <w:iCs/>
          <w:color w:val="000000" w:themeColor="text1"/>
        </w:rPr>
        <w:t>Issue</w:t>
      </w:r>
      <w:bookmarkEnd w:id="5"/>
    </w:p>
    <w:p w:rsidR="00BF06A1" w:rsidRDefault="00CA4559" w:rsidP="002D7EC1">
      <w:pPr>
        <w:spacing w:line="480" w:lineRule="auto"/>
        <w:ind w:firstLine="720"/>
        <w:rPr>
          <w:color w:val="000000" w:themeColor="text1"/>
        </w:rPr>
      </w:pPr>
      <w:r w:rsidRPr="00601768">
        <w:rPr>
          <w:color w:val="000000" w:themeColor="text1"/>
        </w:rPr>
        <w:t>A negative externality resulting from decades of implementing a supply-side fiscal platform is an unprecedented and unsustainable level of income inequality.</w:t>
      </w:r>
      <w:r w:rsidR="00953081">
        <w:rPr>
          <w:rStyle w:val="FootnoteReference"/>
          <w:color w:val="000000" w:themeColor="text1"/>
        </w:rPr>
        <w:footnoteReference w:id="15"/>
      </w:r>
      <w:r w:rsidRPr="00601768">
        <w:rPr>
          <w:color w:val="000000" w:themeColor="text1"/>
        </w:rPr>
        <w:t xml:space="preserve"> With a Gini coefficient of .43, the U.S. has the highest level of income inequality among G7 countries.</w:t>
      </w:r>
      <w:r w:rsidRPr="00601768">
        <w:rPr>
          <w:rStyle w:val="FootnoteReference"/>
          <w:color w:val="000000" w:themeColor="text1"/>
        </w:rPr>
        <w:footnoteReference w:id="16"/>
      </w:r>
      <w:r w:rsidRPr="00601768">
        <w:rPr>
          <w:color w:val="000000" w:themeColor="text1"/>
        </w:rPr>
        <w:t xml:space="preserve"> One manifestation of this is the wealth share of the top 1 percent of the population increasing from 30 percent to 40 percent since 1989, while the bottom 90 percent of the population saw a decrease from 33 percent to 23 percent of the wealth share.</w:t>
      </w:r>
      <w:r w:rsidRPr="00601768">
        <w:rPr>
          <w:rStyle w:val="FootnoteReference"/>
          <w:color w:val="000000" w:themeColor="text1"/>
        </w:rPr>
        <w:footnoteReference w:id="17"/>
      </w:r>
      <w:r w:rsidRPr="00601768">
        <w:rPr>
          <w:color w:val="000000" w:themeColor="text1"/>
        </w:rPr>
        <w:t xml:space="preserve"> Despite multiple tax cuts invoking supply-side theory since the Reagan administration, the bottom half of the income distribution has virtually seen no economic growth since the 1970s, while wealth has become increasingly concentrated in the highest income brackets.</w:t>
      </w:r>
      <w:r w:rsidRPr="00601768">
        <w:rPr>
          <w:rStyle w:val="FootnoteReference"/>
          <w:color w:val="000000" w:themeColor="text1"/>
        </w:rPr>
        <w:footnoteReference w:id="18"/>
      </w:r>
      <w:r w:rsidRPr="00601768">
        <w:rPr>
          <w:color w:val="000000" w:themeColor="text1"/>
        </w:rPr>
        <w:t xml:space="preserve"> </w:t>
      </w:r>
    </w:p>
    <w:p w:rsidR="008F3800" w:rsidRDefault="008F3800" w:rsidP="008F3800">
      <w:pPr>
        <w:keepNext/>
        <w:spacing w:line="480" w:lineRule="auto"/>
        <w:ind w:firstLine="90"/>
      </w:pPr>
      <w:r>
        <w:rPr>
          <w:noProof/>
        </w:rPr>
        <w:drawing>
          <wp:inline distT="0" distB="0" distL="0" distR="0" wp14:anchorId="4E2FAF29" wp14:editId="165F8779">
            <wp:extent cx="5767057" cy="3212465"/>
            <wp:effectExtent l="0" t="0" r="0" b="635"/>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6 at 8.43.30 PM.png"/>
                    <pic:cNvPicPr/>
                  </pic:nvPicPr>
                  <pic:blipFill>
                    <a:blip r:embed="rId10">
                      <a:extLst>
                        <a:ext uri="{28A0092B-C50C-407E-A947-70E740481C1C}">
                          <a14:useLocalDpi xmlns:a14="http://schemas.microsoft.com/office/drawing/2010/main" val="0"/>
                        </a:ext>
                      </a:extLst>
                    </a:blip>
                    <a:stretch>
                      <a:fillRect/>
                    </a:stretch>
                  </pic:blipFill>
                  <pic:spPr>
                    <a:xfrm>
                      <a:off x="0" y="0"/>
                      <a:ext cx="5776365" cy="3217650"/>
                    </a:xfrm>
                    <a:prstGeom prst="rect">
                      <a:avLst/>
                    </a:prstGeom>
                  </pic:spPr>
                </pic:pic>
              </a:graphicData>
            </a:graphic>
          </wp:inline>
        </w:drawing>
      </w:r>
    </w:p>
    <w:p w:rsidR="002D7EC1" w:rsidRPr="002D7EC1" w:rsidRDefault="008F3800" w:rsidP="002D7EC1">
      <w:pPr>
        <w:pStyle w:val="Caption"/>
        <w:rPr>
          <w:color w:val="000000" w:themeColor="text1"/>
        </w:rPr>
      </w:pPr>
      <w:r>
        <w:t xml:space="preserve">Figure </w:t>
      </w:r>
      <w:r w:rsidR="00953081">
        <w:t>6</w:t>
      </w:r>
      <w:r>
        <w:t>.</w:t>
      </w:r>
      <w:r w:rsidRPr="008F3800">
        <w:t xml:space="preserve"> </w:t>
      </w:r>
      <w:r>
        <w:t>The bottom 50% of income earners have been virtually shut off from economic growth since the 1970s. While average national income grew (1980-2014) by 61%, the average pre-tax income of the bottom 50% of income earners stagnated at $16,000 per adult.</w:t>
      </w:r>
      <w:bookmarkStart w:id="6" w:name="_Toc39584239"/>
    </w:p>
    <w:p w:rsidR="00CA4559" w:rsidRPr="00DF0368" w:rsidRDefault="00CA4559" w:rsidP="00AC3F78">
      <w:pPr>
        <w:pStyle w:val="Heading2"/>
        <w:spacing w:line="480" w:lineRule="auto"/>
        <w:rPr>
          <w:rFonts w:ascii="Garamond" w:hAnsi="Garamond"/>
          <w:i/>
          <w:iCs/>
          <w:color w:val="000000" w:themeColor="text1"/>
        </w:rPr>
      </w:pPr>
      <w:r w:rsidRPr="00DF0368">
        <w:rPr>
          <w:rFonts w:ascii="Garamond" w:hAnsi="Garamond"/>
          <w:i/>
          <w:iCs/>
          <w:color w:val="000000" w:themeColor="text1"/>
        </w:rPr>
        <w:lastRenderedPageBreak/>
        <w:t>Implications of Supply-Side Policies and High Inequality</w:t>
      </w:r>
      <w:bookmarkEnd w:id="6"/>
    </w:p>
    <w:p w:rsidR="00CA4559" w:rsidRPr="00601768" w:rsidRDefault="00CA4559" w:rsidP="00AC3F78">
      <w:pPr>
        <w:spacing w:line="480" w:lineRule="auto"/>
        <w:rPr>
          <w:color w:val="000000" w:themeColor="text1"/>
        </w:rPr>
      </w:pPr>
      <w:r w:rsidRPr="00601768">
        <w:rPr>
          <w:color w:val="000000" w:themeColor="text1"/>
        </w:rPr>
        <w:t>Necessarily, the question must be posed as to what effects such levels of inequality may have on a society. Furthermore, to what extent should a society attempt to limit inequality, if at all? Herein, a few of the most significant implications will be presented.</w:t>
      </w:r>
    </w:p>
    <w:p w:rsidR="00CA4559" w:rsidRPr="00601768" w:rsidRDefault="00DF0368" w:rsidP="00AC3F78">
      <w:pPr>
        <w:pStyle w:val="Heading3"/>
        <w:spacing w:line="480" w:lineRule="auto"/>
        <w:rPr>
          <w:rFonts w:ascii="Garamond" w:hAnsi="Garamond"/>
          <w:i/>
          <w:iCs/>
          <w:color w:val="000000" w:themeColor="text1"/>
        </w:rPr>
      </w:pPr>
      <w:bookmarkStart w:id="7" w:name="_Toc39584240"/>
      <w:r>
        <w:rPr>
          <w:rFonts w:ascii="Garamond" w:hAnsi="Garamond"/>
          <w:i/>
          <w:iCs/>
          <w:color w:val="000000" w:themeColor="text1"/>
        </w:rPr>
        <w:t>Effect</w:t>
      </w:r>
      <w:r w:rsidR="00CA4559" w:rsidRPr="00601768">
        <w:rPr>
          <w:rFonts w:ascii="Garamond" w:hAnsi="Garamond"/>
          <w:i/>
          <w:iCs/>
          <w:color w:val="000000" w:themeColor="text1"/>
        </w:rPr>
        <w:t xml:space="preserve"> </w:t>
      </w:r>
      <w:r>
        <w:rPr>
          <w:rFonts w:ascii="Garamond" w:hAnsi="Garamond"/>
          <w:i/>
          <w:iCs/>
          <w:color w:val="000000" w:themeColor="text1"/>
        </w:rPr>
        <w:t>on</w:t>
      </w:r>
      <w:r w:rsidR="00CA4559" w:rsidRPr="00601768">
        <w:rPr>
          <w:rFonts w:ascii="Garamond" w:hAnsi="Garamond"/>
          <w:i/>
          <w:iCs/>
          <w:color w:val="000000" w:themeColor="text1"/>
        </w:rPr>
        <w:t xml:space="preserve"> Economic Growth</w:t>
      </w:r>
      <w:bookmarkEnd w:id="7"/>
    </w:p>
    <w:p w:rsidR="00CA4559" w:rsidRPr="00601768" w:rsidRDefault="00CA4559" w:rsidP="00AC3F78">
      <w:pPr>
        <w:spacing w:line="480" w:lineRule="auto"/>
        <w:ind w:firstLine="720"/>
        <w:rPr>
          <w:color w:val="000000" w:themeColor="text1"/>
        </w:rPr>
      </w:pPr>
      <w:r w:rsidRPr="00601768">
        <w:rPr>
          <w:color w:val="000000" w:themeColor="text1"/>
        </w:rPr>
        <w:t>Theoretical and empirical research suggests that high levels of inequality have a significant negative impact on growth. Some economists and social scientists claim that inequalities can hinder economic growth by virtue of its effect on educational opportunities, human capital formation, and intergenerational mobility.</w:t>
      </w:r>
      <w:r w:rsidRPr="00601768">
        <w:rPr>
          <w:rStyle w:val="FootnoteReference"/>
          <w:color w:val="000000" w:themeColor="text1"/>
        </w:rPr>
        <w:footnoteReference w:id="19"/>
      </w:r>
      <w:r w:rsidRPr="00601768">
        <w:rPr>
          <w:color w:val="000000" w:themeColor="text1"/>
        </w:rPr>
        <w:t xml:space="preserve"> Increasing economic disparities may also affect skill development in those whose parents have low educational attainment, further exacerbating the depression of social mobility.</w:t>
      </w:r>
      <w:r w:rsidRPr="00601768">
        <w:rPr>
          <w:rStyle w:val="FootnoteReference"/>
          <w:color w:val="000000" w:themeColor="text1"/>
        </w:rPr>
        <w:footnoteReference w:id="20"/>
      </w:r>
    </w:p>
    <w:p w:rsidR="00CA4559" w:rsidRPr="00601768" w:rsidRDefault="00CA4559" w:rsidP="00AC3F78">
      <w:pPr>
        <w:pStyle w:val="Heading3"/>
        <w:spacing w:line="480" w:lineRule="auto"/>
        <w:rPr>
          <w:rFonts w:ascii="Garamond" w:hAnsi="Garamond"/>
          <w:i/>
          <w:iCs/>
          <w:color w:val="000000" w:themeColor="text1"/>
        </w:rPr>
      </w:pPr>
      <w:bookmarkStart w:id="8" w:name="_Toc39584241"/>
      <w:r w:rsidRPr="00601768">
        <w:rPr>
          <w:rFonts w:ascii="Garamond" w:hAnsi="Garamond"/>
          <w:i/>
          <w:iCs/>
          <w:color w:val="000000" w:themeColor="text1"/>
        </w:rPr>
        <w:t>Decreasing Social Mobility</w:t>
      </w:r>
      <w:bookmarkEnd w:id="8"/>
    </w:p>
    <w:p w:rsidR="00CA4559" w:rsidRPr="00601768" w:rsidRDefault="00CA4559" w:rsidP="00AC3F78">
      <w:pPr>
        <w:spacing w:line="480" w:lineRule="auto"/>
        <w:ind w:firstLine="720"/>
        <w:rPr>
          <w:color w:val="000000" w:themeColor="text1"/>
        </w:rPr>
      </w:pPr>
      <w:r w:rsidRPr="00601768">
        <w:rPr>
          <w:color w:val="000000" w:themeColor="text1"/>
        </w:rPr>
        <w:t>The principle of equality in opportunity is a cornerstone of American ideology—that is, the state of fairness under which one is treated equally in the context of the workplace and not acted for or against prejudicially on the basis of artificial barriers or preferences. This provides a framework for a meritocratic system of hierarchy, under which every person has an equal opportunity to increase their socioeconomic status (SES). According to a report published by the Federal Reserve Bank of Minneapolis, intergenerational mobility has declined sharply since ~1980, a key inflection point of inequality found in the U.S..</w:t>
      </w:r>
      <w:r w:rsidRPr="00601768">
        <w:rPr>
          <w:rStyle w:val="FootnoteReference"/>
          <w:color w:val="000000" w:themeColor="text1"/>
        </w:rPr>
        <w:footnoteReference w:id="21"/>
      </w:r>
      <w:r w:rsidRPr="00601768">
        <w:rPr>
          <w:color w:val="000000" w:themeColor="text1"/>
        </w:rPr>
        <w:t xml:space="preserve"> The reality of the American Dream—that which characterizes the value of U.S. society— is being directly undermined by income and wealth disparities.</w:t>
      </w:r>
    </w:p>
    <w:p w:rsidR="00CA4559" w:rsidRPr="00601768" w:rsidRDefault="00CA4559" w:rsidP="00AC3F78">
      <w:pPr>
        <w:pStyle w:val="Heading3"/>
        <w:spacing w:line="480" w:lineRule="auto"/>
        <w:rPr>
          <w:rFonts w:ascii="Garamond" w:hAnsi="Garamond"/>
          <w:i/>
          <w:iCs/>
          <w:color w:val="000000" w:themeColor="text1"/>
        </w:rPr>
      </w:pPr>
      <w:bookmarkStart w:id="9" w:name="_Toc39584242"/>
      <w:r w:rsidRPr="00601768">
        <w:rPr>
          <w:rFonts w:ascii="Garamond" w:hAnsi="Garamond"/>
          <w:i/>
          <w:iCs/>
          <w:color w:val="000000" w:themeColor="text1"/>
        </w:rPr>
        <w:lastRenderedPageBreak/>
        <w:t>Political Power Concentration</w:t>
      </w:r>
      <w:bookmarkEnd w:id="9"/>
    </w:p>
    <w:p w:rsidR="00CA4559" w:rsidRPr="00601768" w:rsidRDefault="00CA4559" w:rsidP="00AC3F78">
      <w:pPr>
        <w:spacing w:line="480" w:lineRule="auto"/>
        <w:ind w:firstLine="720"/>
        <w:rPr>
          <w:color w:val="000000" w:themeColor="text1"/>
        </w:rPr>
      </w:pPr>
      <w:r w:rsidRPr="00601768">
        <w:rPr>
          <w:color w:val="000000" w:themeColor="text1"/>
        </w:rPr>
        <w:t>A vital concern to be addressed is the abject and disproportionate political influence that comes with concentrations of wealth. In a post-</w:t>
      </w:r>
      <w:r w:rsidRPr="00601768">
        <w:rPr>
          <w:i/>
          <w:iCs/>
          <w:color w:val="000000" w:themeColor="text1"/>
        </w:rPr>
        <w:t>Citizens United</w:t>
      </w:r>
      <w:r w:rsidRPr="00601768">
        <w:rPr>
          <w:color w:val="000000" w:themeColor="text1"/>
        </w:rPr>
        <w:t xml:space="preserve">  U.S. electoral system, political campaigns and policies are funded and influenced by PACs, Super-PACs, and lobbyists, disproportionately representing corporate interests, which</w:t>
      </w:r>
      <w:r w:rsidR="002D7EC1">
        <w:rPr>
          <w:color w:val="000000" w:themeColor="text1"/>
        </w:rPr>
        <w:t xml:space="preserve"> </w:t>
      </w:r>
      <w:r w:rsidRPr="00601768">
        <w:rPr>
          <w:color w:val="000000" w:themeColor="text1"/>
        </w:rPr>
        <w:t>in turn</w:t>
      </w:r>
      <w:r w:rsidR="002D7EC1">
        <w:rPr>
          <w:color w:val="000000" w:themeColor="text1"/>
        </w:rPr>
        <w:t>,</w:t>
      </w:r>
      <w:r w:rsidRPr="00601768">
        <w:rPr>
          <w:color w:val="000000" w:themeColor="text1"/>
        </w:rPr>
        <w:t xml:space="preserve"> further consolidate wealth and political power.</w:t>
      </w:r>
      <w:r w:rsidR="00ED1A41" w:rsidRPr="00601768">
        <w:rPr>
          <w:rStyle w:val="FootnoteReference"/>
          <w:color w:val="000000" w:themeColor="text1"/>
        </w:rPr>
        <w:footnoteReference w:id="22"/>
      </w:r>
      <w:r w:rsidRPr="00601768">
        <w:rPr>
          <w:color w:val="000000" w:themeColor="text1"/>
        </w:rPr>
        <w:t xml:space="preserve"> </w:t>
      </w:r>
      <w:r w:rsidR="00ED1A41" w:rsidRPr="00601768">
        <w:rPr>
          <w:color w:val="000000" w:themeColor="text1"/>
        </w:rPr>
        <w:t>Immense inequalities of wealth fail to serve a common utility; rather, they stifle economic growth and limit investment opportunities.</w:t>
      </w:r>
      <w:r w:rsidR="00ED1A41" w:rsidRPr="00601768">
        <w:rPr>
          <w:rStyle w:val="FootnoteReference"/>
          <w:color w:val="000000" w:themeColor="text1"/>
        </w:rPr>
        <w:footnoteReference w:id="23"/>
      </w:r>
      <w:r w:rsidR="00ED1A41" w:rsidRPr="00601768">
        <w:rPr>
          <w:color w:val="000000" w:themeColor="text1"/>
        </w:rPr>
        <w:t xml:space="preserve"> </w:t>
      </w:r>
      <w:r w:rsidRPr="00601768">
        <w:rPr>
          <w:color w:val="000000" w:themeColor="text1"/>
        </w:rPr>
        <w:t>An excessive monopoly power and engagements of corrupt practices—such as rent seeking—may fundamentally compromise the integrity of institutions. This effect is inherently undemocratic and arguably poses the greatest threat to American society.</w:t>
      </w:r>
    </w:p>
    <w:p w:rsidR="00CA4559" w:rsidRPr="00DF0368" w:rsidRDefault="00CA4559" w:rsidP="00AC3F78">
      <w:pPr>
        <w:pStyle w:val="Heading2"/>
        <w:spacing w:line="480" w:lineRule="auto"/>
        <w:rPr>
          <w:rFonts w:ascii="Garamond" w:hAnsi="Garamond"/>
          <w:i/>
          <w:iCs/>
          <w:color w:val="000000" w:themeColor="text1"/>
        </w:rPr>
      </w:pPr>
      <w:bookmarkStart w:id="10" w:name="_Toc39584243"/>
      <w:r w:rsidRPr="00DF0368">
        <w:rPr>
          <w:rFonts w:ascii="Garamond" w:hAnsi="Garamond"/>
          <w:i/>
          <w:iCs/>
          <w:color w:val="000000" w:themeColor="text1"/>
        </w:rPr>
        <w:t>Solutions</w:t>
      </w:r>
      <w:bookmarkEnd w:id="10"/>
    </w:p>
    <w:p w:rsidR="00CA4559" w:rsidRPr="00601768" w:rsidRDefault="00ED1A41" w:rsidP="00AC3F78">
      <w:pPr>
        <w:spacing w:line="480" w:lineRule="auto"/>
        <w:ind w:firstLine="720"/>
        <w:rPr>
          <w:color w:val="000000" w:themeColor="text1"/>
        </w:rPr>
      </w:pPr>
      <w:r w:rsidRPr="00601768">
        <w:rPr>
          <w:color w:val="000000" w:themeColor="text1"/>
        </w:rPr>
        <w:t xml:space="preserve">For the foregoing reasons, it is in the best interest of democracy and the economic prosperity and sustainability of the country to reduce income inequality by instituting a new progressive tax-system, while preserving competition and incentives for new instances of primitive accumulation. </w:t>
      </w:r>
      <w:r w:rsidR="00CA4559" w:rsidRPr="00601768">
        <w:rPr>
          <w:color w:val="000000" w:themeColor="text1"/>
        </w:rPr>
        <w:t xml:space="preserve">Implementing a fiscal policy reform focusing on redistribution is imperative to ensure the effects of growth are more equitably distributed without undermining </w:t>
      </w:r>
      <w:r w:rsidR="002D7EC1">
        <w:rPr>
          <w:color w:val="000000" w:themeColor="text1"/>
        </w:rPr>
        <w:t xml:space="preserve">said </w:t>
      </w:r>
      <w:r w:rsidR="00CA4559" w:rsidRPr="00601768">
        <w:rPr>
          <w:color w:val="000000" w:themeColor="text1"/>
        </w:rPr>
        <w:t>growth. A wealth tax, corporate tax increase, and progressive income tax afford non-mutually exclusive alternatives to address this issue. Increased enforcement and international coordination of corporate tax rates can further assist in securing the increase in revenue needed to implement programs that promote equality of opportunity and access to quality education. Taking lessons from the past, it is prudent to formulate policies that proactively counteract the economic trends that have led to the levels of inequality present today.</w:t>
      </w:r>
    </w:p>
    <w:p w:rsidR="00ED1A41" w:rsidRPr="00DF0368" w:rsidRDefault="00ED1A41" w:rsidP="00AC3F78">
      <w:pPr>
        <w:pStyle w:val="Heading1"/>
        <w:spacing w:line="480" w:lineRule="auto"/>
        <w:rPr>
          <w:rFonts w:ascii="Garamond" w:hAnsi="Garamond"/>
          <w:color w:val="000000" w:themeColor="text1"/>
        </w:rPr>
      </w:pPr>
      <w:bookmarkStart w:id="11" w:name="_Toc39584244"/>
      <w:r w:rsidRPr="00DF0368">
        <w:rPr>
          <w:rFonts w:ascii="Garamond" w:hAnsi="Garamond"/>
          <w:color w:val="000000" w:themeColor="text1"/>
        </w:rPr>
        <w:lastRenderedPageBreak/>
        <w:t>Background</w:t>
      </w:r>
      <w:bookmarkEnd w:id="11"/>
    </w:p>
    <w:p w:rsidR="00ED1A41" w:rsidRPr="00601768" w:rsidRDefault="00ED1A41" w:rsidP="00AC3F78">
      <w:pPr>
        <w:pStyle w:val="Heading2"/>
        <w:spacing w:line="480" w:lineRule="auto"/>
        <w:rPr>
          <w:rFonts w:ascii="Garamond" w:hAnsi="Garamond"/>
          <w:i/>
          <w:color w:val="000000" w:themeColor="text1"/>
        </w:rPr>
      </w:pPr>
      <w:bookmarkStart w:id="12" w:name="_Toc39584245"/>
      <w:r w:rsidRPr="00601768">
        <w:rPr>
          <w:rFonts w:ascii="Garamond" w:hAnsi="Garamond"/>
          <w:i/>
          <w:color w:val="000000" w:themeColor="text1"/>
        </w:rPr>
        <w:t>Early U.S. Tax Systems</w:t>
      </w:r>
      <w:bookmarkEnd w:id="12"/>
    </w:p>
    <w:p w:rsidR="00ED1A41" w:rsidRPr="00601768" w:rsidRDefault="00ED1A41" w:rsidP="00AC3F78">
      <w:pPr>
        <w:spacing w:line="480" w:lineRule="auto"/>
        <w:ind w:firstLine="720"/>
        <w:rPr>
          <w:color w:val="000000" w:themeColor="text1"/>
        </w:rPr>
      </w:pPr>
      <w:r w:rsidRPr="00601768">
        <w:rPr>
          <w:color w:val="000000" w:themeColor="text1"/>
        </w:rPr>
        <w:t>The modern tax system in the U.S. arguably began with the implementation of the Federal Income Tax in 1913, but America’s rich fiscal history can be traced back to the European settlers’ arrival in the New World. In order to maintain budgets and pay common bills, the settlers made sure the affluent contributed by taxing their wealth.</w:t>
      </w:r>
      <w:r w:rsidRPr="00601768">
        <w:rPr>
          <w:rStyle w:val="FootnoteReference"/>
          <w:color w:val="000000" w:themeColor="text1"/>
        </w:rPr>
        <w:footnoteReference w:id="24"/>
      </w:r>
      <w:r w:rsidRPr="00601768">
        <w:rPr>
          <w:color w:val="000000" w:themeColor="text1"/>
        </w:rPr>
        <w:t xml:space="preserve"> Indeed, they developed incredibly modern tax systems for their time by placing levies not only on real estate and land, as was concurrently invoked in England, but all other assets, too—most notably, financial, livestock, inventories, ships, and jewelry. As far back as 1640, the colony of Massachusetts taxed all forms of property, the value of which was assessed either by the prevailing market or local assessors. These early tax systems were not progressive by today’s standards and had serious limitations, but they were unequivocally much more progressive than the consumption taxes that were commonplace in the Old World. </w:t>
      </w:r>
    </w:p>
    <w:p w:rsidR="00ED1A41" w:rsidRPr="00601768" w:rsidRDefault="00ED1A41" w:rsidP="00AC3F78">
      <w:pPr>
        <w:spacing w:line="480" w:lineRule="auto"/>
        <w:rPr>
          <w:color w:val="000000" w:themeColor="text1"/>
        </w:rPr>
      </w:pPr>
      <w:r w:rsidRPr="00601768">
        <w:rPr>
          <w:color w:val="000000" w:themeColor="text1"/>
        </w:rPr>
        <w:tab/>
        <w:t>The Southern colonies-turned-states did not take up the innovative spirit with respect to taxation until deemed necessary at the outbreak of the Civil War. Instead of implementing an elaborate system, like their northern counterparts, the South’s revenue was derived from poll taxes and levies placed on the sale of tobacco, cows, and horses.</w:t>
      </w:r>
      <w:r w:rsidRPr="00601768">
        <w:rPr>
          <w:rStyle w:val="FootnoteReference"/>
          <w:color w:val="000000" w:themeColor="text1"/>
        </w:rPr>
        <w:footnoteReference w:id="25"/>
      </w:r>
      <w:r w:rsidRPr="00601768">
        <w:rPr>
          <w:color w:val="000000" w:themeColor="text1"/>
        </w:rPr>
        <w:t xml:space="preserve"> The intent to preserve the institution of slavery has been attributed to such reservations, especially in regards to resisting a wealth and property tax. Given that 40% of the population in Southern states at the time was considered property by virtue of their enslavement, property taxes were deemed an existential threat to wealthy slaveowners.</w:t>
      </w:r>
      <w:r w:rsidRPr="00601768">
        <w:rPr>
          <w:rStyle w:val="FootnoteReference"/>
          <w:color w:val="000000" w:themeColor="text1"/>
        </w:rPr>
        <w:footnoteReference w:id="26"/>
      </w:r>
      <w:r w:rsidRPr="00601768">
        <w:rPr>
          <w:color w:val="000000" w:themeColor="text1"/>
        </w:rPr>
        <w:t xml:space="preserve"> Indeed, the anti-government sentiment and animosity towards taxation that is still present today can be traced back to the South’s embrace of the supreme primacy of private </w:t>
      </w:r>
      <w:r w:rsidRPr="00601768">
        <w:rPr>
          <w:color w:val="000000" w:themeColor="text1"/>
        </w:rPr>
        <w:lastRenderedPageBreak/>
        <w:t>property, even when that property consisted of human beings. Refusing to establish a more comprehensive system would ultimately lead to the South’s economic downfall during the Civil War, necessitating the issuance of bonds, which in turn, led to rampant inflation.</w:t>
      </w:r>
      <w:r w:rsidRPr="00601768">
        <w:rPr>
          <w:rStyle w:val="FootnoteReference"/>
          <w:color w:val="000000" w:themeColor="text1"/>
        </w:rPr>
        <w:footnoteReference w:id="27"/>
      </w:r>
      <w:r w:rsidRPr="00601768">
        <w:rPr>
          <w:color w:val="000000" w:themeColor="text1"/>
        </w:rPr>
        <w:t xml:space="preserve"> In contrast, the Northern states, through this committee, directly began taxing high-income-earners progressively at a 3% rate through the Revenue Act of 1861 and further expanded the tax system by and through the Internal Revenue Act of 1862. The adoption of these fiscal measures increased revenue and shielded the northern economy from the ruinous inflation that befell the South.</w:t>
      </w:r>
      <w:r w:rsidRPr="00601768">
        <w:rPr>
          <w:rStyle w:val="FootnoteReference"/>
          <w:color w:val="000000" w:themeColor="text1"/>
        </w:rPr>
        <w:footnoteReference w:id="28"/>
      </w:r>
      <w:r w:rsidRPr="00601768">
        <w:rPr>
          <w:color w:val="000000" w:themeColor="text1"/>
        </w:rPr>
        <w:t xml:space="preserve"> Progress on this front was soon quashed after the Civil War when wealthy industrialists disproportionately influenced the demand for repealing the income tax in 1872.</w:t>
      </w:r>
      <w:r w:rsidRPr="00601768">
        <w:rPr>
          <w:rStyle w:val="FootnoteReference"/>
          <w:color w:val="000000" w:themeColor="text1"/>
        </w:rPr>
        <w:footnoteReference w:id="29"/>
      </w:r>
      <w:r w:rsidRPr="00601768">
        <w:rPr>
          <w:color w:val="000000" w:themeColor="text1"/>
        </w:rPr>
        <w:t xml:space="preserve"> </w:t>
      </w:r>
      <w:r w:rsidRPr="00601768">
        <w:rPr>
          <w:rStyle w:val="FootnoteReference"/>
          <w:color w:val="000000" w:themeColor="text1"/>
        </w:rPr>
        <w:footnoteReference w:id="30"/>
      </w:r>
    </w:p>
    <w:p w:rsidR="00ED1A41" w:rsidRPr="00601768" w:rsidRDefault="00ED1A41" w:rsidP="00AC3F78">
      <w:pPr>
        <w:spacing w:line="480" w:lineRule="auto"/>
        <w:rPr>
          <w:color w:val="000000" w:themeColor="text1"/>
        </w:rPr>
      </w:pPr>
      <w:r w:rsidRPr="00601768">
        <w:rPr>
          <w:color w:val="000000" w:themeColor="text1"/>
        </w:rPr>
        <w:tab/>
        <w:t>This tax system—or lack thereof—set the stage for an age of unfettered prosperity for a wealthy few, known as the Gilded Age. The federal government’s revenue was then derived from regressive internal taxes (consumption taxes) and import tariffs—both forms of levies that primarily burdened the poor; that is, at a time when the great fortunes of the Gilded Age barely paid any federal tax, nearly all the federal government’s revenue originated from consumers.</w:t>
      </w:r>
      <w:r w:rsidRPr="00601768">
        <w:rPr>
          <w:rStyle w:val="FootnoteReference"/>
          <w:color w:val="000000" w:themeColor="text1"/>
        </w:rPr>
        <w:t xml:space="preserve"> </w:t>
      </w:r>
      <w:r w:rsidRPr="00601768">
        <w:rPr>
          <w:rStyle w:val="FootnoteReference"/>
          <w:color w:val="000000" w:themeColor="text1"/>
        </w:rPr>
        <w:footnoteReference w:id="31"/>
      </w:r>
      <w:r w:rsidRPr="00601768">
        <w:rPr>
          <w:color w:val="000000" w:themeColor="text1"/>
        </w:rPr>
        <w:t xml:space="preserve"> This phenomenon naturally led to an unprecedented concentration of wealth and a starkly evident rising inequality. </w:t>
      </w:r>
    </w:p>
    <w:p w:rsidR="00ED1A41" w:rsidRPr="00601768" w:rsidRDefault="00ED1A41" w:rsidP="00AC3F78">
      <w:pPr>
        <w:spacing w:line="480" w:lineRule="auto"/>
        <w:rPr>
          <w:color w:val="000000" w:themeColor="text1"/>
        </w:rPr>
      </w:pPr>
      <w:r w:rsidRPr="00601768">
        <w:rPr>
          <w:color w:val="000000" w:themeColor="text1"/>
        </w:rPr>
        <w:tab/>
        <w:t>Through multiple legislative efforts, pressure due to said inequality amounted to the passing and ratifying of the Sixteenth Amendment in 1909, wherefrom Congress derives “the power to lay and collect taxes on incomes…”</w:t>
      </w:r>
      <w:r w:rsidRPr="00601768">
        <w:rPr>
          <w:rStyle w:val="FootnoteReference"/>
          <w:color w:val="000000" w:themeColor="text1"/>
        </w:rPr>
        <w:footnoteReference w:id="32"/>
      </w:r>
      <w:r w:rsidRPr="00601768">
        <w:rPr>
          <w:color w:val="000000" w:themeColor="text1"/>
        </w:rPr>
        <w:t xml:space="preserve"> Subsequently, Congress passed the Revenue Act of 1913, which </w:t>
      </w:r>
      <w:r w:rsidRPr="00601768">
        <w:rPr>
          <w:color w:val="000000" w:themeColor="text1"/>
        </w:rPr>
        <w:lastRenderedPageBreak/>
        <w:t>lowered tariff rates and imposed a 1% tax on income above $3,000 per year.</w:t>
      </w:r>
      <w:r w:rsidRPr="00601768">
        <w:rPr>
          <w:rStyle w:val="FootnoteReference"/>
          <w:color w:val="000000" w:themeColor="text1"/>
        </w:rPr>
        <w:footnoteReference w:id="33"/>
      </w:r>
      <w:r w:rsidRPr="00601768">
        <w:rPr>
          <w:color w:val="000000" w:themeColor="text1"/>
        </w:rPr>
        <w:t xml:space="preserve"> The core purpose of this shift in federal revenue policy was to offset the regressivity of consumption taxes and tariffs, and most importantly, to dampen the increasing inequality present during the Gilded Age. It was clear that the implications of this form of inequality were in direct contradiction to a democratic model of governance. </w:t>
      </w:r>
    </w:p>
    <w:p w:rsidR="00ED1A41" w:rsidRPr="00601768" w:rsidRDefault="00ED1A41" w:rsidP="00AC3F78">
      <w:pPr>
        <w:spacing w:line="480" w:lineRule="auto"/>
        <w:ind w:firstLine="720"/>
        <w:rPr>
          <w:color w:val="000000" w:themeColor="text1"/>
        </w:rPr>
      </w:pPr>
      <w:r w:rsidRPr="00601768">
        <w:rPr>
          <w:color w:val="000000" w:themeColor="text1"/>
        </w:rPr>
        <w:t xml:space="preserve">With the passing of the War Revenue Act of 1917, the top marginal tax rate had increased to 67%, the most progressive tax rate on the planet—set in place to prevent war profiteering during WWI and as a result of the </w:t>
      </w:r>
      <w:r w:rsidR="002D7EC1">
        <w:rPr>
          <w:color w:val="000000" w:themeColor="text1"/>
        </w:rPr>
        <w:t>ideological</w:t>
      </w:r>
      <w:r w:rsidRPr="00601768">
        <w:rPr>
          <w:color w:val="000000" w:themeColor="text1"/>
        </w:rPr>
        <w:t xml:space="preserve"> and political shifts that had occurred since the 1880s.</w:t>
      </w:r>
      <w:r w:rsidRPr="00601768">
        <w:rPr>
          <w:rStyle w:val="FootnoteReference"/>
          <w:color w:val="000000" w:themeColor="text1"/>
        </w:rPr>
        <w:footnoteReference w:id="34"/>
      </w:r>
      <w:r w:rsidRPr="00601768">
        <w:rPr>
          <w:color w:val="000000" w:themeColor="text1"/>
        </w:rPr>
        <w:t xml:space="preserve"> Additionally by this time, the U.S. introduced two key fiscal innovations: a steep progressive property tax and an estate tax—both reinforcing the previously stated justification in the pursuit of a more egalitarian economic platform. </w:t>
      </w:r>
    </w:p>
    <w:p w:rsidR="00ED1A41" w:rsidRPr="00601768" w:rsidRDefault="00ED1A41" w:rsidP="00AC3F78">
      <w:pPr>
        <w:pStyle w:val="Heading2"/>
        <w:spacing w:line="480" w:lineRule="auto"/>
        <w:rPr>
          <w:rFonts w:ascii="Garamond" w:hAnsi="Garamond"/>
          <w:i/>
          <w:color w:val="000000" w:themeColor="text1"/>
        </w:rPr>
      </w:pPr>
      <w:bookmarkStart w:id="13" w:name="_Toc39584246"/>
      <w:r w:rsidRPr="00601768">
        <w:rPr>
          <w:rFonts w:ascii="Garamond" w:hAnsi="Garamond"/>
          <w:i/>
          <w:color w:val="000000" w:themeColor="text1"/>
        </w:rPr>
        <w:t>New Deal Era</w:t>
      </w:r>
      <w:bookmarkEnd w:id="13"/>
    </w:p>
    <w:p w:rsidR="00ED1A41" w:rsidRPr="00601768" w:rsidRDefault="00ED1A41" w:rsidP="00AC3F78">
      <w:pPr>
        <w:spacing w:line="480" w:lineRule="auto"/>
        <w:ind w:firstLine="720"/>
        <w:rPr>
          <w:color w:val="000000" w:themeColor="text1"/>
        </w:rPr>
      </w:pPr>
      <w:r w:rsidRPr="00601768">
        <w:rPr>
          <w:color w:val="000000" w:themeColor="text1"/>
        </w:rPr>
        <w:t xml:space="preserve">The writings of John Maynard Keynes dominated the academic and political economic spheres during the New Deal and WWII era. Keynesian economics stood in contrast to classical economics via the implementation of expansionary fiscal policy, among other elements. In praxis, this entailed deficit spending during economic downturns and an unprecedented investment in infrastructure </w:t>
      </w:r>
      <w:r w:rsidR="002D7EC1">
        <w:rPr>
          <w:color w:val="000000" w:themeColor="text1"/>
        </w:rPr>
        <w:t xml:space="preserve">and manufacturing </w:t>
      </w:r>
      <w:r w:rsidRPr="00601768">
        <w:rPr>
          <w:color w:val="000000" w:themeColor="text1"/>
        </w:rPr>
        <w:t>during WWII with the objective of increasing aggregate demand, real output, and employment.</w:t>
      </w:r>
      <w:r w:rsidRPr="00601768">
        <w:rPr>
          <w:rStyle w:val="FootnoteReference"/>
          <w:color w:val="000000" w:themeColor="text1"/>
        </w:rPr>
        <w:footnoteReference w:id="35"/>
      </w:r>
      <w:r w:rsidRPr="00601768">
        <w:rPr>
          <w:color w:val="000000" w:themeColor="text1"/>
        </w:rPr>
        <w:t xml:space="preserve"> Although teleologically not centered around curbing inequality, Keynesian economics established a framework wherein economic, social, and political fates were optimally geared by government action, rather than markets.</w:t>
      </w:r>
    </w:p>
    <w:p w:rsidR="00ED1A41" w:rsidRPr="00601768" w:rsidRDefault="00ED1A41" w:rsidP="00AC3F78">
      <w:pPr>
        <w:spacing w:line="480" w:lineRule="auto"/>
        <w:ind w:firstLine="720"/>
        <w:rPr>
          <w:color w:val="000000" w:themeColor="text1"/>
        </w:rPr>
      </w:pPr>
      <w:r w:rsidRPr="00601768">
        <w:rPr>
          <w:color w:val="000000" w:themeColor="text1"/>
        </w:rPr>
        <w:lastRenderedPageBreak/>
        <w:t>By the 1930s, the U.S. had become more progressive on nearly every front. Upon his election, Franklin Delano Roosevelt doubled down on this platform, increasing the top marginal tax rate on income to 79% with the Revenue Act of 1936 and then to 81% with the Revenue Act of 1940.</w:t>
      </w:r>
      <w:r w:rsidRPr="00601768">
        <w:rPr>
          <w:rStyle w:val="FootnoteReference"/>
          <w:color w:val="000000" w:themeColor="text1"/>
        </w:rPr>
        <w:footnoteReference w:id="36"/>
      </w:r>
      <w:r w:rsidRPr="00601768">
        <w:rPr>
          <w:rStyle w:val="FootnoteReference"/>
          <w:color w:val="000000" w:themeColor="text1"/>
        </w:rPr>
        <w:footnoteReference w:id="37"/>
      </w:r>
      <w:r w:rsidRPr="00601768">
        <w:rPr>
          <w:color w:val="000000" w:themeColor="text1"/>
        </w:rPr>
        <w:t xml:space="preserve"> During WWII, the top rate came close to 100%, creating a </w:t>
      </w:r>
      <w:r w:rsidRPr="00601768">
        <w:rPr>
          <w:i/>
          <w:color w:val="000000" w:themeColor="text1"/>
        </w:rPr>
        <w:t>de facto</w:t>
      </w:r>
      <w:r w:rsidRPr="00601768">
        <w:rPr>
          <w:color w:val="000000" w:themeColor="text1"/>
        </w:rPr>
        <w:t xml:space="preserve"> cap on income. The timing was not coincidental, as FDR stated in 1942, “Discrepancies between low personal incomes and very high personal incomes should be lessened; and I therefore believe that in time of this grave national danger, when all excess income should go to win the war, no American citizen ought to have a net income…of more than $25,000 a year.”</w:t>
      </w:r>
      <w:r w:rsidRPr="00601768">
        <w:rPr>
          <w:rStyle w:val="FootnoteReference"/>
          <w:color w:val="000000" w:themeColor="text1"/>
        </w:rPr>
        <w:footnoteReference w:id="38"/>
      </w:r>
      <w:r w:rsidRPr="00601768">
        <w:rPr>
          <w:color w:val="000000" w:themeColor="text1"/>
        </w:rPr>
        <w:t xml:space="preserve"> For half a century, the United States came as close as any modern democratic country has to imposing a maximum legal income. In this form, Roosevelt insisted that the collection of revenue acted as a means to reduce inequality of pre-tax income and there is strong indication that it did.</w:t>
      </w:r>
    </w:p>
    <w:p w:rsidR="00ED1A41" w:rsidRPr="00601768" w:rsidRDefault="00ED1A41" w:rsidP="00AC3F78">
      <w:pPr>
        <w:spacing w:line="480" w:lineRule="auto"/>
        <w:ind w:firstLine="720"/>
        <w:rPr>
          <w:color w:val="000000" w:themeColor="text1"/>
        </w:rPr>
      </w:pPr>
      <w:r w:rsidRPr="00601768">
        <w:rPr>
          <w:color w:val="000000" w:themeColor="text1"/>
        </w:rPr>
        <w:t>Prior to FDR’s quasi-confiscatory rates, on the eve of the Great Depression, the top .01% of income earners held a 4% share of the pre-tax national income. In 1975, that same bracket’s share fell to 1.3%, the lowest in recorded history and a highly indicative that the economic platform set in place during this time was highly effective in curbing inequality.</w:t>
      </w:r>
      <w:r w:rsidRPr="00601768">
        <w:rPr>
          <w:rStyle w:val="FootnoteReference"/>
          <w:color w:val="000000" w:themeColor="text1"/>
        </w:rPr>
        <w:footnoteReference w:id="39"/>
      </w:r>
      <w:r w:rsidRPr="00601768">
        <w:rPr>
          <w:color w:val="000000" w:themeColor="text1"/>
        </w:rPr>
        <w:t xml:space="preserve"> The extent to which these factors—equality and demand—contributed to establishing the United States’ global economic hegemony cannot be emphasized enough. Since the 1970s, however, social and political tides monumentally reversed the U.S. tax system to reflect a Neoliberal ideology promoting property </w:t>
      </w:r>
      <w:r w:rsidRPr="00601768">
        <w:rPr>
          <w:color w:val="000000" w:themeColor="text1"/>
        </w:rPr>
        <w:lastRenderedPageBreak/>
        <w:t>rights, free markets, and free trade; therein, the ideology suggests, lies the means for human flourishment in society.</w:t>
      </w:r>
      <w:r w:rsidRPr="00601768">
        <w:rPr>
          <w:rStyle w:val="FootnoteReference"/>
          <w:color w:val="000000" w:themeColor="text1"/>
        </w:rPr>
        <w:footnoteReference w:id="40"/>
      </w:r>
      <w:r w:rsidRPr="00601768">
        <w:rPr>
          <w:color w:val="000000" w:themeColor="text1"/>
        </w:rPr>
        <w:t xml:space="preserve"> In addition, a new school of macroeconomic thought, supply-side theory, was used to substantiate this new ideology under the justification of economic growth.</w:t>
      </w:r>
    </w:p>
    <w:p w:rsidR="00ED1A41" w:rsidRPr="00601768" w:rsidRDefault="00ED1A41" w:rsidP="00AC3F78">
      <w:pPr>
        <w:pStyle w:val="Heading2"/>
        <w:spacing w:line="480" w:lineRule="auto"/>
        <w:rPr>
          <w:rFonts w:ascii="Garamond" w:hAnsi="Garamond"/>
          <w:i/>
          <w:iCs/>
          <w:color w:val="000000" w:themeColor="text1"/>
        </w:rPr>
      </w:pPr>
      <w:bookmarkStart w:id="14" w:name="_Toc39584247"/>
      <w:r w:rsidRPr="00601768">
        <w:rPr>
          <w:rFonts w:ascii="Garamond" w:hAnsi="Garamond"/>
          <w:i/>
          <w:iCs/>
          <w:color w:val="000000" w:themeColor="text1"/>
        </w:rPr>
        <w:t>Age of Neoliberalism</w:t>
      </w:r>
      <w:bookmarkEnd w:id="14"/>
    </w:p>
    <w:p w:rsidR="00ED1A41" w:rsidRPr="00601768" w:rsidRDefault="00ED1A41" w:rsidP="00AC3F78">
      <w:pPr>
        <w:spacing w:line="480" w:lineRule="auto"/>
        <w:ind w:firstLine="720"/>
        <w:rPr>
          <w:color w:val="000000" w:themeColor="text1"/>
        </w:rPr>
      </w:pPr>
      <w:r w:rsidRPr="00601768">
        <w:rPr>
          <w:color w:val="000000" w:themeColor="text1"/>
        </w:rPr>
        <w:t xml:space="preserve">Ideologies take time to penetrate the social, political, and academic spheres. Indeed, those that shift the status quo and have an effect on the general </w:t>
      </w:r>
      <w:r w:rsidR="003C1F7F">
        <w:rPr>
          <w:color w:val="000000" w:themeColor="text1"/>
        </w:rPr>
        <w:t>polity</w:t>
      </w:r>
      <w:r w:rsidRPr="00601768">
        <w:rPr>
          <w:color w:val="000000" w:themeColor="text1"/>
        </w:rPr>
        <w:t xml:space="preserve"> should be held to a higher burden of validity, in theory. It is relevant to examine how in this case, a society steadfast on promoting egalitarian principles and implementing progressive platforms in the New Deal and WWII eras paradigmatically shifts and implements insidious—with respect to economic inequality—and empirically-void fiscal platforms. Evermore perplexing is the realization that said New Deal society was a rejection of the late 19</w:t>
      </w:r>
      <w:r w:rsidRPr="00601768">
        <w:rPr>
          <w:color w:val="000000" w:themeColor="text1"/>
          <w:vertAlign w:val="superscript"/>
        </w:rPr>
        <w:t>th</w:t>
      </w:r>
      <w:r w:rsidRPr="00601768">
        <w:rPr>
          <w:color w:val="000000" w:themeColor="text1"/>
        </w:rPr>
        <w:t xml:space="preserve"> century industrial, market-based economic system. </w:t>
      </w:r>
    </w:p>
    <w:p w:rsidR="00ED1A41" w:rsidRPr="00601768" w:rsidRDefault="00ED1A41" w:rsidP="00AC3F78">
      <w:pPr>
        <w:spacing w:line="480" w:lineRule="auto"/>
        <w:ind w:firstLine="720"/>
        <w:rPr>
          <w:color w:val="000000" w:themeColor="text1"/>
        </w:rPr>
      </w:pPr>
      <w:r w:rsidRPr="00601768">
        <w:rPr>
          <w:color w:val="000000" w:themeColor="text1"/>
        </w:rPr>
        <w:t>After WWII, global trade began primarily with Europe—via the Marshall Plan—but also with countries that were concurrently undergoing a process of decolonization, which altered the dynamics of markets and governments; however, policies were implemented within the framework of a progressive fiscal agenda.</w:t>
      </w:r>
      <w:r w:rsidRPr="00601768">
        <w:rPr>
          <w:rStyle w:val="FootnoteReference"/>
          <w:color w:val="000000" w:themeColor="text1"/>
        </w:rPr>
        <w:footnoteReference w:id="41"/>
      </w:r>
      <w:r w:rsidRPr="00601768">
        <w:rPr>
          <w:color w:val="000000" w:themeColor="text1"/>
        </w:rPr>
        <w:t xml:space="preserve"> Until the early 1970s, this progressive platform additionally strengthened trade unions transnationally, forcing monumental reforms domestically, such as the creation of the Environmental Protection Agency, consumer protections, and the Occupational Safety and Health Administration. So what changed?</w:t>
      </w:r>
    </w:p>
    <w:p w:rsidR="00ED1A41" w:rsidRPr="00601768" w:rsidRDefault="00ED1A41" w:rsidP="00AC3F78">
      <w:pPr>
        <w:spacing w:line="480" w:lineRule="auto"/>
        <w:ind w:firstLine="720"/>
        <w:rPr>
          <w:color w:val="000000" w:themeColor="text1"/>
        </w:rPr>
      </w:pPr>
      <w:r w:rsidRPr="00601768">
        <w:rPr>
          <w:color w:val="000000" w:themeColor="text1"/>
        </w:rPr>
        <w:t xml:space="preserve">Multiple elements can be said to have contributed to the emergence of a new economic doctrine, but most notably, it was in the failure of the conventional economic system that opportunity arose. Throughout the 1970s, a chronic state of stagflation magnified the shortcomings of Keynesian economics, allowing for a new economic orthodoxy to regulate public policy. </w:t>
      </w:r>
      <w:r w:rsidRPr="00601768">
        <w:rPr>
          <w:color w:val="000000" w:themeColor="text1"/>
        </w:rPr>
        <w:lastRenderedPageBreak/>
        <w:t>Although U.S. economic policy first reflected neoliberal principles in 1979 under the Carter Administration, an ideological campaign had been forming under this label since the 1940s; albeit, initially in a largely uninfluential manner.</w:t>
      </w:r>
      <w:r w:rsidRPr="00601768">
        <w:rPr>
          <w:rStyle w:val="FootnoteReference"/>
          <w:color w:val="000000" w:themeColor="text1"/>
        </w:rPr>
        <w:footnoteReference w:id="42"/>
      </w:r>
      <w:r w:rsidRPr="00601768">
        <w:rPr>
          <w:color w:val="000000" w:themeColor="text1"/>
        </w:rPr>
        <w:t xml:space="preserve"> </w:t>
      </w:r>
    </w:p>
    <w:p w:rsidR="00ED1A41" w:rsidRPr="00601768" w:rsidRDefault="00ED1A41" w:rsidP="00AC3F78">
      <w:pPr>
        <w:spacing w:line="480" w:lineRule="auto"/>
        <w:ind w:firstLine="720"/>
        <w:rPr>
          <w:color w:val="000000" w:themeColor="text1"/>
        </w:rPr>
      </w:pPr>
      <w:r w:rsidRPr="00601768">
        <w:rPr>
          <w:color w:val="000000" w:themeColor="text1"/>
        </w:rPr>
        <w:t xml:space="preserve">In the post-war years, despite holding a relatively small share of national income, higher income earners witnessed sustained economic growth, which stifled the need for political action on their behalf. The global economic crisis of the 1970s elicited the precipitous collapse of wealth in the form of stocks, properties, and savings, mostly affecting the top 1% of income earners. Economic elites, then, felt the urgent need to mobilize out of self-preservation. Through cornerstone mechanisms—such as forced privatization and regressive tax cuts—the neoliberal model is structured, perhaps deliberately, to disproportionately benefit the highest income earners and thus, restore class power. This end underlying the neoliberal movement is explicitly displayed in a memo written by Lewis Powell in 1971 to the U.S. Chamber of Commerce, wherein Powell portrays the free enterprise system to be facing a frontal assault by the “extremist” ideologies of the media, academia, the arts and sciences, and politicians. In essence, the memo is a call for corporate solidarity and formulates a blueprint to address the threat being faced by this faction, effectively promoting an ideological campaign on multiple fronts including </w:t>
      </w:r>
      <w:r w:rsidRPr="00601768">
        <w:rPr>
          <w:i/>
          <w:iCs/>
          <w:color w:val="000000" w:themeColor="text1"/>
        </w:rPr>
        <w:t>inter alia</w:t>
      </w:r>
      <w:r w:rsidRPr="00601768">
        <w:rPr>
          <w:color w:val="000000" w:themeColor="text1"/>
        </w:rPr>
        <w:t xml:space="preserve"> the formation of conservative lobbying organizations and think tanks—such as the Heritage Foundation and American Enterprise Institute—which significantly influenced mainstream political discourse for the next few decades. While Margaret Thatcher unapologetically took upon the role of implementing the neoliberal agenda in England, Ronald Reagan, a charismatic actor from Illinois, became the face of the movement in the United States.</w:t>
      </w:r>
    </w:p>
    <w:p w:rsidR="00ED1A41" w:rsidRPr="00601768" w:rsidRDefault="00ED1A41" w:rsidP="00AC3F78">
      <w:pPr>
        <w:pStyle w:val="Heading2"/>
        <w:spacing w:line="480" w:lineRule="auto"/>
        <w:rPr>
          <w:rFonts w:ascii="Garamond" w:hAnsi="Garamond"/>
          <w:i/>
          <w:color w:val="000000" w:themeColor="text1"/>
        </w:rPr>
      </w:pPr>
      <w:bookmarkStart w:id="15" w:name="_Toc39584248"/>
      <w:r w:rsidRPr="00601768">
        <w:rPr>
          <w:rFonts w:ascii="Garamond" w:hAnsi="Garamond"/>
          <w:i/>
          <w:color w:val="000000" w:themeColor="text1"/>
        </w:rPr>
        <w:lastRenderedPageBreak/>
        <w:t>Reagan Era</w:t>
      </w:r>
      <w:bookmarkEnd w:id="15"/>
    </w:p>
    <w:p w:rsidR="00ED1A41" w:rsidRPr="00601768" w:rsidRDefault="00ED1A41" w:rsidP="00AC3F78">
      <w:pPr>
        <w:spacing w:line="480" w:lineRule="auto"/>
        <w:rPr>
          <w:color w:val="000000" w:themeColor="text1"/>
        </w:rPr>
      </w:pPr>
      <w:r w:rsidRPr="00601768">
        <w:rPr>
          <w:color w:val="000000" w:themeColor="text1"/>
        </w:rPr>
        <w:tab/>
        <w:t>Emblematized by the declaration, “government is not the solution to our problem; government is the problem,” Ronald Reagan, like his British counterpart, institutionalized a platform of individualistic self-interest, which effectively created the political window needed to lower taxes, weaken regulation, and significantly reduce all forms of public spending that contribute to the commons-at-large.</w:t>
      </w:r>
      <w:r w:rsidRPr="00601768">
        <w:rPr>
          <w:rStyle w:val="FootnoteReference"/>
          <w:color w:val="000000" w:themeColor="text1"/>
        </w:rPr>
        <w:footnoteReference w:id="43"/>
      </w:r>
      <w:r w:rsidRPr="00601768">
        <w:rPr>
          <w:color w:val="000000" w:themeColor="text1"/>
        </w:rPr>
        <w:t xml:space="preserve"> Although different forms of policies contributed to the implementation of the neoliberal agenda, the Reagan Administration passed two notable fiscal policy legislations which have had a considerable effect on political discourse and wealth distribution to this day. </w:t>
      </w:r>
    </w:p>
    <w:p w:rsidR="00ED1A41" w:rsidRPr="00601768" w:rsidRDefault="00ED1A41" w:rsidP="00AC3F78">
      <w:pPr>
        <w:spacing w:line="480" w:lineRule="auto"/>
        <w:ind w:firstLine="720"/>
        <w:rPr>
          <w:color w:val="000000" w:themeColor="text1"/>
        </w:rPr>
      </w:pPr>
      <w:r w:rsidRPr="00601768">
        <w:rPr>
          <w:color w:val="000000" w:themeColor="text1"/>
        </w:rPr>
        <w:t>The Economic Recovery Tax Act (ERTA) of 1981 slashed tax rates for the highest income earners from 70% to 50%.</w:t>
      </w:r>
      <w:r w:rsidRPr="00601768">
        <w:rPr>
          <w:rStyle w:val="FootnoteReference"/>
          <w:color w:val="000000" w:themeColor="text1"/>
        </w:rPr>
        <w:footnoteReference w:id="44"/>
      </w:r>
      <w:r w:rsidRPr="00601768">
        <w:rPr>
          <w:color w:val="000000" w:themeColor="text1"/>
        </w:rPr>
        <w:t xml:space="preserve"> About a third of the tax cuts, however, were rescinded the following year through the Tax Equity and Fiscal Responsibility Act of 1982, due to the rapid rise in the budget deficit. In the four years following the adoption and implementation of ERTA, federal revenues dropped an average of 13.3%. Unfortunately, the tax cuts failed to deliver as promised, given the reduced revenue, lack of effect on consumerism, and increased concentration of wealth in higher tax brackets with minimal capital reinvested into the economy.</w:t>
      </w:r>
      <w:r w:rsidRPr="00601768">
        <w:rPr>
          <w:rStyle w:val="FootnoteReference"/>
          <w:color w:val="000000" w:themeColor="text1"/>
        </w:rPr>
        <w:footnoteReference w:id="45"/>
      </w:r>
      <w:r w:rsidRPr="00601768">
        <w:rPr>
          <w:color w:val="000000" w:themeColor="text1"/>
        </w:rPr>
        <w:t xml:space="preserve"> </w:t>
      </w:r>
      <w:r w:rsidRPr="00601768">
        <w:rPr>
          <w:rStyle w:val="FootnoteReference"/>
          <w:color w:val="000000" w:themeColor="text1"/>
        </w:rPr>
        <w:footnoteReference w:id="46"/>
      </w:r>
    </w:p>
    <w:p w:rsidR="00ED1A41" w:rsidRPr="00601768" w:rsidRDefault="00ED1A41" w:rsidP="00AC3F78">
      <w:pPr>
        <w:spacing w:line="480" w:lineRule="auto"/>
        <w:ind w:firstLine="720"/>
        <w:rPr>
          <w:color w:val="000000" w:themeColor="text1"/>
        </w:rPr>
      </w:pPr>
      <w:r w:rsidRPr="00601768">
        <w:rPr>
          <w:color w:val="000000" w:themeColor="text1"/>
        </w:rPr>
        <w:t>The second major piece of fiscal legislation passed under the Reagan administration was the Tax Reform Act of 1986, which reduced the number of tax brackets and reduced the top tax rate from 50% to 33%.</w:t>
      </w:r>
      <w:r w:rsidRPr="00601768">
        <w:rPr>
          <w:rStyle w:val="FootnoteReference"/>
          <w:color w:val="000000" w:themeColor="text1"/>
        </w:rPr>
        <w:footnoteReference w:id="47"/>
      </w:r>
      <w:r w:rsidRPr="00601768">
        <w:rPr>
          <w:color w:val="000000" w:themeColor="text1"/>
        </w:rPr>
        <w:t xml:space="preserve"> Unlike ERTA, this bill maintained revenue neutrality; however, not by the </w:t>
      </w:r>
      <w:r w:rsidRPr="00601768">
        <w:rPr>
          <w:color w:val="000000" w:themeColor="text1"/>
        </w:rPr>
        <w:lastRenderedPageBreak/>
        <w:t xml:space="preserve">means proposed by supply-side theorists—namely, increasing economic efficiency—but rather, by eliminating certain deductions and an increase in the alternative minimum tax. </w:t>
      </w:r>
    </w:p>
    <w:p w:rsidR="00ED1A41" w:rsidRPr="00601768" w:rsidRDefault="00ED1A41" w:rsidP="00AC3F78">
      <w:pPr>
        <w:spacing w:line="480" w:lineRule="auto"/>
        <w:ind w:firstLine="720"/>
        <w:rPr>
          <w:color w:val="000000" w:themeColor="text1"/>
        </w:rPr>
      </w:pPr>
      <w:r w:rsidRPr="00601768">
        <w:rPr>
          <w:color w:val="000000" w:themeColor="text1"/>
        </w:rPr>
        <w:t xml:space="preserve">It is unclear to what extent these fiscal policies can be exclusively attributed for an increase in economic efficiency while implemented, but an analysis done by the Congressional Research Service on the effects of tax rates from 1945-2010 concluded, </w:t>
      </w:r>
    </w:p>
    <w:p w:rsidR="00AF0EED" w:rsidRPr="00601768" w:rsidRDefault="00AF0EED" w:rsidP="003C1F7F">
      <w:pPr>
        <w:spacing w:line="360" w:lineRule="auto"/>
        <w:ind w:left="1260" w:right="1350"/>
        <w:jc w:val="both"/>
        <w:rPr>
          <w:color w:val="000000" w:themeColor="text1"/>
        </w:rPr>
      </w:pPr>
      <w:r>
        <w:rPr>
          <w:color w:val="000000" w:themeColor="text1"/>
        </w:rPr>
        <w:t>T</w:t>
      </w:r>
      <w:r w:rsidR="00ED1A41" w:rsidRPr="00601768">
        <w:rPr>
          <w:color w:val="000000" w:themeColor="text1"/>
        </w:rPr>
        <w:t>he reduction in the top tax rates appears to be uncorrelated with saving, investment, and productivity growth. The top tax rates appear to have little or no relation to the size of the economic pie. However, the top tax rate reductions appear to be associated with the increasing concentration of income at the top of the income distribution.</w:t>
      </w:r>
      <w:r w:rsidR="00ED1A41" w:rsidRPr="00601768">
        <w:rPr>
          <w:rStyle w:val="FootnoteReference"/>
          <w:color w:val="000000" w:themeColor="text1"/>
        </w:rPr>
        <w:footnoteReference w:id="48"/>
      </w:r>
    </w:p>
    <w:p w:rsidR="00ED1A41" w:rsidRPr="00601768" w:rsidRDefault="00ED1A41" w:rsidP="00AC3F78">
      <w:pPr>
        <w:spacing w:line="480" w:lineRule="auto"/>
        <w:rPr>
          <w:color w:val="000000" w:themeColor="text1"/>
        </w:rPr>
      </w:pPr>
      <w:r w:rsidRPr="00601768">
        <w:rPr>
          <w:color w:val="000000" w:themeColor="text1"/>
        </w:rPr>
        <w:t>Additionally, Reagan’s anti-government platform emboldened a then-minor tax dodging industry—especially, in the form of tax shelters—to grow rampant in the following years.</w:t>
      </w:r>
      <w:r w:rsidRPr="00601768">
        <w:rPr>
          <w:rStyle w:val="FootnoteReference"/>
          <w:color w:val="000000" w:themeColor="text1"/>
        </w:rPr>
        <w:footnoteReference w:id="49"/>
      </w:r>
      <w:r w:rsidRPr="00601768">
        <w:rPr>
          <w:color w:val="000000" w:themeColor="text1"/>
        </w:rPr>
        <w:t xml:space="preserve"> Unfortunately, measures have failed to address or mitigate the effects resulting from these policies.</w:t>
      </w:r>
    </w:p>
    <w:p w:rsidR="00ED1A41" w:rsidRPr="00601768" w:rsidRDefault="00ED1A41" w:rsidP="00AC3F78">
      <w:pPr>
        <w:pStyle w:val="Heading2"/>
        <w:spacing w:line="480" w:lineRule="auto"/>
        <w:rPr>
          <w:rFonts w:ascii="Garamond" w:hAnsi="Garamond"/>
          <w:i/>
          <w:color w:val="000000" w:themeColor="text1"/>
        </w:rPr>
      </w:pPr>
      <w:bookmarkStart w:id="16" w:name="_Toc39584249"/>
      <w:r w:rsidRPr="00601768">
        <w:rPr>
          <w:rFonts w:ascii="Garamond" w:hAnsi="Garamond"/>
          <w:i/>
          <w:color w:val="000000" w:themeColor="text1"/>
        </w:rPr>
        <w:t>Today’s Political Economy</w:t>
      </w:r>
      <w:bookmarkEnd w:id="16"/>
    </w:p>
    <w:p w:rsidR="00ED1A41" w:rsidRPr="00601768" w:rsidRDefault="00ED1A41" w:rsidP="00AC3F78">
      <w:pPr>
        <w:spacing w:line="480" w:lineRule="auto"/>
        <w:ind w:firstLine="720"/>
        <w:rPr>
          <w:color w:val="000000" w:themeColor="text1"/>
        </w:rPr>
      </w:pPr>
      <w:r w:rsidRPr="00601768">
        <w:rPr>
          <w:color w:val="000000" w:themeColor="text1"/>
        </w:rPr>
        <w:t>Supply-side theory has reverberated through the economic platforms of nearly every president since Reagan, regardless of political party. When looking at average national income since 1980—as a measurement of economic growth— there is a significant growth rate of 61%. Similarly, GDP growth rate has averaged +2.47% for the last 30 years, notwithstanding three recessions.</w:t>
      </w:r>
      <w:r w:rsidRPr="00601768">
        <w:rPr>
          <w:rStyle w:val="FootnoteReference"/>
          <w:color w:val="000000" w:themeColor="text1"/>
        </w:rPr>
        <w:footnoteReference w:id="50"/>
      </w:r>
      <w:r w:rsidRPr="00601768">
        <w:rPr>
          <w:color w:val="000000" w:themeColor="text1"/>
        </w:rPr>
        <w:t xml:space="preserve"> Despite these meritorious indicators of a productive economic state, this growth has been </w:t>
      </w:r>
      <w:r w:rsidRPr="00601768">
        <w:rPr>
          <w:color w:val="000000" w:themeColor="text1"/>
        </w:rPr>
        <w:lastRenderedPageBreak/>
        <w:t>categorically unequal throughout income brackets.</w:t>
      </w:r>
      <w:r w:rsidRPr="00601768">
        <w:rPr>
          <w:rStyle w:val="FootnoteReference"/>
          <w:color w:val="000000" w:themeColor="text1"/>
        </w:rPr>
        <w:footnoteReference w:id="51"/>
      </w:r>
      <w:r w:rsidRPr="00601768">
        <w:rPr>
          <w:color w:val="000000" w:themeColor="text1"/>
        </w:rPr>
        <w:t xml:space="preserve"> The most recent Gini Coefficient for the U.S. (2018) is documented at .49—the highest measure for the country in recorded history.</w:t>
      </w:r>
      <w:r w:rsidRPr="00601768">
        <w:rPr>
          <w:rStyle w:val="FootnoteReference"/>
          <w:color w:val="000000" w:themeColor="text1"/>
        </w:rPr>
        <w:footnoteReference w:id="52"/>
      </w:r>
    </w:p>
    <w:p w:rsidR="00ED1A41" w:rsidRDefault="00ED1A41" w:rsidP="00AC3F78">
      <w:pPr>
        <w:spacing w:line="480" w:lineRule="auto"/>
        <w:rPr>
          <w:color w:val="000000" w:themeColor="text1"/>
        </w:rPr>
      </w:pPr>
      <w:r w:rsidRPr="00601768">
        <w:rPr>
          <w:color w:val="000000" w:themeColor="text1"/>
        </w:rPr>
        <w:tab/>
        <w:t>Extensive data suggests the bottom half of income earners in the U.S. have been virtually excluded from economic growth since the 1970s, while the top 1% of income earners have seen tremendous gains as a share of national income.</w:t>
      </w:r>
      <w:r w:rsidRPr="00601768">
        <w:rPr>
          <w:rStyle w:val="FootnoteReference"/>
          <w:color w:val="000000" w:themeColor="text1"/>
        </w:rPr>
        <w:footnoteReference w:id="53"/>
      </w:r>
      <w:r w:rsidRPr="00601768">
        <w:rPr>
          <w:color w:val="000000" w:themeColor="text1"/>
        </w:rPr>
        <w:t xml:space="preserve"> This phenomenon is best explained by what Thomas Piketty calls “the central contradiction of capitalism,” wherein the rate of return on private capital </w:t>
      </w:r>
      <w:proofErr w:type="spellStart"/>
      <w:r w:rsidRPr="00601768">
        <w:rPr>
          <w:i/>
          <w:color w:val="000000" w:themeColor="text1"/>
        </w:rPr>
        <w:t>r</w:t>
      </w:r>
      <w:proofErr w:type="spellEnd"/>
      <w:r w:rsidRPr="00601768">
        <w:rPr>
          <w:i/>
          <w:color w:val="000000" w:themeColor="text1"/>
        </w:rPr>
        <w:t xml:space="preserve"> </w:t>
      </w:r>
      <w:r w:rsidRPr="00601768">
        <w:rPr>
          <w:color w:val="000000" w:themeColor="text1"/>
        </w:rPr>
        <w:t xml:space="preserve">exceeds the economy’s growth rate </w:t>
      </w:r>
      <w:r w:rsidRPr="00601768">
        <w:rPr>
          <w:i/>
          <w:color w:val="000000" w:themeColor="text1"/>
        </w:rPr>
        <w:t>g</w:t>
      </w:r>
      <w:r w:rsidRPr="00601768">
        <w:rPr>
          <w:color w:val="000000" w:themeColor="text1"/>
        </w:rPr>
        <w:t xml:space="preserve">, such that </w:t>
      </w:r>
      <w:r w:rsidRPr="00601768">
        <w:rPr>
          <w:i/>
          <w:color w:val="000000" w:themeColor="text1"/>
        </w:rPr>
        <w:t>r</w:t>
      </w:r>
      <w:r w:rsidRPr="00601768">
        <w:rPr>
          <w:color w:val="000000" w:themeColor="text1"/>
        </w:rPr>
        <w:t xml:space="preserve"> &gt;</w:t>
      </w:r>
      <w:r w:rsidRPr="00601768">
        <w:rPr>
          <w:i/>
          <w:color w:val="000000" w:themeColor="text1"/>
        </w:rPr>
        <w:t>g</w:t>
      </w:r>
      <w:r w:rsidRPr="00601768">
        <w:rPr>
          <w:color w:val="000000" w:themeColor="text1"/>
        </w:rPr>
        <w:t>, and will continue to remain as such under the current system.</w:t>
      </w:r>
      <w:r w:rsidRPr="00601768">
        <w:rPr>
          <w:rStyle w:val="FootnoteReference"/>
          <w:color w:val="000000" w:themeColor="text1"/>
        </w:rPr>
        <w:footnoteReference w:id="54"/>
      </w:r>
      <w:r w:rsidRPr="00601768">
        <w:rPr>
          <w:color w:val="000000" w:themeColor="text1"/>
        </w:rPr>
        <w:t xml:space="preserve"> </w:t>
      </w:r>
      <w:r w:rsidRPr="00601768">
        <w:rPr>
          <w:rStyle w:val="FootnoteReference"/>
          <w:color w:val="000000" w:themeColor="text1"/>
        </w:rPr>
        <w:footnoteReference w:id="55"/>
      </w:r>
      <w:r w:rsidRPr="00601768">
        <w:rPr>
          <w:color w:val="000000" w:themeColor="text1"/>
        </w:rPr>
        <w:t xml:space="preserve"> In essence, the wealth of the capitalist class will grow faster than the incomes of workers, leading to an endless inegalitarian spiral unless acted upon and recent legislation appears to be oblivious of this concern.</w:t>
      </w:r>
    </w:p>
    <w:p w:rsidR="008F3800" w:rsidRDefault="00BF06A1" w:rsidP="00BF06A1">
      <w:pPr>
        <w:keepNext/>
        <w:spacing w:line="480" w:lineRule="auto"/>
        <w:jc w:val="center"/>
      </w:pPr>
      <w:r w:rsidRPr="00E1717D">
        <w:rPr>
          <w:rFonts w:ascii="Times New Roman" w:eastAsia="Times New Roman" w:hAnsi="Times New Roman" w:cs="Times New Roman"/>
        </w:rPr>
        <w:fldChar w:fldCharType="begin"/>
      </w:r>
      <w:r w:rsidRPr="00E1717D">
        <w:rPr>
          <w:rFonts w:ascii="Times New Roman" w:eastAsia="Times New Roman" w:hAnsi="Times New Roman" w:cs="Times New Roman"/>
        </w:rPr>
        <w:instrText xml:space="preserve"> INCLUDEPICTURE "http://synapse9.com/issues/Piketty_r-v-g.jpg" \* MERGEFORMATINET </w:instrText>
      </w:r>
      <w:r w:rsidRPr="00E1717D">
        <w:rPr>
          <w:rFonts w:ascii="Times New Roman" w:eastAsia="Times New Roman" w:hAnsi="Times New Roman" w:cs="Times New Roman"/>
        </w:rPr>
        <w:fldChar w:fldCharType="separate"/>
      </w:r>
      <w:r w:rsidRPr="00E1717D">
        <w:rPr>
          <w:rFonts w:ascii="Times New Roman" w:eastAsia="Times New Roman" w:hAnsi="Times New Roman" w:cs="Times New Roman"/>
          <w:noProof/>
        </w:rPr>
        <w:drawing>
          <wp:inline distT="0" distB="0" distL="0" distR="0" wp14:anchorId="04A4CB8E" wp14:editId="4121A994">
            <wp:extent cx="3861842" cy="2751151"/>
            <wp:effectExtent l="0" t="0" r="0" b="5080"/>
            <wp:docPr id="9" name="Picture 9" descr="Image result for r &gt; g chart pike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 &gt; g chart piket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7249" cy="2804870"/>
                    </a:xfrm>
                    <a:prstGeom prst="rect">
                      <a:avLst/>
                    </a:prstGeom>
                    <a:noFill/>
                    <a:ln>
                      <a:noFill/>
                    </a:ln>
                  </pic:spPr>
                </pic:pic>
              </a:graphicData>
            </a:graphic>
          </wp:inline>
        </w:drawing>
      </w:r>
      <w:r w:rsidRPr="00E1717D">
        <w:rPr>
          <w:rFonts w:ascii="Times New Roman" w:eastAsia="Times New Roman" w:hAnsi="Times New Roman" w:cs="Times New Roman"/>
        </w:rPr>
        <w:fldChar w:fldCharType="end"/>
      </w:r>
    </w:p>
    <w:p w:rsidR="00BF06A1" w:rsidRDefault="008F3800" w:rsidP="003C1F7F">
      <w:pPr>
        <w:pStyle w:val="Caption"/>
        <w:rPr>
          <w:color w:val="000000" w:themeColor="text1"/>
        </w:rPr>
      </w:pPr>
      <w:r>
        <w:t>Figure 3.</w:t>
      </w:r>
      <w:r w:rsidRPr="008F3800">
        <w:t xml:space="preserve"> </w:t>
      </w:r>
      <w:r>
        <w:t>The rate of return on capital (r) almost always exceeds the economy’s growth rate (g), such that r &gt; g. This tends to concentrate wealth in a small portion of the population making it easier to grow and perpetuate large fortunes.</w:t>
      </w:r>
    </w:p>
    <w:p w:rsidR="00ED1A41" w:rsidRPr="00601768" w:rsidRDefault="00ED1A41" w:rsidP="00AC3F78">
      <w:pPr>
        <w:spacing w:line="480" w:lineRule="auto"/>
        <w:ind w:firstLine="720"/>
        <w:rPr>
          <w:color w:val="000000" w:themeColor="text1"/>
        </w:rPr>
      </w:pPr>
      <w:r w:rsidRPr="00601768">
        <w:rPr>
          <w:color w:val="000000" w:themeColor="text1"/>
        </w:rPr>
        <w:lastRenderedPageBreak/>
        <w:t>Most recently in 2017, the Trump Administration—through the Tax Cuts and Jobs Act (TCJA)—enacted the most sweeping change to fiscal policy since President Reagan’s tax reform in 1986. The details most notable and relevant of the TCJA are:</w:t>
      </w:r>
    </w:p>
    <w:p w:rsidR="00ED1A41" w:rsidRPr="00601768" w:rsidRDefault="00ED1A41" w:rsidP="003C1F7F">
      <w:pPr>
        <w:pStyle w:val="ListParagraph"/>
        <w:numPr>
          <w:ilvl w:val="0"/>
          <w:numId w:val="3"/>
        </w:numPr>
        <w:spacing w:line="360" w:lineRule="auto"/>
        <w:rPr>
          <w:color w:val="000000" w:themeColor="text1"/>
        </w:rPr>
      </w:pPr>
      <w:r w:rsidRPr="00601768">
        <w:rPr>
          <w:color w:val="000000" w:themeColor="text1"/>
        </w:rPr>
        <w:t>lowered income taxes for the highest income bracket from 39.6% to 37%;</w:t>
      </w:r>
    </w:p>
    <w:p w:rsidR="00ED1A41" w:rsidRPr="00601768" w:rsidRDefault="00ED1A41" w:rsidP="003C1F7F">
      <w:pPr>
        <w:pStyle w:val="ListParagraph"/>
        <w:numPr>
          <w:ilvl w:val="0"/>
          <w:numId w:val="3"/>
        </w:numPr>
        <w:spacing w:line="360" w:lineRule="auto"/>
        <w:rPr>
          <w:color w:val="000000" w:themeColor="text1"/>
        </w:rPr>
      </w:pPr>
      <w:r w:rsidRPr="00601768">
        <w:rPr>
          <w:color w:val="000000" w:themeColor="text1"/>
        </w:rPr>
        <w:t xml:space="preserve"> lowered corporate tax rate from 35% to 21%;</w:t>
      </w:r>
    </w:p>
    <w:p w:rsidR="00ED1A41" w:rsidRPr="00601768" w:rsidRDefault="00ED1A41" w:rsidP="003C1F7F">
      <w:pPr>
        <w:pStyle w:val="ListParagraph"/>
        <w:numPr>
          <w:ilvl w:val="0"/>
          <w:numId w:val="3"/>
        </w:numPr>
        <w:spacing w:line="360" w:lineRule="auto"/>
        <w:rPr>
          <w:color w:val="000000" w:themeColor="text1"/>
        </w:rPr>
      </w:pPr>
      <w:r w:rsidRPr="00601768">
        <w:rPr>
          <w:color w:val="000000" w:themeColor="text1"/>
        </w:rPr>
        <w:t xml:space="preserve"> the 20% pass-through deduction—which is almost exclusively applicable to the top 1% of earners;</w:t>
      </w:r>
    </w:p>
    <w:p w:rsidR="00ED1A41" w:rsidRPr="00601768" w:rsidRDefault="00ED1A41" w:rsidP="003C1F7F">
      <w:pPr>
        <w:pStyle w:val="ListParagraph"/>
        <w:numPr>
          <w:ilvl w:val="0"/>
          <w:numId w:val="3"/>
        </w:numPr>
        <w:spacing w:line="360" w:lineRule="auto"/>
        <w:rPr>
          <w:color w:val="000000" w:themeColor="text1"/>
        </w:rPr>
      </w:pPr>
      <w:r w:rsidRPr="00601768">
        <w:rPr>
          <w:color w:val="000000" w:themeColor="text1"/>
        </w:rPr>
        <w:t>the rolling back of the estate tax;</w:t>
      </w:r>
    </w:p>
    <w:p w:rsidR="00ED1A41" w:rsidRPr="00601768" w:rsidRDefault="00ED1A41" w:rsidP="003C1F7F">
      <w:pPr>
        <w:pStyle w:val="ListParagraph"/>
        <w:numPr>
          <w:ilvl w:val="0"/>
          <w:numId w:val="3"/>
        </w:numPr>
        <w:spacing w:line="360" w:lineRule="auto"/>
        <w:rPr>
          <w:color w:val="000000" w:themeColor="text1"/>
        </w:rPr>
      </w:pPr>
      <w:r w:rsidRPr="00601768">
        <w:rPr>
          <w:color w:val="000000" w:themeColor="text1"/>
        </w:rPr>
        <w:t xml:space="preserve">and the limiting of deductions intended to help most income-earners. </w:t>
      </w:r>
    </w:p>
    <w:p w:rsidR="00ED352F" w:rsidRDefault="00ED1A41" w:rsidP="00AC3F78">
      <w:pPr>
        <w:spacing w:line="480" w:lineRule="auto"/>
        <w:rPr>
          <w:color w:val="000000" w:themeColor="text1"/>
        </w:rPr>
      </w:pPr>
      <w:r w:rsidRPr="00601768">
        <w:rPr>
          <w:color w:val="000000" w:themeColor="text1"/>
        </w:rPr>
        <w:t>Upon deliberation of this bill, the Congressional Budget Office</w:t>
      </w:r>
      <w:r w:rsidR="00B539E3">
        <w:rPr>
          <w:color w:val="000000" w:themeColor="text1"/>
        </w:rPr>
        <w:t xml:space="preserve"> (CBO) </w:t>
      </w:r>
      <w:r w:rsidRPr="00601768">
        <w:rPr>
          <w:color w:val="000000" w:themeColor="text1"/>
        </w:rPr>
        <w:t>estimated, through its analysis, the Act would add ~$2.289 trillion to the national debt over ten years.</w:t>
      </w:r>
      <w:r w:rsidRPr="00601768">
        <w:rPr>
          <w:rStyle w:val="FootnoteReference"/>
          <w:color w:val="000000" w:themeColor="text1"/>
        </w:rPr>
        <w:footnoteReference w:id="56"/>
      </w:r>
      <w:r w:rsidRPr="00601768">
        <w:rPr>
          <w:color w:val="000000" w:themeColor="text1"/>
        </w:rPr>
        <w:t xml:space="preserve"> Notwithstanding these predicted budgetary effects, the Act was adopted along party lines. </w:t>
      </w:r>
    </w:p>
    <w:p w:rsidR="00CA4559" w:rsidRDefault="00ED1A41" w:rsidP="00AC3F78">
      <w:pPr>
        <w:spacing w:line="480" w:lineRule="auto"/>
        <w:ind w:firstLine="720"/>
        <w:rPr>
          <w:color w:val="000000" w:themeColor="text1"/>
        </w:rPr>
      </w:pPr>
      <w:r w:rsidRPr="00601768">
        <w:rPr>
          <w:color w:val="000000" w:themeColor="text1"/>
        </w:rPr>
        <w:t xml:space="preserve">After two years of implementation, it is </w:t>
      </w:r>
      <w:r w:rsidR="003C1F7F">
        <w:rPr>
          <w:color w:val="000000" w:themeColor="text1"/>
        </w:rPr>
        <w:t>evident</w:t>
      </w:r>
      <w:r w:rsidRPr="00601768">
        <w:rPr>
          <w:color w:val="000000" w:themeColor="text1"/>
        </w:rPr>
        <w:t xml:space="preserve"> this policy failed to pay for itself with economic growth, as promised by leading proponents. According to a report by the non-partisan Tax Policy Center, more than 60% of the tax savings went </w:t>
      </w:r>
      <w:r w:rsidR="003C1F7F">
        <w:rPr>
          <w:color w:val="000000" w:themeColor="text1"/>
        </w:rPr>
        <w:t xml:space="preserve">to </w:t>
      </w:r>
      <w:r w:rsidR="00AF0EED">
        <w:rPr>
          <w:color w:val="000000" w:themeColor="text1"/>
        </w:rPr>
        <w:t xml:space="preserve">the highest </w:t>
      </w:r>
      <w:r w:rsidRPr="00601768">
        <w:rPr>
          <w:color w:val="000000" w:themeColor="text1"/>
        </w:rPr>
        <w:t>20% of income</w:t>
      </w:r>
      <w:r w:rsidR="00AF0EED">
        <w:rPr>
          <w:color w:val="000000" w:themeColor="text1"/>
        </w:rPr>
        <w:t xml:space="preserve"> earners</w:t>
      </w:r>
      <w:r w:rsidRPr="00601768">
        <w:rPr>
          <w:color w:val="000000" w:themeColor="text1"/>
        </w:rPr>
        <w:t>, corporate tax revenues fell 31% in the first year, overall revenue has similarly declined in both years, and economic growth is at similar levels to 2015 (2.9%).</w:t>
      </w:r>
      <w:r w:rsidRPr="00601768">
        <w:rPr>
          <w:rStyle w:val="FootnoteReference"/>
          <w:color w:val="000000" w:themeColor="text1"/>
        </w:rPr>
        <w:footnoteReference w:id="57"/>
      </w:r>
      <w:r w:rsidRPr="00601768">
        <w:rPr>
          <w:color w:val="000000" w:themeColor="text1"/>
        </w:rPr>
        <w:t xml:space="preserve"> President Trump’s Council of Economic Advisors </w:t>
      </w:r>
      <w:r w:rsidR="00B539E3">
        <w:rPr>
          <w:color w:val="000000" w:themeColor="text1"/>
        </w:rPr>
        <w:t xml:space="preserve">(CEA) </w:t>
      </w:r>
      <w:r w:rsidRPr="00601768">
        <w:rPr>
          <w:color w:val="000000" w:themeColor="text1"/>
        </w:rPr>
        <w:t>predicted the tax cuts would increase average household income by $4000 annually; however, a study by the Congressional Research Service indicates that ordinary workers had very little growth in wage rates.</w:t>
      </w:r>
      <w:r w:rsidRPr="00601768">
        <w:rPr>
          <w:rStyle w:val="FootnoteReference"/>
          <w:color w:val="000000" w:themeColor="text1"/>
        </w:rPr>
        <w:footnoteReference w:id="58"/>
      </w:r>
      <w:r w:rsidRPr="00601768">
        <w:rPr>
          <w:color w:val="000000" w:themeColor="text1"/>
        </w:rPr>
        <w:t xml:space="preserve"> Furthermore, to the extent that there was any healthy business investment subsequent to adoption of TCJA, a study by the </w:t>
      </w:r>
      <w:r w:rsidR="00B539E3">
        <w:rPr>
          <w:color w:val="000000" w:themeColor="text1"/>
        </w:rPr>
        <w:t>IMF</w:t>
      </w:r>
      <w:r w:rsidRPr="00601768">
        <w:rPr>
          <w:color w:val="000000" w:themeColor="text1"/>
        </w:rPr>
        <w:t xml:space="preserve"> concludes that it can be attributed </w:t>
      </w:r>
      <w:r w:rsidRPr="00601768">
        <w:rPr>
          <w:color w:val="000000" w:themeColor="text1"/>
        </w:rPr>
        <w:lastRenderedPageBreak/>
        <w:t>to the drive by strong aggregate demand in the economy rather than supply-side factors.</w:t>
      </w:r>
      <w:r w:rsidRPr="00601768">
        <w:rPr>
          <w:rStyle w:val="FootnoteReference"/>
          <w:color w:val="000000" w:themeColor="text1"/>
        </w:rPr>
        <w:footnoteReference w:id="59"/>
      </w:r>
      <w:r w:rsidRPr="00601768">
        <w:rPr>
          <w:color w:val="000000" w:themeColor="text1"/>
        </w:rPr>
        <w:t xml:space="preserve"> These findings are in accordance with the effects of supply-side policies adopted in the past </w:t>
      </w:r>
      <w:r w:rsidR="00AF0EED">
        <w:rPr>
          <w:color w:val="000000" w:themeColor="text1"/>
        </w:rPr>
        <w:t>4</w:t>
      </w:r>
      <w:r w:rsidRPr="00601768">
        <w:rPr>
          <w:color w:val="000000" w:themeColor="text1"/>
        </w:rPr>
        <w:t>0 years, serving to exacerbate rather than mitigate economic inequality</w:t>
      </w:r>
      <w:r w:rsidR="003C1F7F">
        <w:rPr>
          <w:color w:val="000000" w:themeColor="text1"/>
        </w:rPr>
        <w:t xml:space="preserve"> and growth</w:t>
      </w:r>
      <w:r w:rsidRPr="00601768">
        <w:rPr>
          <w:color w:val="000000" w:themeColor="text1"/>
        </w:rPr>
        <w:t xml:space="preserve">. </w:t>
      </w:r>
    </w:p>
    <w:p w:rsidR="0016336E" w:rsidRDefault="0016336E" w:rsidP="00AC3F78">
      <w:pPr>
        <w:spacing w:line="480" w:lineRule="auto"/>
        <w:ind w:firstLine="720"/>
        <w:rPr>
          <w:color w:val="000000" w:themeColor="text1"/>
        </w:rPr>
      </w:pPr>
    </w:p>
    <w:p w:rsidR="008F3800" w:rsidRDefault="0016336E" w:rsidP="00BF06A1">
      <w:pPr>
        <w:keepNext/>
        <w:spacing w:line="480" w:lineRule="auto"/>
        <w:ind w:firstLine="270"/>
        <w:jc w:val="center"/>
      </w:pPr>
      <w:r>
        <w:rPr>
          <w:noProof/>
          <w:color w:val="000000" w:themeColor="text1"/>
        </w:rPr>
        <w:drawing>
          <wp:inline distT="0" distB="0" distL="0" distR="0">
            <wp:extent cx="5269117" cy="3405877"/>
            <wp:effectExtent l="0" t="0" r="190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5 at 3.48.16 PM.png"/>
                    <pic:cNvPicPr/>
                  </pic:nvPicPr>
                  <pic:blipFill>
                    <a:blip r:embed="rId12">
                      <a:extLst>
                        <a:ext uri="{28A0092B-C50C-407E-A947-70E740481C1C}">
                          <a14:useLocalDpi xmlns:a14="http://schemas.microsoft.com/office/drawing/2010/main" val="0"/>
                        </a:ext>
                      </a:extLst>
                    </a:blip>
                    <a:stretch>
                      <a:fillRect/>
                    </a:stretch>
                  </pic:blipFill>
                  <pic:spPr>
                    <a:xfrm>
                      <a:off x="0" y="0"/>
                      <a:ext cx="5327661" cy="3443719"/>
                    </a:xfrm>
                    <a:prstGeom prst="rect">
                      <a:avLst/>
                    </a:prstGeom>
                  </pic:spPr>
                </pic:pic>
              </a:graphicData>
            </a:graphic>
          </wp:inline>
        </w:drawing>
      </w:r>
    </w:p>
    <w:p w:rsidR="0016336E" w:rsidRPr="00601768" w:rsidRDefault="008F3800" w:rsidP="008F3800">
      <w:pPr>
        <w:pStyle w:val="Caption"/>
        <w:rPr>
          <w:color w:val="000000" w:themeColor="text1"/>
        </w:rPr>
      </w:pPr>
      <w:r>
        <w:t xml:space="preserve">Figure </w:t>
      </w:r>
      <w:r w:rsidR="00953081">
        <w:t>5</w:t>
      </w:r>
      <w:r>
        <w:t>. Timeline of fiscal policy change in the 20</w:t>
      </w:r>
      <w:r w:rsidRPr="008F3800">
        <w:rPr>
          <w:vertAlign w:val="superscript"/>
        </w:rPr>
        <w:t>th</w:t>
      </w:r>
      <w:r>
        <w:t xml:space="preserve"> century.</w:t>
      </w:r>
    </w:p>
    <w:p w:rsidR="00B80E70" w:rsidRPr="00601768" w:rsidRDefault="00B80E70" w:rsidP="00AC3F78">
      <w:pPr>
        <w:pStyle w:val="Heading1"/>
        <w:spacing w:line="480" w:lineRule="auto"/>
        <w:rPr>
          <w:rFonts w:ascii="Garamond" w:hAnsi="Garamond"/>
          <w:color w:val="000000" w:themeColor="text1"/>
        </w:rPr>
      </w:pPr>
      <w:bookmarkStart w:id="17" w:name="_Toc39584250"/>
      <w:r w:rsidRPr="00601768">
        <w:rPr>
          <w:rFonts w:ascii="Garamond" w:hAnsi="Garamond"/>
          <w:color w:val="000000" w:themeColor="text1"/>
        </w:rPr>
        <w:t>Methodology</w:t>
      </w:r>
      <w:bookmarkEnd w:id="17"/>
    </w:p>
    <w:p w:rsidR="00B80E70" w:rsidRPr="00601768" w:rsidRDefault="00B80E70" w:rsidP="00AC3F78">
      <w:pPr>
        <w:spacing w:line="480" w:lineRule="auto"/>
        <w:ind w:firstLine="720"/>
        <w:rPr>
          <w:color w:val="000000" w:themeColor="text1"/>
        </w:rPr>
      </w:pPr>
      <w:r w:rsidRPr="00601768">
        <w:rPr>
          <w:color w:val="000000" w:themeColor="text1"/>
        </w:rPr>
        <w:t>The matter of income inequality and the respective externalities, as previously discussed, presents an unsustainable economic course for the United States demanding due consideration and further action by this committee. If the legislative action is to have the desired effect of minimizing income inequality while maintaining economic efficiency, the policy alternatives hereunto proposed shall be considered and evaluated according to the following criteria:</w:t>
      </w:r>
    </w:p>
    <w:p w:rsidR="00B80E70" w:rsidRPr="00601768" w:rsidRDefault="00B80E70" w:rsidP="00AC3F78">
      <w:pPr>
        <w:pStyle w:val="Heading2"/>
        <w:spacing w:line="480" w:lineRule="auto"/>
        <w:rPr>
          <w:rFonts w:ascii="Garamond" w:hAnsi="Garamond"/>
          <w:i/>
          <w:iCs/>
          <w:color w:val="000000" w:themeColor="text1"/>
        </w:rPr>
      </w:pPr>
      <w:bookmarkStart w:id="18" w:name="_Toc39584251"/>
      <w:r w:rsidRPr="00601768">
        <w:rPr>
          <w:rFonts w:ascii="Garamond" w:hAnsi="Garamond"/>
          <w:i/>
          <w:iCs/>
          <w:color w:val="000000" w:themeColor="text1"/>
        </w:rPr>
        <w:lastRenderedPageBreak/>
        <w:t>Principle 1</w:t>
      </w:r>
      <w:bookmarkEnd w:id="18"/>
    </w:p>
    <w:p w:rsidR="00B80E70" w:rsidRPr="00601768" w:rsidRDefault="00B80E70" w:rsidP="00AC3F78">
      <w:pPr>
        <w:spacing w:line="480" w:lineRule="auto"/>
        <w:rPr>
          <w:color w:val="000000" w:themeColor="text1"/>
        </w:rPr>
      </w:pPr>
      <w:r w:rsidRPr="00601768">
        <w:rPr>
          <w:color w:val="000000" w:themeColor="text1"/>
        </w:rPr>
        <w:t xml:space="preserve">Amending fiscal policy may serve as a non-exclusive means to the objective of minimizing income inequality—as measured by the Gini coefficient—and shall do so within the current legislative framework and limitations under the purview of this committee. </w:t>
      </w:r>
    </w:p>
    <w:p w:rsidR="00B80E70" w:rsidRPr="00601768" w:rsidRDefault="00B80E70" w:rsidP="00AC3F78">
      <w:pPr>
        <w:pStyle w:val="Heading2"/>
        <w:spacing w:line="480" w:lineRule="auto"/>
        <w:rPr>
          <w:rFonts w:ascii="Garamond" w:hAnsi="Garamond"/>
          <w:i/>
          <w:iCs/>
          <w:color w:val="000000" w:themeColor="text1"/>
        </w:rPr>
      </w:pPr>
      <w:bookmarkStart w:id="19" w:name="_Toc39584252"/>
      <w:r w:rsidRPr="00601768">
        <w:rPr>
          <w:rFonts w:ascii="Garamond" w:hAnsi="Garamond"/>
          <w:i/>
          <w:iCs/>
          <w:color w:val="000000" w:themeColor="text1"/>
        </w:rPr>
        <w:t>Principle 2</w:t>
      </w:r>
      <w:bookmarkEnd w:id="19"/>
    </w:p>
    <w:p w:rsidR="00B80E70" w:rsidRPr="00601768" w:rsidRDefault="00B80E70" w:rsidP="00AC3F78">
      <w:pPr>
        <w:spacing w:line="480" w:lineRule="auto"/>
        <w:rPr>
          <w:color w:val="000000" w:themeColor="text1"/>
        </w:rPr>
      </w:pPr>
      <w:r w:rsidRPr="00601768">
        <w:rPr>
          <w:color w:val="000000" w:themeColor="text1"/>
        </w:rPr>
        <w:t>Policy alternatives presented herein are not mutually exclusive; that is, the implementation of one policy does not negate the possibility for the implementation of another. Indeed, the objective is increasingly realized in relation to the quantity of policies implemented, as their effect is complementary. Notwithstanding, a policy recommendation will be made.</w:t>
      </w:r>
    </w:p>
    <w:p w:rsidR="00B80E70" w:rsidRPr="00601768" w:rsidRDefault="00B80E70" w:rsidP="00AC3F78">
      <w:pPr>
        <w:pStyle w:val="Heading2"/>
        <w:spacing w:line="480" w:lineRule="auto"/>
        <w:rPr>
          <w:rFonts w:ascii="Garamond" w:hAnsi="Garamond"/>
          <w:i/>
          <w:iCs/>
          <w:color w:val="000000" w:themeColor="text1"/>
        </w:rPr>
      </w:pPr>
      <w:bookmarkStart w:id="20" w:name="_Toc39584253"/>
      <w:r w:rsidRPr="00601768">
        <w:rPr>
          <w:rFonts w:ascii="Garamond" w:hAnsi="Garamond"/>
          <w:i/>
          <w:iCs/>
          <w:color w:val="000000" w:themeColor="text1"/>
        </w:rPr>
        <w:t>Principle 3</w:t>
      </w:r>
      <w:bookmarkEnd w:id="20"/>
    </w:p>
    <w:p w:rsidR="00B80E70" w:rsidRPr="00601768" w:rsidRDefault="00B80E70" w:rsidP="00AC3F78">
      <w:pPr>
        <w:spacing w:line="480" w:lineRule="auto"/>
        <w:rPr>
          <w:color w:val="000000" w:themeColor="text1"/>
        </w:rPr>
      </w:pPr>
      <w:r w:rsidRPr="00601768">
        <w:rPr>
          <w:color w:val="000000" w:themeColor="text1"/>
        </w:rPr>
        <w:t xml:space="preserve">Any policy or combination thereof hereunto considered shall seek to maximize the realization of the objective stated in </w:t>
      </w:r>
      <w:r w:rsidRPr="00601768">
        <w:rPr>
          <w:i/>
          <w:iCs/>
          <w:color w:val="000000" w:themeColor="text1"/>
        </w:rPr>
        <w:t>Principle 1</w:t>
      </w:r>
      <w:r w:rsidRPr="00601768">
        <w:rPr>
          <w:color w:val="000000" w:themeColor="text1"/>
        </w:rPr>
        <w:t xml:space="preserve"> while minimizing the effect such measures may have on the efficiency of the economy, with respect to the preservation of competition and incentives for new instances of primitive accumulation.</w:t>
      </w:r>
    </w:p>
    <w:p w:rsidR="00B80E70" w:rsidRPr="00601768" w:rsidRDefault="00B80E70" w:rsidP="00AC3F78">
      <w:pPr>
        <w:pStyle w:val="Heading2"/>
        <w:spacing w:line="480" w:lineRule="auto"/>
        <w:rPr>
          <w:rFonts w:ascii="Garamond" w:hAnsi="Garamond"/>
          <w:i/>
          <w:iCs/>
          <w:color w:val="000000" w:themeColor="text1"/>
        </w:rPr>
      </w:pPr>
      <w:bookmarkStart w:id="21" w:name="_Toc39584254"/>
      <w:r w:rsidRPr="00601768">
        <w:rPr>
          <w:rFonts w:ascii="Garamond" w:hAnsi="Garamond"/>
          <w:i/>
          <w:iCs/>
          <w:color w:val="000000" w:themeColor="text1"/>
        </w:rPr>
        <w:t>Efficacy</w:t>
      </w:r>
      <w:bookmarkEnd w:id="21"/>
    </w:p>
    <w:p w:rsidR="00B80E70" w:rsidRPr="00601768" w:rsidRDefault="00B80E70" w:rsidP="00AC3F78">
      <w:pPr>
        <w:spacing w:line="480" w:lineRule="auto"/>
        <w:rPr>
          <w:color w:val="000000" w:themeColor="text1"/>
        </w:rPr>
      </w:pPr>
      <w:r w:rsidRPr="00601768">
        <w:rPr>
          <w:color w:val="000000" w:themeColor="text1"/>
        </w:rPr>
        <w:t xml:space="preserve">An evaluative criterion serving to measure the degree to which a policy may realize the objective set forth in </w:t>
      </w:r>
      <w:r w:rsidRPr="00601768">
        <w:rPr>
          <w:i/>
          <w:iCs/>
          <w:color w:val="000000" w:themeColor="text1"/>
        </w:rPr>
        <w:t>Principle 1</w:t>
      </w:r>
      <w:r w:rsidRPr="00601768">
        <w:rPr>
          <w:color w:val="000000" w:themeColor="text1"/>
        </w:rPr>
        <w:t>. This will be measured by assessing the change a policy may have on the distribution of wealth via post-tax share of national income.</w:t>
      </w:r>
    </w:p>
    <w:p w:rsidR="00B80E70" w:rsidRPr="00601768" w:rsidRDefault="00B80E70" w:rsidP="00AC3F78">
      <w:pPr>
        <w:pStyle w:val="Heading2"/>
        <w:spacing w:line="480" w:lineRule="auto"/>
        <w:rPr>
          <w:rFonts w:ascii="Garamond" w:hAnsi="Garamond"/>
          <w:i/>
          <w:iCs/>
          <w:color w:val="000000" w:themeColor="text1"/>
        </w:rPr>
      </w:pPr>
      <w:bookmarkStart w:id="22" w:name="_Toc39584255"/>
      <w:r w:rsidRPr="00601768">
        <w:rPr>
          <w:rFonts w:ascii="Garamond" w:hAnsi="Garamond"/>
          <w:i/>
          <w:iCs/>
          <w:color w:val="000000" w:themeColor="text1"/>
        </w:rPr>
        <w:t>Political Feasibility</w:t>
      </w:r>
      <w:bookmarkEnd w:id="22"/>
    </w:p>
    <w:p w:rsidR="00B80E70" w:rsidRPr="00601768" w:rsidRDefault="00B80E70" w:rsidP="00AC3F78">
      <w:pPr>
        <w:spacing w:line="480" w:lineRule="auto"/>
        <w:rPr>
          <w:color w:val="000000" w:themeColor="text1"/>
        </w:rPr>
      </w:pPr>
      <w:r w:rsidRPr="00601768">
        <w:rPr>
          <w:color w:val="000000" w:themeColor="text1"/>
        </w:rPr>
        <w:t>An evaluative criterion measuring the likelihood of adoption of a given policy. Given the current political climate, two assessments will be made: 1) assuming a Republican party majority congress and executive and 2)assuming a Democratic party majority congress and executive.</w:t>
      </w:r>
    </w:p>
    <w:p w:rsidR="00B80E70" w:rsidRPr="00601768" w:rsidRDefault="00B80E70" w:rsidP="00AC3F78">
      <w:pPr>
        <w:pStyle w:val="Heading2"/>
        <w:spacing w:line="480" w:lineRule="auto"/>
        <w:rPr>
          <w:rFonts w:ascii="Garamond" w:hAnsi="Garamond"/>
          <w:i/>
          <w:iCs/>
          <w:color w:val="000000" w:themeColor="text1"/>
        </w:rPr>
      </w:pPr>
      <w:bookmarkStart w:id="23" w:name="_Toc39584256"/>
      <w:r w:rsidRPr="00601768">
        <w:rPr>
          <w:rFonts w:ascii="Garamond" w:hAnsi="Garamond"/>
          <w:i/>
          <w:iCs/>
          <w:color w:val="000000" w:themeColor="text1"/>
        </w:rPr>
        <w:lastRenderedPageBreak/>
        <w:t>Impact on Economy</w:t>
      </w:r>
      <w:bookmarkEnd w:id="23"/>
    </w:p>
    <w:p w:rsidR="00B80E70" w:rsidRPr="00601768" w:rsidRDefault="00B80E70" w:rsidP="00AC3F78">
      <w:pPr>
        <w:spacing w:line="480" w:lineRule="auto"/>
        <w:rPr>
          <w:color w:val="000000" w:themeColor="text1"/>
        </w:rPr>
      </w:pPr>
      <w:r w:rsidRPr="00601768">
        <w:rPr>
          <w:color w:val="000000" w:themeColor="text1"/>
        </w:rPr>
        <w:t>An evaluative criterion measuring the impact a given policy may have on the efficiency of the economy, as stated in Principle 3. Prospective GDP will be used as a quantifier for this criterion.</w:t>
      </w:r>
    </w:p>
    <w:p w:rsidR="00B80E70" w:rsidRPr="00601768" w:rsidRDefault="00B80E70" w:rsidP="00AC3F78">
      <w:pPr>
        <w:pStyle w:val="Heading1"/>
        <w:spacing w:line="480" w:lineRule="auto"/>
        <w:rPr>
          <w:rFonts w:ascii="Garamond" w:hAnsi="Garamond"/>
          <w:color w:val="000000" w:themeColor="text1"/>
        </w:rPr>
      </w:pPr>
      <w:bookmarkStart w:id="24" w:name="_Toc39584257"/>
      <w:r w:rsidRPr="00601768">
        <w:rPr>
          <w:rFonts w:ascii="Garamond" w:hAnsi="Garamond"/>
          <w:color w:val="000000" w:themeColor="text1"/>
        </w:rPr>
        <w:t>Policy Actions and Recommendations</w:t>
      </w:r>
      <w:bookmarkEnd w:id="24"/>
    </w:p>
    <w:p w:rsidR="00B80E70" w:rsidRPr="00601768" w:rsidRDefault="00B80E70" w:rsidP="00AC3F78">
      <w:pPr>
        <w:pStyle w:val="Heading2"/>
        <w:spacing w:line="480" w:lineRule="auto"/>
        <w:rPr>
          <w:rFonts w:ascii="Garamond" w:hAnsi="Garamond"/>
          <w:i/>
          <w:color w:val="000000" w:themeColor="text1"/>
        </w:rPr>
      </w:pPr>
      <w:bookmarkStart w:id="25" w:name="_Toc39584258"/>
      <w:r w:rsidRPr="00601768">
        <w:rPr>
          <w:rFonts w:ascii="Garamond" w:hAnsi="Garamond"/>
          <w:i/>
          <w:color w:val="000000" w:themeColor="text1"/>
        </w:rPr>
        <w:t>Corporate Tax</w:t>
      </w:r>
      <w:bookmarkEnd w:id="25"/>
    </w:p>
    <w:p w:rsidR="00B80E70" w:rsidRPr="00601768" w:rsidRDefault="00B80E70" w:rsidP="00AC3F78">
      <w:pPr>
        <w:spacing w:line="480" w:lineRule="auto"/>
        <w:ind w:firstLine="720"/>
        <w:rPr>
          <w:color w:val="000000" w:themeColor="text1"/>
        </w:rPr>
      </w:pPr>
      <w:r w:rsidRPr="00601768">
        <w:rPr>
          <w:color w:val="000000" w:themeColor="text1"/>
        </w:rPr>
        <w:t>The corporate tax in the U.S. is the third-largest source of federal revenue, currently implemented at a rate of 21%, per the 2017 Tax Cuts and Jobs Act.</w:t>
      </w:r>
      <w:r w:rsidRPr="00601768">
        <w:rPr>
          <w:rStyle w:val="FootnoteReference"/>
          <w:color w:val="000000" w:themeColor="text1"/>
        </w:rPr>
        <w:footnoteReference w:id="60"/>
      </w:r>
      <w:r w:rsidRPr="00601768">
        <w:rPr>
          <w:color w:val="000000" w:themeColor="text1"/>
        </w:rPr>
        <w:t xml:space="preserve"> It effectively acts as a prepayment for the individual income tax. Its major deficiency lies in the incentives created through the revenue code framework under which firms can and often do dodge taxation.</w:t>
      </w:r>
      <w:r w:rsidRPr="00601768">
        <w:rPr>
          <w:rStyle w:val="FootnoteReference"/>
          <w:color w:val="000000" w:themeColor="text1"/>
        </w:rPr>
        <w:footnoteReference w:id="61"/>
      </w:r>
      <w:r w:rsidRPr="00601768">
        <w:rPr>
          <w:color w:val="000000" w:themeColor="text1"/>
        </w:rPr>
        <w:t xml:space="preserve"> Having a tax system under which income tax is independent of corporate tax allows for entities to manage accountings such that funds can be reclassified so as to avoid being subject to domestic taxation. Effectively, this incentivizes corporations under the current system to avoid paying taxes altogether by implementing tax-dodging mechanisms. </w:t>
      </w:r>
    </w:p>
    <w:p w:rsidR="00B80E70" w:rsidRPr="00601768" w:rsidRDefault="00B80E70" w:rsidP="00AC3F78">
      <w:pPr>
        <w:spacing w:line="480" w:lineRule="auto"/>
        <w:ind w:firstLine="720"/>
        <w:rPr>
          <w:color w:val="000000" w:themeColor="text1"/>
        </w:rPr>
      </w:pPr>
      <w:r w:rsidRPr="00601768">
        <w:rPr>
          <w:color w:val="000000" w:themeColor="text1"/>
        </w:rPr>
        <w:t>Another issue with the current system is the distortions that are created vis-à-vis incorporation and debt vs equity matters. Under the current system, a business may choose to be classified as “incorporated’; that is, subject to the corporate tax. Alternatively, it can choose not to do so and have its profits passed to its owners and subject to individual income taxes, like partnerships. Clever accounting also allows corporations to dodge taxation by choosing to classify funds and capital as either “debt” or “equity.” The policy proposed herein seeks to directly address these shortcomings.</w:t>
      </w:r>
    </w:p>
    <w:p w:rsidR="003C1F7F" w:rsidRDefault="00B80E70" w:rsidP="00AC3F78">
      <w:pPr>
        <w:spacing w:line="480" w:lineRule="auto"/>
        <w:ind w:firstLine="720"/>
        <w:rPr>
          <w:color w:val="000000" w:themeColor="text1"/>
        </w:rPr>
      </w:pPr>
      <w:r w:rsidRPr="00601768">
        <w:rPr>
          <w:color w:val="000000" w:themeColor="text1"/>
        </w:rPr>
        <w:lastRenderedPageBreak/>
        <w:t>Integrating the corporate tax with the individual income tax is a way to effectively address the functionality of this form of taxation. Despite U.S. fiscal policy having no precedent for this form of integration, it has been implemented successfully in most European countries and currently, in Canada and Australia among others.</w:t>
      </w:r>
      <w:r w:rsidRPr="00601768">
        <w:rPr>
          <w:rStyle w:val="FootnoteReference"/>
          <w:color w:val="000000" w:themeColor="text1"/>
        </w:rPr>
        <w:footnoteReference w:id="62"/>
      </w:r>
      <w:r w:rsidRPr="00601768">
        <w:rPr>
          <w:color w:val="000000" w:themeColor="text1"/>
        </w:rPr>
        <w:t xml:space="preserve"> In praxis, integration entails any corporate tax to be credited against the amount of personal income tax owed.</w:t>
      </w:r>
      <w:r w:rsidRPr="00601768">
        <w:rPr>
          <w:rStyle w:val="FootnoteReference"/>
          <w:color w:val="000000" w:themeColor="text1"/>
        </w:rPr>
        <w:footnoteReference w:id="63"/>
      </w:r>
      <w:r w:rsidRPr="00601768">
        <w:rPr>
          <w:color w:val="000000" w:themeColor="text1"/>
        </w:rPr>
        <w:t xml:space="preserve"> For example, if we assume that a firm owner makes $100 in profits, then under the current system, they pay $20 in corporate tax and distribute the remaining $80 in dividends. Under an integrated system, said firm owner would have the entire $100 profit amount be subject to the taxable individual income. With a 50% marginal tax rate, the owner would effectively pay $50 in taxes on that income; however, in consideration of the firm having already paid $20 in corporate taxes, the total amount paid would be reduced to $30 ($50-$20). Ultimately, this amounts to a tax rate of 50% ($30 by the owner + $20 by the firm), which is the same rate the owner would be subjected to if their earnings were in the form of wages rather than profits. Essentially, by integrating corporate and income taxation, corporations would be pressured by shareholders to limit tax-dodging in order for shareholders to receive tax credits, thus disincentivizing tax avoidance. </w:t>
      </w:r>
    </w:p>
    <w:p w:rsidR="00B80E70" w:rsidRPr="00601768" w:rsidRDefault="00B80E70" w:rsidP="00AC3F78">
      <w:pPr>
        <w:spacing w:line="480" w:lineRule="auto"/>
        <w:ind w:firstLine="720"/>
        <w:rPr>
          <w:color w:val="000000" w:themeColor="text1"/>
        </w:rPr>
      </w:pPr>
      <w:r w:rsidRPr="00601768">
        <w:rPr>
          <w:color w:val="000000" w:themeColor="text1"/>
        </w:rPr>
        <w:t xml:space="preserve">In regards to incorporation, integration would further eliminate distortions by making it neutral to issue debt or equity, given the equal tax implications of both forms of payment. Moreover, integration would create a framework under which labor and capital are treated equally for tax purposes. A progressive tax platform entails taxing all income more progressively by reducing distinctions between forms of taxation. </w:t>
      </w:r>
    </w:p>
    <w:p w:rsidR="00B80E70" w:rsidRPr="00DF0368" w:rsidRDefault="00B80E70" w:rsidP="00AC3F78">
      <w:pPr>
        <w:pStyle w:val="Heading3"/>
        <w:spacing w:line="480" w:lineRule="auto"/>
        <w:rPr>
          <w:rFonts w:ascii="Garamond" w:hAnsi="Garamond"/>
          <w:i/>
          <w:iCs/>
          <w:color w:val="000000" w:themeColor="text1"/>
        </w:rPr>
      </w:pPr>
      <w:bookmarkStart w:id="26" w:name="_Toc39584259"/>
      <w:r w:rsidRPr="00DF0368">
        <w:rPr>
          <w:rFonts w:ascii="Garamond" w:hAnsi="Garamond"/>
          <w:i/>
          <w:iCs/>
          <w:color w:val="000000" w:themeColor="text1"/>
        </w:rPr>
        <w:lastRenderedPageBreak/>
        <w:t>Evaluation</w:t>
      </w:r>
      <w:bookmarkEnd w:id="26"/>
    </w:p>
    <w:p w:rsidR="00B80E70" w:rsidRPr="00601768" w:rsidRDefault="00B80E70" w:rsidP="00AC3F78">
      <w:pPr>
        <w:spacing w:line="480" w:lineRule="auto"/>
        <w:ind w:firstLine="720"/>
        <w:rPr>
          <w:color w:val="000000" w:themeColor="text1"/>
        </w:rPr>
      </w:pPr>
      <w:r w:rsidRPr="00601768">
        <w:rPr>
          <w:color w:val="000000" w:themeColor="text1"/>
        </w:rPr>
        <w:t>The evaluative criterion presented in the previous section will be used as an standard of analysis for this policy. First and foremost, evaluating efficacy requires establishing how successful this policy may be in reducing income inequality domestically. Codifying the “equal income means equal tax” principle under this system of integration would significantly reduce economic disparities; however, this effect is indirect and can thus be considered to have a “Medium” level of efficacy. Political Feasibility for this policy is highly contingent on the political party who holds a majority in both—executive and legislative—branches. The principles underlying this policy, unfortunately, stand in stark contrast to the economic platform of the modern Republican party, given their deeply held beliefs about economic principles. In any case under which the Republican party holds a majority in either legislative body or the executive branch, it would be in the best interest to defer introduction of this policy for a more favorable policy window. Under a Democratic-party-ruled legislative and executive, there is no reason to believe adoption would require much political currency or pressure. For these reasons, overall political feasibility would be assessed as “Low.”</w:t>
      </w:r>
    </w:p>
    <w:p w:rsidR="00B80E70" w:rsidRPr="00601768" w:rsidRDefault="00B80E70" w:rsidP="00AC3F78">
      <w:pPr>
        <w:spacing w:line="480" w:lineRule="auto"/>
        <w:ind w:firstLine="720"/>
        <w:rPr>
          <w:color w:val="000000" w:themeColor="text1"/>
        </w:rPr>
      </w:pPr>
      <w:r w:rsidRPr="00601768">
        <w:rPr>
          <w:color w:val="000000" w:themeColor="text1"/>
        </w:rPr>
        <w:t>How integration would impact economic efficiency is a function of the form upon which this policy is implemented. European countries have historically differed in this regard depending on their initial objective for adoption of this form of measure.</w:t>
      </w:r>
      <w:r w:rsidRPr="00601768">
        <w:rPr>
          <w:rStyle w:val="FootnoteReference"/>
          <w:color w:val="000000" w:themeColor="text1"/>
        </w:rPr>
        <w:footnoteReference w:id="64"/>
      </w:r>
      <w:r w:rsidRPr="00601768">
        <w:rPr>
          <w:color w:val="000000" w:themeColor="text1"/>
        </w:rPr>
        <w:t xml:space="preserve"> Notwithstanding, if formatted adequately, there is no reason to believe the implementation of this policy would notably compromise economic efficiency, if at all.</w:t>
      </w:r>
    </w:p>
    <w:p w:rsidR="00B80E70" w:rsidRPr="00601768" w:rsidRDefault="00B80E70" w:rsidP="00AC3F78">
      <w:pPr>
        <w:pStyle w:val="Heading2"/>
        <w:spacing w:line="480" w:lineRule="auto"/>
        <w:rPr>
          <w:rFonts w:ascii="Garamond" w:hAnsi="Garamond"/>
          <w:i/>
          <w:color w:val="000000" w:themeColor="text1"/>
        </w:rPr>
      </w:pPr>
      <w:bookmarkStart w:id="27" w:name="_Toc39584260"/>
      <w:r w:rsidRPr="00601768">
        <w:rPr>
          <w:rFonts w:ascii="Garamond" w:hAnsi="Garamond"/>
          <w:i/>
          <w:color w:val="000000" w:themeColor="text1"/>
        </w:rPr>
        <w:lastRenderedPageBreak/>
        <w:t>Progressive Income Tax</w:t>
      </w:r>
      <w:bookmarkEnd w:id="27"/>
    </w:p>
    <w:p w:rsidR="00B80E70" w:rsidRPr="00601768" w:rsidRDefault="00B80E70" w:rsidP="00AC3F78">
      <w:pPr>
        <w:spacing w:line="480" w:lineRule="auto"/>
        <w:ind w:firstLine="720"/>
        <w:rPr>
          <w:color w:val="000000" w:themeColor="text1"/>
        </w:rPr>
      </w:pPr>
      <w:r w:rsidRPr="00601768">
        <w:rPr>
          <w:color w:val="000000" w:themeColor="text1"/>
        </w:rPr>
        <w:t>As documented previously, U.S. income tax has become significantly less progressive over the last 50 years with multiple tax cuts for the highest income earners.</w:t>
      </w:r>
      <w:r w:rsidRPr="00601768">
        <w:rPr>
          <w:rStyle w:val="FootnoteReference"/>
          <w:color w:val="000000" w:themeColor="text1"/>
        </w:rPr>
        <w:footnoteReference w:id="65"/>
      </w:r>
      <w:r w:rsidRPr="00601768">
        <w:rPr>
          <w:color w:val="000000" w:themeColor="text1"/>
        </w:rPr>
        <w:t xml:space="preserve"> In order to respond to current trends in wealth distribution, it is not necessary to revert to a progressive post-WWII tax system, but changes can and must be made which rectify these trends while promoting growth. </w:t>
      </w:r>
    </w:p>
    <w:p w:rsidR="000177B3" w:rsidRDefault="00B80E70" w:rsidP="00AC3F78">
      <w:pPr>
        <w:spacing w:line="480" w:lineRule="auto"/>
        <w:ind w:firstLine="720"/>
        <w:rPr>
          <w:color w:val="000000" w:themeColor="text1"/>
        </w:rPr>
      </w:pPr>
      <w:r w:rsidRPr="00601768">
        <w:rPr>
          <w:color w:val="000000" w:themeColor="text1"/>
        </w:rPr>
        <w:t>If the objective is to curb inequality, the average tax rate should be closer to 60% rather than the current 30%. If this be adopted, estimates suggest the highest 1% of income earners would account for 9.5% of the national income through revenue rather than the current 6%.</w:t>
      </w:r>
      <w:r w:rsidRPr="00601768">
        <w:rPr>
          <w:rStyle w:val="FootnoteReference"/>
          <w:color w:val="000000" w:themeColor="text1"/>
        </w:rPr>
        <w:footnoteReference w:id="66"/>
      </w:r>
      <w:r w:rsidRPr="00601768">
        <w:rPr>
          <w:color w:val="000000" w:themeColor="text1"/>
        </w:rPr>
        <w:t xml:space="preserve"> High tax rates can be efficacious for disincentivizing higher income, which can be the goal of policy—for example, Roosevelt’s quasi-confiscatory tax rates were meant to reduce the income of the highest income earners. Despite the effectiveness such a tax rate may have at reducing income inequality, this policy seeks to propose a tax rate that is more in line with that of other developed countries. Currently, the total US tax revenue, equaled 26% of GDP, whereas developed countries averaged a tax revenue that is 33% of GDP. </w:t>
      </w:r>
      <w:r w:rsidRPr="00601768">
        <w:rPr>
          <w:rStyle w:val="FootnoteReference"/>
          <w:color w:val="000000" w:themeColor="text1"/>
        </w:rPr>
        <w:footnoteReference w:id="67"/>
      </w:r>
      <w:r w:rsidRPr="00601768">
        <w:rPr>
          <w:color w:val="000000" w:themeColor="text1"/>
        </w:rPr>
        <w:t xml:space="preserve"> The current severe wealth gap demands an increase for the highest marginal tax rate. As of 2017, the top marginal tax rate in the U.S. is 37%. This policy proposes for adoption a top marginal tax rate of 65% for those with incomes above $500,000 per year. </w:t>
      </w:r>
      <w:r w:rsidR="00873A3B">
        <w:rPr>
          <w:color w:val="000000" w:themeColor="text1"/>
        </w:rPr>
        <w:t>Such a tax rate</w:t>
      </w:r>
      <w:r w:rsidRPr="00601768">
        <w:rPr>
          <w:color w:val="000000" w:themeColor="text1"/>
        </w:rPr>
        <w:t xml:space="preserve"> may seem implausibly high,</w:t>
      </w:r>
      <w:r w:rsidR="00873A3B">
        <w:rPr>
          <w:color w:val="000000" w:themeColor="text1"/>
        </w:rPr>
        <w:t xml:space="preserve"> given the current standards,</w:t>
      </w:r>
      <w:r w:rsidRPr="00601768">
        <w:rPr>
          <w:color w:val="000000" w:themeColor="text1"/>
        </w:rPr>
        <w:t xml:space="preserve"> but a similar rate was in place last in the early 1980</w:t>
      </w:r>
      <w:r w:rsidR="00873A3B">
        <w:rPr>
          <w:color w:val="000000" w:themeColor="text1"/>
        </w:rPr>
        <w:t>s</w:t>
      </w:r>
      <w:r w:rsidRPr="00601768">
        <w:rPr>
          <w:color w:val="000000" w:themeColor="text1"/>
        </w:rPr>
        <w:t xml:space="preserve"> prior to the existence of a growing wealth gap.</w:t>
      </w:r>
      <w:r w:rsidRPr="00601768">
        <w:rPr>
          <w:rStyle w:val="FootnoteReference"/>
          <w:color w:val="000000" w:themeColor="text1"/>
        </w:rPr>
        <w:footnoteReference w:id="68"/>
      </w:r>
      <w:r w:rsidRPr="00601768">
        <w:rPr>
          <w:color w:val="000000" w:themeColor="text1"/>
        </w:rPr>
        <w:t xml:space="preserve"> </w:t>
      </w:r>
      <w:r w:rsidR="00183EFB">
        <w:rPr>
          <w:color w:val="000000" w:themeColor="text1"/>
        </w:rPr>
        <w:t xml:space="preserve">Indeed, </w:t>
      </w:r>
      <w:r w:rsidR="001A3D89">
        <w:rPr>
          <w:color w:val="000000" w:themeColor="text1"/>
        </w:rPr>
        <w:t>several advanced economies</w:t>
      </w:r>
      <w:r w:rsidR="00183EFB">
        <w:rPr>
          <w:color w:val="000000" w:themeColor="text1"/>
        </w:rPr>
        <w:t xml:space="preserve"> have significantly higher top marginal tax rates, such as Sweden (57.1%), </w:t>
      </w:r>
      <w:r w:rsidR="001A3D89">
        <w:rPr>
          <w:color w:val="000000" w:themeColor="text1"/>
        </w:rPr>
        <w:t>Japan</w:t>
      </w:r>
      <w:r w:rsidR="00183EFB">
        <w:rPr>
          <w:color w:val="000000" w:themeColor="text1"/>
        </w:rPr>
        <w:t xml:space="preserve"> </w:t>
      </w:r>
      <w:r w:rsidR="00183EFB">
        <w:rPr>
          <w:color w:val="000000" w:themeColor="text1"/>
        </w:rPr>
        <w:lastRenderedPageBreak/>
        <w:t>(</w:t>
      </w:r>
      <w:r w:rsidR="001A3D89">
        <w:rPr>
          <w:color w:val="000000" w:themeColor="text1"/>
        </w:rPr>
        <w:t>55.9</w:t>
      </w:r>
      <w:r w:rsidR="00183EFB">
        <w:rPr>
          <w:color w:val="000000" w:themeColor="text1"/>
        </w:rPr>
        <w:t xml:space="preserve">%), </w:t>
      </w:r>
      <w:r w:rsidR="001A3D89">
        <w:rPr>
          <w:color w:val="000000" w:themeColor="text1"/>
        </w:rPr>
        <w:t>Denmark</w:t>
      </w:r>
      <w:r w:rsidR="00183EFB">
        <w:rPr>
          <w:color w:val="000000" w:themeColor="text1"/>
        </w:rPr>
        <w:t xml:space="preserve"> (</w:t>
      </w:r>
      <w:r w:rsidR="001A3D89">
        <w:rPr>
          <w:color w:val="000000" w:themeColor="text1"/>
        </w:rPr>
        <w:t>52</w:t>
      </w:r>
      <w:r w:rsidR="00183EFB">
        <w:rPr>
          <w:color w:val="000000" w:themeColor="text1"/>
        </w:rPr>
        <w:t>%), France (</w:t>
      </w:r>
      <w:r w:rsidR="001A3D89">
        <w:rPr>
          <w:color w:val="000000" w:themeColor="text1"/>
        </w:rPr>
        <w:t>54.5</w:t>
      </w:r>
      <w:r w:rsidR="00183EFB">
        <w:rPr>
          <w:color w:val="000000" w:themeColor="text1"/>
        </w:rPr>
        <w:t xml:space="preserve">%), and </w:t>
      </w:r>
      <w:r w:rsidR="001A3D89">
        <w:rPr>
          <w:color w:val="000000" w:themeColor="text1"/>
        </w:rPr>
        <w:t xml:space="preserve">Canada </w:t>
      </w:r>
      <w:r w:rsidR="00183EFB">
        <w:rPr>
          <w:color w:val="000000" w:themeColor="text1"/>
        </w:rPr>
        <w:t>(</w:t>
      </w:r>
      <w:r w:rsidR="001A3D89">
        <w:rPr>
          <w:color w:val="000000" w:themeColor="text1"/>
        </w:rPr>
        <w:t>53.5</w:t>
      </w:r>
      <w:r w:rsidR="00183EFB">
        <w:rPr>
          <w:color w:val="000000" w:themeColor="text1"/>
        </w:rPr>
        <w:t>%) among others</w:t>
      </w:r>
      <w:r w:rsidR="001A3D89">
        <w:rPr>
          <w:color w:val="000000" w:themeColor="text1"/>
        </w:rPr>
        <w:t xml:space="preserve"> and their levels of inequality reflect that</w:t>
      </w:r>
      <w:r w:rsidR="00183EFB">
        <w:rPr>
          <w:color w:val="000000" w:themeColor="text1"/>
        </w:rPr>
        <w:t>.</w:t>
      </w:r>
      <w:r w:rsidR="00183EFB">
        <w:rPr>
          <w:rStyle w:val="FootnoteReference"/>
          <w:color w:val="000000" w:themeColor="text1"/>
        </w:rPr>
        <w:footnoteReference w:id="69"/>
      </w:r>
      <w:r w:rsidR="00183EFB">
        <w:rPr>
          <w:color w:val="000000" w:themeColor="text1"/>
        </w:rPr>
        <w:t xml:space="preserve"> </w:t>
      </w:r>
      <w:r w:rsidR="00EB0A91">
        <w:rPr>
          <w:color w:val="000000" w:themeColor="text1"/>
        </w:rPr>
        <w:t xml:space="preserve">For example, </w:t>
      </w:r>
      <w:r w:rsidR="000177B3">
        <w:rPr>
          <w:color w:val="000000" w:themeColor="text1"/>
        </w:rPr>
        <w:t>Denmark</w:t>
      </w:r>
      <w:r w:rsidR="00EB0A91">
        <w:rPr>
          <w:color w:val="000000" w:themeColor="text1"/>
        </w:rPr>
        <w:t xml:space="preserve"> has one of the lowest levels of inequality in the world (</w:t>
      </w:r>
      <w:r w:rsidR="000177B3">
        <w:rPr>
          <w:color w:val="000000" w:themeColor="text1"/>
        </w:rPr>
        <w:t>.</w:t>
      </w:r>
      <w:r w:rsidR="00EB0A91">
        <w:rPr>
          <w:color w:val="000000" w:themeColor="text1"/>
        </w:rPr>
        <w:t>2</w:t>
      </w:r>
      <w:r w:rsidR="000177B3">
        <w:rPr>
          <w:color w:val="000000" w:themeColor="text1"/>
        </w:rPr>
        <w:t>8</w:t>
      </w:r>
      <w:r w:rsidR="00EB0A91">
        <w:rPr>
          <w:color w:val="000000" w:themeColor="text1"/>
        </w:rPr>
        <w:t xml:space="preserve">2), followed by </w:t>
      </w:r>
      <w:r w:rsidR="000177B3">
        <w:rPr>
          <w:color w:val="000000" w:themeColor="text1"/>
        </w:rPr>
        <w:t xml:space="preserve">Sweden (.292), </w:t>
      </w:r>
      <w:r w:rsidR="00EB0A91">
        <w:rPr>
          <w:color w:val="000000" w:themeColor="text1"/>
        </w:rPr>
        <w:t>Japan (</w:t>
      </w:r>
      <w:r w:rsidR="000177B3">
        <w:rPr>
          <w:color w:val="000000" w:themeColor="text1"/>
        </w:rPr>
        <w:t>.</w:t>
      </w:r>
      <w:r w:rsidR="00EB0A91">
        <w:rPr>
          <w:color w:val="000000" w:themeColor="text1"/>
        </w:rPr>
        <w:t>32</w:t>
      </w:r>
      <w:r w:rsidR="000177B3">
        <w:rPr>
          <w:color w:val="000000" w:themeColor="text1"/>
        </w:rPr>
        <w:t>1</w:t>
      </w:r>
      <w:r w:rsidR="00EB0A91">
        <w:rPr>
          <w:color w:val="000000" w:themeColor="text1"/>
        </w:rPr>
        <w:t>), France (</w:t>
      </w:r>
      <w:r w:rsidR="000177B3">
        <w:rPr>
          <w:color w:val="000000" w:themeColor="text1"/>
        </w:rPr>
        <w:t>.327), and Canada (.340).</w:t>
      </w:r>
      <w:r w:rsidR="000177B3">
        <w:rPr>
          <w:rStyle w:val="FootnoteReference"/>
          <w:color w:val="000000" w:themeColor="text1"/>
        </w:rPr>
        <w:footnoteReference w:id="70"/>
      </w:r>
      <w:r w:rsidR="00873A3B">
        <w:rPr>
          <w:color w:val="000000" w:themeColor="text1"/>
        </w:rPr>
        <w:t xml:space="preserve"> Fiscal policy is one of various factors influencing inequality around the globe, but it is nonetheless a significant one.</w:t>
      </w:r>
    </w:p>
    <w:p w:rsidR="00B80E70" w:rsidRPr="00601768" w:rsidRDefault="00B80E70" w:rsidP="00AC3F78">
      <w:pPr>
        <w:spacing w:line="480" w:lineRule="auto"/>
        <w:ind w:firstLine="720"/>
        <w:rPr>
          <w:color w:val="000000" w:themeColor="text1"/>
        </w:rPr>
      </w:pPr>
      <w:r w:rsidRPr="00601768">
        <w:rPr>
          <w:color w:val="000000" w:themeColor="text1"/>
        </w:rPr>
        <w:t xml:space="preserve">The primary motivation for this tax rate isn’t a maximization of revenue, but rather as stated previously, a decrease of income inequality. A 65% rate would accomplish both: an in increase in revenue—which allows tax rates to be held down on lower earners—and </w:t>
      </w:r>
      <w:r w:rsidR="00873A3B">
        <w:rPr>
          <w:color w:val="000000" w:themeColor="text1"/>
        </w:rPr>
        <w:t xml:space="preserve">a reduction in </w:t>
      </w:r>
      <w:r w:rsidRPr="00601768">
        <w:rPr>
          <w:color w:val="000000" w:themeColor="text1"/>
        </w:rPr>
        <w:t>the highest income brackets</w:t>
      </w:r>
      <w:r w:rsidR="00873A3B">
        <w:rPr>
          <w:color w:val="000000" w:themeColor="text1"/>
        </w:rPr>
        <w:t>’</w:t>
      </w:r>
      <w:r w:rsidRPr="00601768">
        <w:rPr>
          <w:color w:val="000000" w:themeColor="text1"/>
        </w:rPr>
        <w:t xml:space="preserve"> share of national income.</w:t>
      </w:r>
      <w:r w:rsidRPr="00601768">
        <w:rPr>
          <w:rStyle w:val="FootnoteReference"/>
          <w:color w:val="000000" w:themeColor="text1"/>
        </w:rPr>
        <w:footnoteReference w:id="71"/>
      </w:r>
      <w:r w:rsidRPr="00601768">
        <w:rPr>
          <w:color w:val="000000" w:themeColor="text1"/>
        </w:rPr>
        <w:t xml:space="preserve"> To wit, this rate creates a fair balance between equity and efficiency.</w:t>
      </w:r>
    </w:p>
    <w:p w:rsidR="00B80E70" w:rsidRPr="00601768" w:rsidRDefault="00B80E70" w:rsidP="00AC3F78">
      <w:pPr>
        <w:pStyle w:val="Heading3"/>
        <w:spacing w:line="480" w:lineRule="auto"/>
        <w:rPr>
          <w:rFonts w:ascii="Garamond" w:hAnsi="Garamond"/>
          <w:i/>
          <w:iCs/>
          <w:color w:val="000000" w:themeColor="text1"/>
        </w:rPr>
      </w:pPr>
      <w:bookmarkStart w:id="28" w:name="_Toc39584261"/>
      <w:r w:rsidRPr="00601768">
        <w:rPr>
          <w:rFonts w:ascii="Garamond" w:hAnsi="Garamond"/>
          <w:i/>
          <w:iCs/>
          <w:color w:val="000000" w:themeColor="text1"/>
        </w:rPr>
        <w:t>Evaluation</w:t>
      </w:r>
      <w:bookmarkEnd w:id="28"/>
    </w:p>
    <w:p w:rsidR="00B80E70" w:rsidRPr="00601768" w:rsidRDefault="00B80E70" w:rsidP="00AC3F78">
      <w:pPr>
        <w:spacing w:line="480" w:lineRule="auto"/>
        <w:ind w:firstLine="720"/>
        <w:rPr>
          <w:color w:val="000000" w:themeColor="text1"/>
        </w:rPr>
      </w:pPr>
      <w:r w:rsidRPr="00601768">
        <w:rPr>
          <w:color w:val="000000" w:themeColor="text1"/>
        </w:rPr>
        <w:t xml:space="preserve">Income tax rates are one of the few mechanisms under which fiscal policy can directly influence the distribution of wealth as a share of national income. In so far as this policy be implemented and enforced </w:t>
      </w:r>
      <w:r w:rsidR="00871C1C" w:rsidRPr="00601768">
        <w:rPr>
          <w:color w:val="000000" w:themeColor="text1"/>
        </w:rPr>
        <w:t>successfully</w:t>
      </w:r>
      <w:r w:rsidRPr="00601768">
        <w:rPr>
          <w:color w:val="000000" w:themeColor="text1"/>
        </w:rPr>
        <w:t>, the direct effect on income inequality efficacy can be considered to be “High.” Similar to the last policy, the evaluation of political feasibility is highly contingent</w:t>
      </w:r>
      <w:r w:rsidR="00871C1C">
        <w:rPr>
          <w:color w:val="000000" w:themeColor="text1"/>
        </w:rPr>
        <w:t xml:space="preserve"> </w:t>
      </w:r>
      <w:r w:rsidRPr="00601768">
        <w:rPr>
          <w:color w:val="000000" w:themeColor="text1"/>
        </w:rPr>
        <w:t>on the political party whose majority holds the relevant governing bodies. Raising taxes is in stark contrast to the core economic philosophy employed by the Republican party, so to the extent that said party holds a majority, political feasibility will be compromised</w:t>
      </w:r>
      <w:r w:rsidR="001917D3">
        <w:rPr>
          <w:color w:val="000000" w:themeColor="text1"/>
        </w:rPr>
        <w:t xml:space="preserve">; however, if that line of reasoning is pursued in the interest of business or economic efficiency, then resistance to this form of policy should be dampened in light of recent findings by the OECD documenting that high </w:t>
      </w:r>
      <w:r w:rsidR="001917D3">
        <w:rPr>
          <w:color w:val="000000" w:themeColor="text1"/>
        </w:rPr>
        <w:lastRenderedPageBreak/>
        <w:t>levels of income inequality may lead to slower and less sustained economic growth.</w:t>
      </w:r>
      <w:r w:rsidR="001917D3">
        <w:rPr>
          <w:rStyle w:val="FootnoteReference"/>
          <w:color w:val="000000" w:themeColor="text1"/>
        </w:rPr>
        <w:footnoteReference w:id="72"/>
      </w:r>
      <w:r w:rsidR="001917D3">
        <w:rPr>
          <w:color w:val="000000" w:themeColor="text1"/>
        </w:rPr>
        <w:t xml:space="preserve"> Additionally</w:t>
      </w:r>
      <w:r w:rsidRPr="00601768">
        <w:rPr>
          <w:color w:val="000000" w:themeColor="text1"/>
        </w:rPr>
        <w:t xml:space="preserve">, in </w:t>
      </w:r>
      <w:r w:rsidR="001917D3">
        <w:rPr>
          <w:color w:val="000000" w:themeColor="text1"/>
        </w:rPr>
        <w:t>consideration</w:t>
      </w:r>
      <w:r w:rsidRPr="00601768">
        <w:rPr>
          <w:color w:val="000000" w:themeColor="text1"/>
        </w:rPr>
        <w:t xml:space="preserve"> of the shortcomings from the most recent tax reform (2017)—vis-à-vis revenue—it is safe to suggest the republican party would be more favorable to the adoption of this policy than would otherwise have been the case.</w:t>
      </w:r>
      <w:r w:rsidR="003C67A8">
        <w:rPr>
          <w:color w:val="000000" w:themeColor="text1"/>
        </w:rPr>
        <w:t xml:space="preserve"> </w:t>
      </w:r>
      <w:r w:rsidRPr="00601768">
        <w:rPr>
          <w:color w:val="000000" w:themeColor="text1"/>
        </w:rPr>
        <w:t>As such, political feasibility may be assessed as “Medium.” The impact this policy may have on economy efficiency is minimal, since the 65% rate is very close to the optimal tax rate.</w:t>
      </w:r>
      <w:r w:rsidRPr="00601768">
        <w:rPr>
          <w:rStyle w:val="FootnoteReference"/>
          <w:color w:val="000000" w:themeColor="text1"/>
        </w:rPr>
        <w:footnoteReference w:id="73"/>
      </w:r>
    </w:p>
    <w:p w:rsidR="00B80E70" w:rsidRPr="00601768" w:rsidRDefault="00B80E70" w:rsidP="00AC3F78">
      <w:pPr>
        <w:pStyle w:val="Heading2"/>
        <w:spacing w:line="480" w:lineRule="auto"/>
        <w:rPr>
          <w:rFonts w:ascii="Garamond" w:hAnsi="Garamond"/>
          <w:i/>
          <w:color w:val="000000" w:themeColor="text1"/>
        </w:rPr>
      </w:pPr>
      <w:bookmarkStart w:id="29" w:name="_Toc39584262"/>
      <w:r w:rsidRPr="00601768">
        <w:rPr>
          <w:rFonts w:ascii="Garamond" w:hAnsi="Garamond"/>
          <w:i/>
          <w:color w:val="000000" w:themeColor="text1"/>
        </w:rPr>
        <w:t>Progressive Wealth Tax</w:t>
      </w:r>
      <w:bookmarkEnd w:id="29"/>
    </w:p>
    <w:p w:rsidR="00B80E70" w:rsidRPr="00601768" w:rsidRDefault="00B80E70" w:rsidP="00AC3F78">
      <w:pPr>
        <w:spacing w:line="480" w:lineRule="auto"/>
        <w:ind w:firstLine="720"/>
        <w:rPr>
          <w:color w:val="000000" w:themeColor="text1"/>
        </w:rPr>
      </w:pPr>
      <w:r w:rsidRPr="00601768">
        <w:rPr>
          <w:color w:val="000000" w:themeColor="text1"/>
        </w:rPr>
        <w:t>Given that the wealth of the top earners increases at a rate of 6%-7%, as research suggests—and especially in consideration of wage stagnation—it is imperative to stabilize wealth concentration. Unprecedented concentrations of wealth demand a new fiscal mechanism for taxing that wealth, which is impervious to income tax reform. This is precisely applicable for multi-billionaires, such as Jeff Bezos or Warren Buffet, who report a miniscule amount of taxable income to the IRS relative to their true economic income. To target this source of capital, it is proposed that a progressive wealth tax be adopted by this committee. A wealth tax is an annual tax levied on all of net wealth above an exemption threshold.</w:t>
      </w:r>
      <w:r w:rsidRPr="00601768">
        <w:rPr>
          <w:rStyle w:val="FootnoteReference"/>
          <w:color w:val="000000" w:themeColor="text1"/>
        </w:rPr>
        <w:footnoteReference w:id="74"/>
      </w:r>
      <w:r w:rsidRPr="00601768">
        <w:rPr>
          <w:color w:val="000000" w:themeColor="text1"/>
        </w:rPr>
        <w:t xml:space="preserve"> At a 2% rate for fortunes above $50 million and 3% above $1 billion, this fiscal tool would properly address that which most contributes to wealth distribution.</w:t>
      </w:r>
      <w:r w:rsidRPr="00601768">
        <w:rPr>
          <w:rStyle w:val="FootnoteReference"/>
          <w:color w:val="000000" w:themeColor="text1"/>
        </w:rPr>
        <w:footnoteReference w:id="75"/>
      </w:r>
      <w:r w:rsidRPr="00601768">
        <w:rPr>
          <w:color w:val="000000" w:themeColor="text1"/>
        </w:rPr>
        <w:t xml:space="preserve"> Although it may be called by a new name, a wealth tax acts as a de facto property tax for the wealthy. The middle class already pays a property tax, but since most of their wealth consists of financial assets, the wealthy are essentially exempt from property taxes. With a progressive tax on extreme wealth, </w:t>
      </w:r>
      <w:r w:rsidRPr="00601768">
        <w:rPr>
          <w:color w:val="000000" w:themeColor="text1"/>
        </w:rPr>
        <w:lastRenderedPageBreak/>
        <w:t>the U.S. can significantly curb distributions of wealth and generate about 1% of GDP ($50B) in revenue annually.</w:t>
      </w:r>
      <w:r w:rsidRPr="00601768">
        <w:rPr>
          <w:rStyle w:val="FootnoteReference"/>
          <w:color w:val="000000" w:themeColor="text1"/>
        </w:rPr>
        <w:footnoteReference w:id="76"/>
      </w:r>
    </w:p>
    <w:p w:rsidR="00B80E70" w:rsidRPr="00601768" w:rsidRDefault="00B80E70" w:rsidP="00AC3F78">
      <w:pPr>
        <w:pStyle w:val="Heading3"/>
        <w:spacing w:line="480" w:lineRule="auto"/>
        <w:rPr>
          <w:rFonts w:ascii="Garamond" w:hAnsi="Garamond"/>
          <w:i/>
          <w:iCs/>
          <w:color w:val="000000" w:themeColor="text1"/>
        </w:rPr>
      </w:pPr>
      <w:bookmarkStart w:id="30" w:name="_Toc39584263"/>
      <w:r w:rsidRPr="00601768">
        <w:rPr>
          <w:rFonts w:ascii="Garamond" w:hAnsi="Garamond"/>
          <w:i/>
          <w:iCs/>
          <w:color w:val="000000" w:themeColor="text1"/>
        </w:rPr>
        <w:t>Evaluation</w:t>
      </w:r>
      <w:bookmarkEnd w:id="30"/>
    </w:p>
    <w:p w:rsidR="00B80E70" w:rsidRPr="00601768" w:rsidRDefault="00B80E70" w:rsidP="00AC3F78">
      <w:pPr>
        <w:spacing w:line="480" w:lineRule="auto"/>
        <w:ind w:firstLine="720"/>
        <w:rPr>
          <w:color w:val="000000" w:themeColor="text1"/>
        </w:rPr>
      </w:pPr>
      <w:r w:rsidRPr="00601768">
        <w:rPr>
          <w:color w:val="000000" w:themeColor="text1"/>
        </w:rPr>
        <w:t>This fiscal tool has been implemented with varying degrees of efficacy throughout various countries in Europe, such as Sweden, Denmark, and Switzerland.</w:t>
      </w:r>
      <w:r w:rsidRPr="00601768">
        <w:rPr>
          <w:rStyle w:val="FootnoteReference"/>
          <w:color w:val="000000" w:themeColor="text1"/>
        </w:rPr>
        <w:footnoteReference w:id="77"/>
      </w:r>
      <w:r w:rsidRPr="00601768">
        <w:rPr>
          <w:rStyle w:val="FootnoteReference"/>
          <w:color w:val="000000" w:themeColor="text1"/>
        </w:rPr>
        <w:footnoteReference w:id="78"/>
      </w:r>
      <w:r w:rsidRPr="00601768">
        <w:rPr>
          <w:color w:val="000000" w:themeColor="text1"/>
        </w:rPr>
        <w:t xml:space="preserve"> Efficacy in these countries has proven to be contingent on enforcement of the policy. In Switzerland, for example, where there is no third-party reporting of financial wealth, a 1% wealth tax lowered reported wealth by 23-34%.</w:t>
      </w:r>
      <w:r w:rsidRPr="00601768">
        <w:rPr>
          <w:rStyle w:val="FootnoteReference"/>
          <w:color w:val="000000" w:themeColor="text1"/>
        </w:rPr>
        <w:footnoteReference w:id="79"/>
      </w:r>
      <w:r w:rsidRPr="00601768">
        <w:rPr>
          <w:color w:val="000000" w:themeColor="text1"/>
        </w:rPr>
        <w:t xml:space="preserve"> Conversely, Sweden and Denmark with extensive third-party reporting of wealth found less than 1% of reduction in reported wealth on a 1% wealth tax.</w:t>
      </w:r>
      <w:r w:rsidRPr="00601768">
        <w:rPr>
          <w:rStyle w:val="FootnoteReference"/>
          <w:color w:val="000000" w:themeColor="text1"/>
        </w:rPr>
        <w:footnoteReference w:id="80"/>
      </w:r>
      <w:r w:rsidRPr="00601768">
        <w:rPr>
          <w:color w:val="000000" w:themeColor="text1"/>
        </w:rPr>
        <w:t xml:space="preserve"> For the United States, it has been estimated that a wealth tax imposed in the form stated herein— with all other measures unchanged— would result in a 15% tax avoidance response.</w:t>
      </w:r>
      <w:r w:rsidRPr="00601768">
        <w:rPr>
          <w:rStyle w:val="FootnoteReference"/>
          <w:color w:val="000000" w:themeColor="text1"/>
        </w:rPr>
        <w:footnoteReference w:id="81"/>
      </w:r>
      <w:r w:rsidRPr="00601768">
        <w:rPr>
          <w:color w:val="000000" w:themeColor="text1"/>
        </w:rPr>
        <w:t xml:space="preserve"> Supplementing enforcement measures would indubitably increase the level of efficacy; however it must currently be assessed at “Medium,” due to the entrenched tax avoidance industry and culture. Regarding political feasibility, this policy falls under the same political ideology contingency as the previous policies. Fiscal conservative members of the Republican party, however, may be persuaded by the increase of federal revenue by virtue of this tax</w:t>
      </w:r>
      <w:r w:rsidR="00873A3B">
        <w:rPr>
          <w:color w:val="000000" w:themeColor="text1"/>
        </w:rPr>
        <w:t>, given increasing deficits</w:t>
      </w:r>
      <w:r w:rsidRPr="00601768">
        <w:rPr>
          <w:color w:val="000000" w:themeColor="text1"/>
        </w:rPr>
        <w:t xml:space="preserve">. Notwithstanding, this criterion must be assessed at “Medium/Low.” Economic efficiency would not appear to be affected upon implementation of this policy, since </w:t>
      </w:r>
      <w:r w:rsidRPr="00601768">
        <w:rPr>
          <w:color w:val="000000" w:themeColor="text1"/>
        </w:rPr>
        <w:lastRenderedPageBreak/>
        <w:t>wealth that is subject to taxation under this policy is not being used for innovation or investment that would stimulate economic growth.</w:t>
      </w:r>
    </w:p>
    <w:p w:rsidR="00B80E70" w:rsidRPr="00601768" w:rsidRDefault="00B80E70" w:rsidP="00AC3F78">
      <w:pPr>
        <w:pStyle w:val="Heading2"/>
        <w:spacing w:line="480" w:lineRule="auto"/>
        <w:rPr>
          <w:rFonts w:ascii="Garamond" w:hAnsi="Garamond"/>
          <w:i/>
          <w:color w:val="000000" w:themeColor="text1"/>
        </w:rPr>
      </w:pPr>
      <w:bookmarkStart w:id="31" w:name="_Toc39584264"/>
      <w:r w:rsidRPr="00601768">
        <w:rPr>
          <w:rFonts w:ascii="Garamond" w:hAnsi="Garamond"/>
          <w:i/>
          <w:color w:val="000000" w:themeColor="text1"/>
        </w:rPr>
        <w:t>Tax Avoidance</w:t>
      </w:r>
      <w:bookmarkEnd w:id="31"/>
    </w:p>
    <w:p w:rsidR="00B80E70" w:rsidRPr="00601768" w:rsidRDefault="00B80E70" w:rsidP="00AC3F78">
      <w:pPr>
        <w:spacing w:line="480" w:lineRule="auto"/>
        <w:ind w:firstLine="720"/>
        <w:rPr>
          <w:color w:val="000000" w:themeColor="text1"/>
        </w:rPr>
      </w:pPr>
      <w:r w:rsidRPr="00601768">
        <w:rPr>
          <w:color w:val="000000" w:themeColor="text1"/>
        </w:rPr>
        <w:t>The inevitable effect of international tax competition is usually presented as a major factor in reducing taxes domestically vis-à-vis a corporate tax. Indeed, globalization and modern technology has made it increasingly easier to shift profits to low-tax countries; however, there is nothing about financial globalization that requires a corporate tax to disappear or even decrease in this manner. Refusal by the international community to coordinate on this front in addition to a lack of awareness of the mechanisms by which entities—namely, multinational corporations—effectively avoided taxation, can be to blame for the current tax-dodging complex, which has been estimated to account for 20 percent of all U.S. corporate profits.</w:t>
      </w:r>
      <w:r w:rsidRPr="00601768">
        <w:rPr>
          <w:rStyle w:val="FootnoteReference"/>
          <w:color w:val="000000" w:themeColor="text1"/>
        </w:rPr>
        <w:footnoteReference w:id="82"/>
      </w:r>
      <w:r w:rsidRPr="00601768">
        <w:rPr>
          <w:color w:val="000000" w:themeColor="text1"/>
        </w:rPr>
        <w:t xml:space="preserve"> The recently leaked Panama and Paradise Papers give insight to the breadth of this issue, not only for the U.S. but for all countries.</w:t>
      </w:r>
      <w:r w:rsidRPr="00601768">
        <w:rPr>
          <w:rStyle w:val="FootnoteReference"/>
          <w:color w:val="000000" w:themeColor="text1"/>
        </w:rPr>
        <w:footnoteReference w:id="83"/>
      </w:r>
      <w:r w:rsidRPr="00601768">
        <w:rPr>
          <w:color w:val="000000" w:themeColor="text1"/>
        </w:rPr>
        <w:t xml:space="preserve"> </w:t>
      </w:r>
    </w:p>
    <w:p w:rsidR="00B80E70" w:rsidRPr="00601768" w:rsidRDefault="00B80E70" w:rsidP="00AC3F78">
      <w:pPr>
        <w:spacing w:line="480" w:lineRule="auto"/>
        <w:rPr>
          <w:color w:val="000000" w:themeColor="text1"/>
        </w:rPr>
      </w:pPr>
      <w:r w:rsidRPr="00601768">
        <w:rPr>
          <w:color w:val="000000" w:themeColor="text1"/>
        </w:rPr>
        <w:tab/>
        <w:t>Rather than engage in an endless slashing of tax rates as a means to remain internationally competitive, which further exacerbates global and domestic inequality, it would be useful to establish international fiscal cooperation supplemented by the implementation of defensive measures for the prevention and enforcement of novel mechanisms for tax avoidance. This would require the inclusion of these measures in treaties and forums, at the expense of political currency. Domestically, the U.S. can additionally impose a remedial tax, establishing an effective tax rate for multinational corporations regardless of where the</w:t>
      </w:r>
      <w:r w:rsidR="00735E21">
        <w:rPr>
          <w:color w:val="000000" w:themeColor="text1"/>
        </w:rPr>
        <w:t>ir</w:t>
      </w:r>
      <w:r w:rsidRPr="00601768">
        <w:rPr>
          <w:color w:val="000000" w:themeColor="text1"/>
        </w:rPr>
        <w:t xml:space="preserve"> profits are hosted. This would, for one, decrease or eliminate the incentive to create accounting offshore without the cooperation of tax </w:t>
      </w:r>
      <w:r w:rsidRPr="00601768">
        <w:rPr>
          <w:color w:val="000000" w:themeColor="text1"/>
        </w:rPr>
        <w:lastRenderedPageBreak/>
        <w:t>havens. This mechanism alone has been estimated to potentially increase revenue by an extra $100 billion.</w:t>
      </w:r>
      <w:r w:rsidRPr="00601768">
        <w:rPr>
          <w:rStyle w:val="FootnoteReference"/>
          <w:color w:val="000000" w:themeColor="text1"/>
        </w:rPr>
        <w:footnoteReference w:id="84"/>
      </w:r>
      <w:r w:rsidRPr="00601768">
        <w:rPr>
          <w:color w:val="000000" w:themeColor="text1"/>
        </w:rPr>
        <w:t xml:space="preserve"> Notwithstanding said benefits, the effect a remedial tax would have on inequality would not be nearly as significant without international coordination. </w:t>
      </w:r>
    </w:p>
    <w:p w:rsidR="00B80E70" w:rsidRPr="00601768" w:rsidRDefault="00B80E70" w:rsidP="00AC3F78">
      <w:pPr>
        <w:spacing w:line="480" w:lineRule="auto"/>
        <w:ind w:firstLine="720"/>
        <w:rPr>
          <w:color w:val="000000" w:themeColor="text1"/>
        </w:rPr>
      </w:pPr>
      <w:r w:rsidRPr="00601768">
        <w:rPr>
          <w:color w:val="000000" w:themeColor="text1"/>
        </w:rPr>
        <w:t xml:space="preserve">International coordination would require the most important stakeholders and actors in the international community—notably, the G20 countries—to agree to the application of a minimum tax rate of 25% to multinational corporations. Of course this does not encompass all countries involved in tax competition/tax-avoidance complex, but it may be enough to curb tax dodging significantly. Sanctions may additionally be imposed on those countries refusing to implement a minimum tax for the sake of attracting businesses, such as Bermuda, Singapore, or Luxembourg. </w:t>
      </w:r>
    </w:p>
    <w:p w:rsidR="00B80E70" w:rsidRPr="00601768" w:rsidRDefault="00B80E70" w:rsidP="00AC3F78">
      <w:pPr>
        <w:pStyle w:val="Heading3"/>
        <w:spacing w:line="480" w:lineRule="auto"/>
        <w:rPr>
          <w:rFonts w:ascii="Garamond" w:hAnsi="Garamond"/>
          <w:i/>
          <w:iCs/>
          <w:color w:val="000000" w:themeColor="text1"/>
        </w:rPr>
      </w:pPr>
      <w:bookmarkStart w:id="32" w:name="_Toc39584265"/>
      <w:r w:rsidRPr="00601768">
        <w:rPr>
          <w:rFonts w:ascii="Garamond" w:hAnsi="Garamond"/>
          <w:i/>
          <w:iCs/>
          <w:color w:val="000000" w:themeColor="text1"/>
        </w:rPr>
        <w:t>Evaluation</w:t>
      </w:r>
      <w:bookmarkEnd w:id="32"/>
    </w:p>
    <w:p w:rsidR="00B80E70" w:rsidRPr="00601768" w:rsidRDefault="00B80E70" w:rsidP="00AC3F78">
      <w:pPr>
        <w:spacing w:line="480" w:lineRule="auto"/>
        <w:ind w:firstLine="720"/>
        <w:rPr>
          <w:color w:val="000000" w:themeColor="text1"/>
        </w:rPr>
      </w:pPr>
      <w:r w:rsidRPr="00601768">
        <w:rPr>
          <w:color w:val="000000" w:themeColor="text1"/>
        </w:rPr>
        <w:t xml:space="preserve">The measures discussed in relation to this policy may have the most impact in curbing income inequality. In fact, absent proper enforcement, </w:t>
      </w:r>
      <w:r w:rsidR="00873A3B">
        <w:rPr>
          <w:color w:val="000000" w:themeColor="text1"/>
        </w:rPr>
        <w:t xml:space="preserve">the effect of </w:t>
      </w:r>
      <w:r w:rsidRPr="00601768">
        <w:rPr>
          <w:color w:val="000000" w:themeColor="text1"/>
        </w:rPr>
        <w:t xml:space="preserve">other policies recommended herein would be </w:t>
      </w:r>
      <w:r w:rsidR="00873A3B">
        <w:rPr>
          <w:color w:val="000000" w:themeColor="text1"/>
        </w:rPr>
        <w:t xml:space="preserve">considerably </w:t>
      </w:r>
      <w:r w:rsidRPr="00601768">
        <w:rPr>
          <w:color w:val="000000" w:themeColor="text1"/>
        </w:rPr>
        <w:t>moot; therefore, efficacy for this policy is assessed as “High.” This approach, however, is limited in political feasibility due to it being contingent on the actions of other countries, especially those small countries who gain from the current system, but it is a necessary condition for the effectiveness of domestic tax systems. Enforcement measures are generally received with bi-partisan support; this phenomenon may be affected by the nature of the policy being enforced, but it should still be assessed as a “Medium” level of feasibility. The negative externalities derived from a properly functioning and enforced fiscal policy, especially in the context of international coordination, are considered to be “Minimal,” since businesses would find it favorable to pay the domestic levies in the absence of a tax avoidance industry.</w:t>
      </w:r>
    </w:p>
    <w:p w:rsidR="00ED1A41" w:rsidRPr="00EA3242" w:rsidRDefault="00EA3242" w:rsidP="00AC3F78">
      <w:pPr>
        <w:pStyle w:val="Heading2"/>
        <w:spacing w:line="480" w:lineRule="auto"/>
        <w:rPr>
          <w:rFonts w:ascii="Garamond" w:hAnsi="Garamond"/>
          <w:i/>
          <w:iCs/>
          <w:color w:val="000000" w:themeColor="text1"/>
        </w:rPr>
      </w:pPr>
      <w:bookmarkStart w:id="33" w:name="_Toc39584266"/>
      <w:r w:rsidRPr="00EA3242">
        <w:rPr>
          <w:rFonts w:ascii="Garamond" w:hAnsi="Garamond"/>
          <w:i/>
          <w:iCs/>
          <w:color w:val="000000" w:themeColor="text1"/>
        </w:rPr>
        <w:lastRenderedPageBreak/>
        <w:t>Policy Recommendation</w:t>
      </w:r>
      <w:bookmarkEnd w:id="33"/>
    </w:p>
    <w:p w:rsidR="00BF06A1" w:rsidRDefault="00EA3242" w:rsidP="00953081">
      <w:pPr>
        <w:spacing w:line="480" w:lineRule="auto"/>
        <w:ind w:firstLine="720"/>
      </w:pPr>
      <w:r>
        <w:t>The policy alternatives proposed herein are not mutually exclusive; in fact, they are highly complementary to achieve the same end—curb inequality</w:t>
      </w:r>
      <w:r w:rsidR="00145A9D">
        <w:t xml:space="preserve"> without compromising economic efficiency</w:t>
      </w:r>
      <w:r>
        <w:t>— and would work most effectively if implemented in tandem. Since an estimate of their independent effects relies on multiple factors and assumptions, it is difficult to conclusively predict the effect these policies will have independently or in tandem; however, in consideration of the efficacy of the proposed fiscal policies being contingent on proper enforcement and prevention of tax avoidance</w:t>
      </w:r>
      <w:r w:rsidR="0065561B">
        <w:t xml:space="preserve"> and the relative feasibility thereof</w:t>
      </w:r>
      <w:r>
        <w:t>, highest importance should be given to those measures addressing tax avoidance.</w:t>
      </w:r>
      <w:r w:rsidRPr="00E1717D">
        <w:rPr>
          <w:rStyle w:val="FootnoteReference"/>
        </w:rPr>
        <w:t xml:space="preserve"> </w:t>
      </w:r>
      <w:r w:rsidR="00AD59C2">
        <w:rPr>
          <w:rStyle w:val="FootnoteReference"/>
        </w:rPr>
        <w:footnoteReference w:id="85"/>
      </w:r>
      <w:r w:rsidR="001B7600">
        <w:t xml:space="preserve"> </w:t>
      </w:r>
      <w:r>
        <w:t xml:space="preserve">The wealth tax would—in acting as a novel fiscal instrument—be of secondary importance due to its efficacy at reducing a source of assets not previously targeted. Next, the justification for a more progressive income tax and corporate tax turns on the same principle of “equal income means equal tax.” Integration of this form of taxation would be effective in reducing the divergence between wealth distributions in capital and labor and thus, </w:t>
      </w:r>
      <w:r w:rsidRPr="0021797A">
        <w:rPr>
          <w:i/>
        </w:rPr>
        <w:t>r</w:t>
      </w:r>
      <w:r>
        <w:t xml:space="preserve"> and </w:t>
      </w:r>
      <w:r w:rsidRPr="0021797A">
        <w:rPr>
          <w:i/>
        </w:rPr>
        <w:t>g</w:t>
      </w:r>
      <w:r>
        <w:t>, but as previously mentioned, is contingent on successful international coordination. The degree of optimal progressivity for the income and corporate tax is a function of the timeliness and importance this body finds to be associated with the domestic and global threat of income inequality. It is highly suggested, by and through the reasons stated in this paper, for this matter to be considered of high urgency and utmost importance and thus, be acted upon accordingly.</w:t>
      </w:r>
    </w:p>
    <w:p w:rsidR="004732AF" w:rsidRDefault="00BF06A1" w:rsidP="00873A3B">
      <w:r>
        <w:br w:type="page"/>
      </w:r>
    </w:p>
    <w:p w:rsidR="001B7600" w:rsidRDefault="001B7600" w:rsidP="001B7600">
      <w:pPr>
        <w:pStyle w:val="Caption"/>
        <w:keepNext/>
      </w:pPr>
      <w:r>
        <w:lastRenderedPageBreak/>
        <w:t xml:space="preserve">Table </w:t>
      </w:r>
      <w:r w:rsidR="0065561B">
        <w:t>1</w:t>
      </w:r>
      <w:r>
        <w:t>. Policy Alternatives and Evaluations</w:t>
      </w:r>
    </w:p>
    <w:tbl>
      <w:tblPr>
        <w:tblStyle w:val="TableGrid"/>
        <w:tblW w:w="0" w:type="auto"/>
        <w:tblLook w:val="04A0" w:firstRow="1" w:lastRow="0" w:firstColumn="1" w:lastColumn="0" w:noHBand="0" w:noVBand="1"/>
      </w:tblPr>
      <w:tblGrid>
        <w:gridCol w:w="2337"/>
        <w:gridCol w:w="2337"/>
        <w:gridCol w:w="2701"/>
        <w:gridCol w:w="1975"/>
      </w:tblGrid>
      <w:tr w:rsidR="001B7600" w:rsidTr="004732AF">
        <w:tc>
          <w:tcPr>
            <w:tcW w:w="2337" w:type="dxa"/>
          </w:tcPr>
          <w:p w:rsidR="001B7600" w:rsidRPr="00BF06A1" w:rsidRDefault="001B7600" w:rsidP="004732AF">
            <w:pPr>
              <w:spacing w:line="480" w:lineRule="auto"/>
              <w:rPr>
                <w:i/>
                <w:iCs/>
                <w:sz w:val="28"/>
                <w:szCs w:val="28"/>
              </w:rPr>
            </w:pPr>
            <w:r w:rsidRPr="00BF06A1">
              <w:rPr>
                <w:i/>
                <w:iCs/>
                <w:sz w:val="28"/>
                <w:szCs w:val="28"/>
              </w:rPr>
              <w:t>Policy</w:t>
            </w:r>
          </w:p>
        </w:tc>
        <w:tc>
          <w:tcPr>
            <w:tcW w:w="2337" w:type="dxa"/>
          </w:tcPr>
          <w:p w:rsidR="001B7600" w:rsidRPr="00BF06A1" w:rsidRDefault="001B7600" w:rsidP="004732AF">
            <w:pPr>
              <w:spacing w:line="480" w:lineRule="auto"/>
              <w:rPr>
                <w:i/>
                <w:iCs/>
                <w:sz w:val="28"/>
                <w:szCs w:val="28"/>
              </w:rPr>
            </w:pPr>
            <w:r w:rsidRPr="00BF06A1">
              <w:rPr>
                <w:i/>
                <w:iCs/>
                <w:sz w:val="28"/>
                <w:szCs w:val="28"/>
              </w:rPr>
              <w:t>Efficacy</w:t>
            </w:r>
          </w:p>
        </w:tc>
        <w:tc>
          <w:tcPr>
            <w:tcW w:w="2701" w:type="dxa"/>
          </w:tcPr>
          <w:p w:rsidR="001B7600" w:rsidRPr="00BF06A1" w:rsidRDefault="001B7600" w:rsidP="004732AF">
            <w:pPr>
              <w:spacing w:line="480" w:lineRule="auto"/>
              <w:rPr>
                <w:i/>
                <w:iCs/>
                <w:sz w:val="28"/>
                <w:szCs w:val="26"/>
              </w:rPr>
            </w:pPr>
            <w:r w:rsidRPr="00BF06A1">
              <w:rPr>
                <w:i/>
                <w:iCs/>
                <w:sz w:val="28"/>
                <w:szCs w:val="26"/>
              </w:rPr>
              <w:t>Political Feasibility</w:t>
            </w:r>
          </w:p>
        </w:tc>
        <w:tc>
          <w:tcPr>
            <w:tcW w:w="1975" w:type="dxa"/>
          </w:tcPr>
          <w:p w:rsidR="001B7600" w:rsidRPr="00BF06A1" w:rsidRDefault="001B7600" w:rsidP="004732AF">
            <w:pPr>
              <w:spacing w:line="480" w:lineRule="auto"/>
              <w:rPr>
                <w:i/>
                <w:iCs/>
              </w:rPr>
            </w:pPr>
            <w:r w:rsidRPr="00BF06A1">
              <w:rPr>
                <w:i/>
                <w:iCs/>
                <w:sz w:val="28"/>
                <w:szCs w:val="26"/>
              </w:rPr>
              <w:t>Economic Impact</w:t>
            </w:r>
          </w:p>
        </w:tc>
      </w:tr>
      <w:tr w:rsidR="001B7600" w:rsidTr="004732AF">
        <w:tc>
          <w:tcPr>
            <w:tcW w:w="2337" w:type="dxa"/>
          </w:tcPr>
          <w:p w:rsidR="001B7600" w:rsidRDefault="001B7600" w:rsidP="004732AF">
            <w:pPr>
              <w:spacing w:line="480" w:lineRule="auto"/>
            </w:pPr>
            <w:r>
              <w:t>Corporate Tax</w:t>
            </w:r>
          </w:p>
        </w:tc>
        <w:tc>
          <w:tcPr>
            <w:tcW w:w="2337" w:type="dxa"/>
          </w:tcPr>
          <w:p w:rsidR="001B7600" w:rsidRDefault="001B7600" w:rsidP="004732AF">
            <w:pPr>
              <w:spacing w:line="480" w:lineRule="auto"/>
            </w:pPr>
            <w:r>
              <w:t>Medium</w:t>
            </w:r>
          </w:p>
        </w:tc>
        <w:tc>
          <w:tcPr>
            <w:tcW w:w="2701" w:type="dxa"/>
          </w:tcPr>
          <w:p w:rsidR="001B7600" w:rsidRDefault="001B7600" w:rsidP="004732AF">
            <w:pPr>
              <w:spacing w:line="480" w:lineRule="auto"/>
            </w:pPr>
            <w:r>
              <w:t>Republican: Low</w:t>
            </w:r>
          </w:p>
          <w:p w:rsidR="001B7600" w:rsidRDefault="001B7600" w:rsidP="004732AF">
            <w:pPr>
              <w:spacing w:line="480" w:lineRule="auto"/>
            </w:pPr>
            <w:r>
              <w:t>Democratic: High</w:t>
            </w:r>
          </w:p>
          <w:p w:rsidR="001B7600" w:rsidRDefault="001B7600" w:rsidP="004732AF">
            <w:pPr>
              <w:spacing w:line="480" w:lineRule="auto"/>
            </w:pPr>
            <w:r>
              <w:t>Overall: Low</w:t>
            </w:r>
          </w:p>
        </w:tc>
        <w:tc>
          <w:tcPr>
            <w:tcW w:w="1975" w:type="dxa"/>
          </w:tcPr>
          <w:p w:rsidR="001B7600" w:rsidRDefault="001B7600" w:rsidP="004732AF">
            <w:pPr>
              <w:spacing w:line="480" w:lineRule="auto"/>
            </w:pPr>
            <w:r>
              <w:t>Low</w:t>
            </w:r>
          </w:p>
        </w:tc>
      </w:tr>
      <w:tr w:rsidR="001B7600" w:rsidTr="004732AF">
        <w:tc>
          <w:tcPr>
            <w:tcW w:w="2337" w:type="dxa"/>
          </w:tcPr>
          <w:p w:rsidR="001B7600" w:rsidRDefault="001B7600" w:rsidP="004732AF">
            <w:pPr>
              <w:spacing w:line="480" w:lineRule="auto"/>
            </w:pPr>
            <w:r>
              <w:t>Income Tax</w:t>
            </w:r>
          </w:p>
        </w:tc>
        <w:tc>
          <w:tcPr>
            <w:tcW w:w="2337" w:type="dxa"/>
          </w:tcPr>
          <w:p w:rsidR="001B7600" w:rsidRDefault="001B7600" w:rsidP="004732AF">
            <w:pPr>
              <w:spacing w:line="480" w:lineRule="auto"/>
            </w:pPr>
            <w:r>
              <w:t>High</w:t>
            </w:r>
          </w:p>
        </w:tc>
        <w:tc>
          <w:tcPr>
            <w:tcW w:w="2701" w:type="dxa"/>
          </w:tcPr>
          <w:p w:rsidR="001B7600" w:rsidRDefault="001B7600" w:rsidP="004732AF">
            <w:pPr>
              <w:spacing w:line="480" w:lineRule="auto"/>
            </w:pPr>
            <w:r>
              <w:t>Republican: Medium</w:t>
            </w:r>
          </w:p>
          <w:p w:rsidR="001B7600" w:rsidRDefault="001B7600" w:rsidP="004732AF">
            <w:pPr>
              <w:spacing w:line="480" w:lineRule="auto"/>
            </w:pPr>
            <w:r>
              <w:t>Democratic: High</w:t>
            </w:r>
          </w:p>
          <w:p w:rsidR="001B7600" w:rsidRDefault="001B7600" w:rsidP="004732AF">
            <w:pPr>
              <w:spacing w:line="480" w:lineRule="auto"/>
            </w:pPr>
            <w:r>
              <w:t>Overall: Medium</w:t>
            </w:r>
          </w:p>
        </w:tc>
        <w:tc>
          <w:tcPr>
            <w:tcW w:w="1975" w:type="dxa"/>
          </w:tcPr>
          <w:p w:rsidR="001B7600" w:rsidRDefault="001B7600" w:rsidP="004732AF">
            <w:pPr>
              <w:spacing w:line="480" w:lineRule="auto"/>
            </w:pPr>
            <w:r>
              <w:t>Low</w:t>
            </w:r>
          </w:p>
        </w:tc>
      </w:tr>
      <w:tr w:rsidR="001B7600" w:rsidTr="004732AF">
        <w:tc>
          <w:tcPr>
            <w:tcW w:w="2337" w:type="dxa"/>
          </w:tcPr>
          <w:p w:rsidR="001B7600" w:rsidRDefault="001B7600" w:rsidP="004732AF">
            <w:pPr>
              <w:spacing w:line="480" w:lineRule="auto"/>
            </w:pPr>
            <w:r>
              <w:t>Wealth Tax</w:t>
            </w:r>
          </w:p>
        </w:tc>
        <w:tc>
          <w:tcPr>
            <w:tcW w:w="2337" w:type="dxa"/>
          </w:tcPr>
          <w:p w:rsidR="001B7600" w:rsidRDefault="001B7600" w:rsidP="004732AF">
            <w:pPr>
              <w:spacing w:line="480" w:lineRule="auto"/>
            </w:pPr>
            <w:r>
              <w:t>Medium</w:t>
            </w:r>
          </w:p>
        </w:tc>
        <w:tc>
          <w:tcPr>
            <w:tcW w:w="2701" w:type="dxa"/>
          </w:tcPr>
          <w:p w:rsidR="001B7600" w:rsidRDefault="001B7600" w:rsidP="004732AF">
            <w:pPr>
              <w:spacing w:line="480" w:lineRule="auto"/>
            </w:pPr>
            <w:r>
              <w:t>Republican: Medium/Low</w:t>
            </w:r>
          </w:p>
          <w:p w:rsidR="001B7600" w:rsidRDefault="001B7600" w:rsidP="004732AF">
            <w:pPr>
              <w:spacing w:line="480" w:lineRule="auto"/>
            </w:pPr>
            <w:r>
              <w:t>Democratic: High</w:t>
            </w:r>
          </w:p>
          <w:p w:rsidR="001B7600" w:rsidRDefault="001B7600" w:rsidP="004732AF">
            <w:pPr>
              <w:spacing w:line="480" w:lineRule="auto"/>
            </w:pPr>
            <w:r>
              <w:t>Overall: Medium/Low</w:t>
            </w:r>
          </w:p>
        </w:tc>
        <w:tc>
          <w:tcPr>
            <w:tcW w:w="1975" w:type="dxa"/>
          </w:tcPr>
          <w:p w:rsidR="001B7600" w:rsidRDefault="001B7600" w:rsidP="004732AF">
            <w:pPr>
              <w:spacing w:line="480" w:lineRule="auto"/>
            </w:pPr>
            <w:r>
              <w:t>Low</w:t>
            </w:r>
          </w:p>
        </w:tc>
      </w:tr>
      <w:tr w:rsidR="001B7600" w:rsidTr="004732AF">
        <w:tc>
          <w:tcPr>
            <w:tcW w:w="2337" w:type="dxa"/>
          </w:tcPr>
          <w:p w:rsidR="001B7600" w:rsidRDefault="001B7600" w:rsidP="004732AF">
            <w:pPr>
              <w:spacing w:line="480" w:lineRule="auto"/>
            </w:pPr>
            <w:r>
              <w:t>Tax Avoidance</w:t>
            </w:r>
          </w:p>
        </w:tc>
        <w:tc>
          <w:tcPr>
            <w:tcW w:w="2337" w:type="dxa"/>
          </w:tcPr>
          <w:p w:rsidR="001B7600" w:rsidRDefault="001B7600" w:rsidP="004732AF">
            <w:pPr>
              <w:spacing w:line="480" w:lineRule="auto"/>
            </w:pPr>
            <w:r>
              <w:t>High</w:t>
            </w:r>
          </w:p>
        </w:tc>
        <w:tc>
          <w:tcPr>
            <w:tcW w:w="2701" w:type="dxa"/>
          </w:tcPr>
          <w:p w:rsidR="001B7600" w:rsidRDefault="001B7600" w:rsidP="004732AF">
            <w:pPr>
              <w:spacing w:line="480" w:lineRule="auto"/>
            </w:pPr>
            <w:r>
              <w:t>Republican: Medium</w:t>
            </w:r>
          </w:p>
          <w:p w:rsidR="001B7600" w:rsidRDefault="001B7600" w:rsidP="004732AF">
            <w:pPr>
              <w:spacing w:line="480" w:lineRule="auto"/>
            </w:pPr>
            <w:r>
              <w:t>Democratic: Medium</w:t>
            </w:r>
          </w:p>
          <w:p w:rsidR="001B7600" w:rsidRDefault="001B7600" w:rsidP="004732AF">
            <w:pPr>
              <w:spacing w:line="480" w:lineRule="auto"/>
            </w:pPr>
            <w:r>
              <w:t>Overall: Medium</w:t>
            </w:r>
          </w:p>
        </w:tc>
        <w:tc>
          <w:tcPr>
            <w:tcW w:w="1975" w:type="dxa"/>
          </w:tcPr>
          <w:p w:rsidR="001B7600" w:rsidRDefault="001B7600" w:rsidP="004732AF">
            <w:pPr>
              <w:spacing w:line="480" w:lineRule="auto"/>
            </w:pPr>
            <w:r>
              <w:t>Low</w:t>
            </w:r>
          </w:p>
        </w:tc>
      </w:tr>
    </w:tbl>
    <w:p w:rsidR="001B7600" w:rsidRDefault="001B7600" w:rsidP="00AC3F78">
      <w:pPr>
        <w:spacing w:line="480" w:lineRule="auto"/>
        <w:ind w:firstLine="720"/>
      </w:pPr>
    </w:p>
    <w:p w:rsidR="00791242" w:rsidRDefault="00791242" w:rsidP="00AC3F78">
      <w:pPr>
        <w:spacing w:line="480" w:lineRule="auto"/>
        <w:rPr>
          <w:color w:val="000000" w:themeColor="text1"/>
        </w:rPr>
      </w:pPr>
      <w:r>
        <w:rPr>
          <w:color w:val="000000" w:themeColor="text1"/>
        </w:rPr>
        <w:br w:type="page"/>
      </w:r>
    </w:p>
    <w:p w:rsidR="0091526C" w:rsidRPr="004D26E6" w:rsidRDefault="00791242" w:rsidP="00AC3F78">
      <w:pPr>
        <w:pStyle w:val="Heading1"/>
        <w:spacing w:line="480" w:lineRule="auto"/>
        <w:jc w:val="center"/>
        <w:rPr>
          <w:rFonts w:ascii="Garamond" w:hAnsi="Garamond"/>
          <w:color w:val="000000" w:themeColor="text1"/>
          <w:sz w:val="24"/>
          <w:szCs w:val="24"/>
        </w:rPr>
      </w:pPr>
      <w:bookmarkStart w:id="34" w:name="_Toc39584267"/>
      <w:r w:rsidRPr="004D26E6">
        <w:rPr>
          <w:rFonts w:ascii="Garamond" w:hAnsi="Garamond"/>
          <w:color w:val="000000" w:themeColor="text1"/>
          <w:sz w:val="24"/>
          <w:szCs w:val="24"/>
        </w:rPr>
        <w:lastRenderedPageBreak/>
        <w:t>Works Cited</w:t>
      </w:r>
      <w:bookmarkEnd w:id="34"/>
    </w:p>
    <w:p w:rsidR="002D7EC1" w:rsidRDefault="002D7EC1" w:rsidP="00AC3F78">
      <w:pPr>
        <w:pStyle w:val="FootnoteText"/>
        <w:spacing w:line="480" w:lineRule="auto"/>
        <w:ind w:left="720" w:hanging="720"/>
        <w:rPr>
          <w:sz w:val="24"/>
          <w:szCs w:val="24"/>
        </w:rPr>
      </w:pPr>
      <w:r w:rsidRPr="002D7EC1">
        <w:rPr>
          <w:sz w:val="24"/>
          <w:szCs w:val="24"/>
        </w:rPr>
        <w:t>“Economists’ statement opposing the Bush tax cuts</w:t>
      </w:r>
      <w:r>
        <w:rPr>
          <w:sz w:val="24"/>
          <w:szCs w:val="24"/>
        </w:rPr>
        <w:t>.</w:t>
      </w:r>
      <w:r w:rsidRPr="002D7EC1">
        <w:rPr>
          <w:sz w:val="24"/>
          <w:szCs w:val="24"/>
        </w:rPr>
        <w:t xml:space="preserve">” </w:t>
      </w:r>
      <w:r w:rsidRPr="002D7EC1">
        <w:rPr>
          <w:i/>
          <w:iCs/>
          <w:sz w:val="24"/>
          <w:szCs w:val="24"/>
        </w:rPr>
        <w:t>Economic Policy Institute</w:t>
      </w:r>
      <w:r w:rsidRPr="002D7EC1">
        <w:rPr>
          <w:sz w:val="24"/>
          <w:szCs w:val="24"/>
        </w:rPr>
        <w:t>, 2003</w:t>
      </w:r>
      <w:r>
        <w:rPr>
          <w:sz w:val="24"/>
          <w:szCs w:val="24"/>
        </w:rPr>
        <w:t>.</w:t>
      </w:r>
      <w:r w:rsidRPr="002D7EC1">
        <w:rPr>
          <w:sz w:val="24"/>
          <w:szCs w:val="24"/>
        </w:rPr>
        <w:t xml:space="preserve"> https://www.epi.org/files/page/-/old/stmt/2003/statement_signed.pdf</w:t>
      </w:r>
    </w:p>
    <w:p w:rsidR="0091526C" w:rsidRPr="004D26E6" w:rsidRDefault="0091526C" w:rsidP="00AC3F78">
      <w:pPr>
        <w:pStyle w:val="FootnoteText"/>
        <w:spacing w:line="480" w:lineRule="auto"/>
        <w:ind w:left="720" w:hanging="720"/>
        <w:rPr>
          <w:sz w:val="24"/>
          <w:szCs w:val="24"/>
        </w:rPr>
      </w:pPr>
      <w:r w:rsidRPr="004D26E6">
        <w:rPr>
          <w:sz w:val="24"/>
          <w:szCs w:val="24"/>
        </w:rPr>
        <w:t>“Franklin D. Roosevelt’s Message to Congress.” April 27 1942. Accessed December 12, 2019. http://www.ibiblio.org/pha/policy/1942/1942-04-27b.html</w:t>
      </w:r>
    </w:p>
    <w:p w:rsidR="000177B3" w:rsidRDefault="000177B3" w:rsidP="00AC3F78">
      <w:pPr>
        <w:pStyle w:val="FootnoteText"/>
        <w:spacing w:line="480" w:lineRule="auto"/>
        <w:ind w:left="720" w:hanging="720"/>
        <w:rPr>
          <w:sz w:val="24"/>
          <w:szCs w:val="24"/>
        </w:rPr>
      </w:pPr>
      <w:r w:rsidRPr="000177B3">
        <w:rPr>
          <w:sz w:val="24"/>
          <w:szCs w:val="24"/>
        </w:rPr>
        <w:t>“GINI index (World Bank estimate) – country ranking</w:t>
      </w:r>
      <w:r>
        <w:rPr>
          <w:sz w:val="24"/>
          <w:szCs w:val="24"/>
        </w:rPr>
        <w:t>.</w:t>
      </w:r>
      <w:r w:rsidRPr="000177B3">
        <w:rPr>
          <w:sz w:val="24"/>
          <w:szCs w:val="24"/>
        </w:rPr>
        <w:t xml:space="preserve">” </w:t>
      </w:r>
      <w:proofErr w:type="spellStart"/>
      <w:r w:rsidRPr="000177B3">
        <w:rPr>
          <w:i/>
          <w:iCs/>
          <w:sz w:val="24"/>
          <w:szCs w:val="24"/>
        </w:rPr>
        <w:t>IndexMundi</w:t>
      </w:r>
      <w:proofErr w:type="spellEnd"/>
      <w:r w:rsidRPr="000177B3">
        <w:rPr>
          <w:sz w:val="24"/>
          <w:szCs w:val="24"/>
        </w:rPr>
        <w:t>, Accessed May 5, 2020</w:t>
      </w:r>
      <w:r>
        <w:rPr>
          <w:sz w:val="24"/>
          <w:szCs w:val="24"/>
        </w:rPr>
        <w:t>.</w:t>
      </w:r>
      <w:r w:rsidRPr="000177B3">
        <w:rPr>
          <w:sz w:val="24"/>
          <w:szCs w:val="24"/>
        </w:rPr>
        <w:t xml:space="preserve"> https://www.indexmundi.com/facts/indicators/SI.POV.GINI/rankings</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“H.R. 1. Tax Cuts and Jobs Act.” </w:t>
      </w:r>
      <w:r w:rsidRPr="004D26E6">
        <w:rPr>
          <w:i/>
          <w:sz w:val="24"/>
          <w:szCs w:val="24"/>
        </w:rPr>
        <w:t>United States Congress</w:t>
      </w:r>
      <w:r w:rsidRPr="004D26E6">
        <w:rPr>
          <w:sz w:val="24"/>
          <w:szCs w:val="24"/>
        </w:rPr>
        <w:t>, December 27, 2017. https://www.congress.gov/115/bills/hr1/BILLS-115hr1enr.pdf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“H.R.3838 – Tax Reform Act of 1986.” </w:t>
      </w:r>
      <w:r w:rsidRPr="004D26E6">
        <w:rPr>
          <w:i/>
          <w:iCs/>
          <w:sz w:val="24"/>
          <w:szCs w:val="24"/>
        </w:rPr>
        <w:t>United States Congress</w:t>
      </w:r>
      <w:r w:rsidRPr="004D26E6">
        <w:rPr>
          <w:sz w:val="24"/>
          <w:szCs w:val="24"/>
        </w:rPr>
        <w:t>, Accessed December 7, 2019. https://www.congress.gov/bill/99th-congress/house-bill/3838</w:t>
      </w:r>
    </w:p>
    <w:p w:rsidR="0091526C" w:rsidRDefault="0091526C" w:rsidP="00AC3F78">
      <w:pPr>
        <w:pStyle w:val="FootnoteText"/>
        <w:spacing w:line="480" w:lineRule="auto"/>
        <w:ind w:left="720" w:hanging="720"/>
        <w:rPr>
          <w:sz w:val="24"/>
          <w:szCs w:val="24"/>
        </w:rPr>
      </w:pPr>
      <w:r w:rsidRPr="004D26E6">
        <w:rPr>
          <w:sz w:val="24"/>
          <w:szCs w:val="24"/>
        </w:rPr>
        <w:t xml:space="preserve">“Historical Highest Marginal Income Tax Rates.” </w:t>
      </w:r>
      <w:r w:rsidRPr="004D26E6">
        <w:rPr>
          <w:i/>
          <w:iCs/>
          <w:sz w:val="24"/>
          <w:szCs w:val="24"/>
        </w:rPr>
        <w:t>Tax Policy Center</w:t>
      </w:r>
      <w:r w:rsidRPr="004D26E6">
        <w:rPr>
          <w:sz w:val="24"/>
          <w:szCs w:val="24"/>
        </w:rPr>
        <w:t xml:space="preserve">, February 4, 2020. </w:t>
      </w:r>
      <w:r w:rsidR="001917D3" w:rsidRPr="001917D3">
        <w:rPr>
          <w:sz w:val="24"/>
          <w:szCs w:val="24"/>
        </w:rPr>
        <w:t>https://www.taxpolicycenter.org/statistics/historical-highest-marginal-income-tax-rates</w:t>
      </w:r>
      <w:r w:rsidRPr="004D26E6">
        <w:rPr>
          <w:sz w:val="24"/>
          <w:szCs w:val="24"/>
        </w:rPr>
        <w:t>.</w:t>
      </w:r>
    </w:p>
    <w:p w:rsidR="001917D3" w:rsidRPr="004D26E6" w:rsidRDefault="001917D3" w:rsidP="00AC3F78">
      <w:pPr>
        <w:pStyle w:val="FootnoteText"/>
        <w:spacing w:line="480" w:lineRule="auto"/>
        <w:ind w:left="720" w:hanging="720"/>
        <w:rPr>
          <w:sz w:val="24"/>
          <w:szCs w:val="24"/>
        </w:rPr>
      </w:pPr>
      <w:r w:rsidRPr="001917D3">
        <w:rPr>
          <w:sz w:val="24"/>
          <w:szCs w:val="24"/>
        </w:rPr>
        <w:t xml:space="preserve">“Income inequality and </w:t>
      </w:r>
      <w:proofErr w:type="spellStart"/>
      <w:r w:rsidRPr="001917D3">
        <w:rPr>
          <w:sz w:val="24"/>
          <w:szCs w:val="24"/>
        </w:rPr>
        <w:t>labour</w:t>
      </w:r>
      <w:proofErr w:type="spellEnd"/>
      <w:r w:rsidRPr="001917D3">
        <w:rPr>
          <w:sz w:val="24"/>
          <w:szCs w:val="24"/>
        </w:rPr>
        <w:t xml:space="preserve"> income share in G20 countries: Trends, impacts, and causes</w:t>
      </w:r>
      <w:r>
        <w:rPr>
          <w:sz w:val="24"/>
          <w:szCs w:val="24"/>
        </w:rPr>
        <w:t>.</w:t>
      </w:r>
      <w:r w:rsidRPr="001917D3">
        <w:rPr>
          <w:sz w:val="24"/>
          <w:szCs w:val="24"/>
        </w:rPr>
        <w:t xml:space="preserve">” </w:t>
      </w:r>
      <w:r w:rsidRPr="001917D3">
        <w:rPr>
          <w:i/>
          <w:iCs/>
          <w:sz w:val="24"/>
          <w:szCs w:val="24"/>
        </w:rPr>
        <w:t>OECD</w:t>
      </w:r>
      <w:r w:rsidRPr="001917D3">
        <w:rPr>
          <w:sz w:val="24"/>
          <w:szCs w:val="24"/>
        </w:rPr>
        <w:t>, September 2015</w:t>
      </w:r>
      <w:r>
        <w:rPr>
          <w:sz w:val="24"/>
          <w:szCs w:val="24"/>
        </w:rPr>
        <w:t>.</w:t>
      </w:r>
      <w:r w:rsidRPr="001917D3">
        <w:rPr>
          <w:sz w:val="24"/>
          <w:szCs w:val="24"/>
        </w:rPr>
        <w:t xml:space="preserve"> https://www.oecd.org/g20/topics/employment-and-social-policy/Income-inequality-labour-income-share.pdf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“The budget and economic outlook: 2017 to 2027.” </w:t>
      </w:r>
      <w:r w:rsidRPr="004D26E6">
        <w:rPr>
          <w:i/>
          <w:iCs/>
          <w:sz w:val="24"/>
          <w:szCs w:val="24"/>
        </w:rPr>
        <w:t>Congressional Budget Office</w:t>
      </w:r>
      <w:r w:rsidRPr="004D26E6">
        <w:rPr>
          <w:sz w:val="24"/>
          <w:szCs w:val="24"/>
        </w:rPr>
        <w:t>, January, 2017. https://www.cbo.gov/system/files/2019-04/52370-outlookonecolumn_1.pdf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“Treasury: 2018 Deficit was $779 Billion.” </w:t>
      </w:r>
      <w:r w:rsidRPr="004D26E6">
        <w:rPr>
          <w:i/>
          <w:iCs/>
          <w:sz w:val="24"/>
          <w:szCs w:val="24"/>
        </w:rPr>
        <w:t>Committee for a Responsible Federal Budget</w:t>
      </w:r>
      <w:r w:rsidRPr="004D26E6">
        <w:rPr>
          <w:sz w:val="24"/>
          <w:szCs w:val="24"/>
        </w:rPr>
        <w:t>, October 15, 2018. http://www.crfb.org/blogs/treasury-2018-deficit-was-779-billion</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 “US GDP Data and Charts 1980-2020.” </w:t>
      </w:r>
      <w:r w:rsidRPr="004D26E6">
        <w:rPr>
          <w:i/>
          <w:sz w:val="24"/>
          <w:szCs w:val="24"/>
        </w:rPr>
        <w:t>MGM Research</w:t>
      </w:r>
      <w:r w:rsidRPr="004D26E6">
        <w:rPr>
          <w:sz w:val="24"/>
          <w:szCs w:val="24"/>
        </w:rPr>
        <w:t>, April 16, 2019. Accessed December 14, 2019. https://mgmresearch.com/us-gdp-data-and-charts-1980-2020/</w:t>
      </w:r>
    </w:p>
    <w:p w:rsidR="0091526C" w:rsidRPr="004D26E6" w:rsidRDefault="0091526C" w:rsidP="00AC3F78">
      <w:pPr>
        <w:pStyle w:val="FootnoteText"/>
        <w:spacing w:line="480" w:lineRule="auto"/>
        <w:ind w:left="720" w:hanging="720"/>
        <w:rPr>
          <w:sz w:val="24"/>
          <w:szCs w:val="24"/>
        </w:rPr>
      </w:pPr>
      <w:r w:rsidRPr="004D26E6">
        <w:rPr>
          <w:sz w:val="24"/>
          <w:szCs w:val="24"/>
        </w:rPr>
        <w:t>Blakey, Roy G. and Blakey, Gladys C.. "The Revenue Act of 1935." </w:t>
      </w:r>
      <w:r w:rsidRPr="004D26E6">
        <w:rPr>
          <w:i/>
          <w:iCs/>
          <w:sz w:val="24"/>
          <w:szCs w:val="24"/>
        </w:rPr>
        <w:t>The American Economic Review</w:t>
      </w:r>
      <w:r w:rsidRPr="004D26E6">
        <w:rPr>
          <w:sz w:val="24"/>
          <w:szCs w:val="24"/>
        </w:rPr>
        <w:t> 25, no. 4 (1935): 673-90. www.jstor.org/stable/1807804</w:t>
      </w:r>
    </w:p>
    <w:p w:rsidR="0091526C" w:rsidRPr="004D26E6" w:rsidRDefault="0091526C" w:rsidP="00AC3F78">
      <w:pPr>
        <w:pStyle w:val="FootnoteText"/>
        <w:spacing w:line="480" w:lineRule="auto"/>
        <w:ind w:left="720" w:hanging="720"/>
        <w:rPr>
          <w:sz w:val="24"/>
          <w:szCs w:val="24"/>
        </w:rPr>
      </w:pPr>
      <w:r w:rsidRPr="004D26E6">
        <w:rPr>
          <w:sz w:val="24"/>
          <w:szCs w:val="24"/>
        </w:rPr>
        <w:lastRenderedPageBreak/>
        <w:t>Blakey, Roy G. and Blakey, Gladys C.. "The Two Federal Revenue Acts of 1940</w:t>
      </w:r>
      <w:r w:rsidR="00F320A9" w:rsidRPr="004D26E6">
        <w:rPr>
          <w:sz w:val="24"/>
          <w:szCs w:val="24"/>
        </w:rPr>
        <w:t>.</w:t>
      </w:r>
      <w:r w:rsidRPr="004D26E6">
        <w:rPr>
          <w:sz w:val="24"/>
          <w:szCs w:val="24"/>
        </w:rPr>
        <w:t>" </w:t>
      </w:r>
      <w:r w:rsidRPr="004D26E6">
        <w:rPr>
          <w:i/>
          <w:iCs/>
          <w:sz w:val="24"/>
          <w:szCs w:val="24"/>
        </w:rPr>
        <w:t>The American Economic Review</w:t>
      </w:r>
      <w:r w:rsidRPr="004D26E6">
        <w:rPr>
          <w:sz w:val="24"/>
          <w:szCs w:val="24"/>
        </w:rPr>
        <w:t> 30, no. 4 (1940): 724-35. www.jstor.org/stable/1805065.</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Brülhart</w:t>
      </w:r>
      <w:proofErr w:type="spellEnd"/>
      <w:r w:rsidRPr="004D26E6">
        <w:rPr>
          <w:sz w:val="24"/>
          <w:szCs w:val="24"/>
        </w:rPr>
        <w:t xml:space="preserve">, Marius, Jonathan Gruber, Matthias </w:t>
      </w:r>
      <w:proofErr w:type="spellStart"/>
      <w:r w:rsidRPr="004D26E6">
        <w:rPr>
          <w:sz w:val="24"/>
          <w:szCs w:val="24"/>
        </w:rPr>
        <w:t>Krapf</w:t>
      </w:r>
      <w:proofErr w:type="spellEnd"/>
      <w:r w:rsidRPr="004D26E6">
        <w:rPr>
          <w:sz w:val="24"/>
          <w:szCs w:val="24"/>
        </w:rPr>
        <w:t xml:space="preserve">, and Kurt </w:t>
      </w:r>
      <w:proofErr w:type="spellStart"/>
      <w:r w:rsidRPr="004D26E6">
        <w:rPr>
          <w:sz w:val="24"/>
          <w:szCs w:val="24"/>
        </w:rPr>
        <w:t>Schmidheiny</w:t>
      </w:r>
      <w:proofErr w:type="spellEnd"/>
      <w:r w:rsidRPr="004D26E6">
        <w:rPr>
          <w:sz w:val="24"/>
          <w:szCs w:val="24"/>
        </w:rPr>
        <w:t xml:space="preserve">, “Taxing wealth: evidence from Switzerland.” </w:t>
      </w:r>
      <w:r w:rsidRPr="004D26E6">
        <w:rPr>
          <w:i/>
          <w:iCs/>
          <w:sz w:val="24"/>
          <w:szCs w:val="24"/>
        </w:rPr>
        <w:t>NBER</w:t>
      </w:r>
      <w:r w:rsidRPr="004D26E6">
        <w:rPr>
          <w:sz w:val="24"/>
          <w:szCs w:val="24"/>
        </w:rPr>
        <w:t xml:space="preserve"> working paper No. 22376, June 2016</w:t>
      </w:r>
      <w:r w:rsidR="00F320A9" w:rsidRPr="004D26E6">
        <w:rPr>
          <w:sz w:val="24"/>
          <w:szCs w:val="24"/>
        </w:rPr>
        <w:t>.</w:t>
      </w:r>
      <w:r w:rsidRPr="004D26E6">
        <w:rPr>
          <w:sz w:val="24"/>
          <w:szCs w:val="24"/>
        </w:rPr>
        <w:t xml:space="preserve"> https://www.nber.org/papers/w22376.pdf</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Cingano</w:t>
      </w:r>
      <w:proofErr w:type="spellEnd"/>
      <w:r w:rsidRPr="004D26E6">
        <w:rPr>
          <w:sz w:val="24"/>
          <w:szCs w:val="24"/>
        </w:rPr>
        <w:t xml:space="preserve">, </w:t>
      </w:r>
      <w:proofErr w:type="spellStart"/>
      <w:r w:rsidRPr="004D26E6">
        <w:rPr>
          <w:sz w:val="24"/>
          <w:szCs w:val="24"/>
        </w:rPr>
        <w:t>Frederico</w:t>
      </w:r>
      <w:proofErr w:type="spellEnd"/>
      <w:r w:rsidRPr="004D26E6">
        <w:rPr>
          <w:sz w:val="24"/>
          <w:szCs w:val="24"/>
        </w:rPr>
        <w:t>. “Trends in Income Inequality and its Impact on Economic Growth.”</w:t>
      </w:r>
      <w:r w:rsidRPr="004D26E6">
        <w:rPr>
          <w:sz w:val="24"/>
          <w:szCs w:val="24"/>
        </w:rPr>
        <w:br/>
        <w:t xml:space="preserve"> </w:t>
      </w:r>
      <w:r w:rsidRPr="004D26E6">
        <w:rPr>
          <w:i/>
          <w:iCs/>
          <w:sz w:val="24"/>
          <w:szCs w:val="24"/>
        </w:rPr>
        <w:t>OECD Social, Employment, and Migration</w:t>
      </w:r>
      <w:r w:rsidRPr="004D26E6">
        <w:rPr>
          <w:sz w:val="24"/>
          <w:szCs w:val="24"/>
        </w:rPr>
        <w:t xml:space="preserve"> Working Papers, No. 163</w:t>
      </w:r>
      <w:r w:rsidR="00F320A9" w:rsidRPr="004D26E6">
        <w:rPr>
          <w:sz w:val="24"/>
          <w:szCs w:val="24"/>
        </w:rPr>
        <w:t xml:space="preserve">. </w:t>
      </w:r>
      <w:r w:rsidRPr="004D26E6">
        <w:rPr>
          <w:sz w:val="24"/>
          <w:szCs w:val="24"/>
        </w:rPr>
        <w:t>http://www.oecd.org/els/soc/trends-in-income-inequality-and-its-impact-on-economic-growth-SEM-WP163.pdf</w:t>
      </w:r>
    </w:p>
    <w:p w:rsidR="0091526C" w:rsidRPr="004D26E6" w:rsidRDefault="0091526C" w:rsidP="00AC3F78">
      <w:pPr>
        <w:pStyle w:val="FootnoteText"/>
        <w:spacing w:line="480" w:lineRule="auto"/>
        <w:ind w:left="720" w:hanging="720"/>
        <w:rPr>
          <w:sz w:val="24"/>
          <w:szCs w:val="24"/>
        </w:rPr>
      </w:pPr>
      <w:r w:rsidRPr="004D26E6">
        <w:rPr>
          <w:sz w:val="24"/>
          <w:szCs w:val="24"/>
        </w:rPr>
        <w:t>Curtis, James F. "The Administrative Provisions of the Revenue Act of 1913." </w:t>
      </w:r>
      <w:r w:rsidRPr="004D26E6">
        <w:rPr>
          <w:i/>
          <w:iCs/>
          <w:sz w:val="24"/>
          <w:szCs w:val="24"/>
        </w:rPr>
        <w:t>The Quarterly Journal of Economics</w:t>
      </w:r>
      <w:r w:rsidRPr="004D26E6">
        <w:rPr>
          <w:sz w:val="24"/>
          <w:szCs w:val="24"/>
        </w:rPr>
        <w:t> 28, no. 1 (1913): 31-45. www.jstor.org/stable/1884928.</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Davis, Jonathan. “The Decline in Intergenerational Mobility After 1980.” </w:t>
      </w:r>
      <w:r w:rsidRPr="004D26E6">
        <w:rPr>
          <w:i/>
          <w:iCs/>
          <w:sz w:val="24"/>
          <w:szCs w:val="24"/>
        </w:rPr>
        <w:t>Federal Reserve Bank of Minneapolis</w:t>
      </w:r>
      <w:r w:rsidRPr="004D26E6">
        <w:rPr>
          <w:sz w:val="24"/>
          <w:szCs w:val="24"/>
        </w:rPr>
        <w:t>, July 2017</w:t>
      </w:r>
      <w:r w:rsidR="00F320A9" w:rsidRPr="004D26E6">
        <w:rPr>
          <w:sz w:val="24"/>
          <w:szCs w:val="24"/>
        </w:rPr>
        <w:t xml:space="preserve">. </w:t>
      </w:r>
      <w:r w:rsidRPr="004D26E6">
        <w:rPr>
          <w:sz w:val="24"/>
          <w:szCs w:val="24"/>
        </w:rPr>
        <w:t xml:space="preserve">https://www.minneapolisfed.org/institute/working-papers/17-21.pdf </w:t>
      </w:r>
    </w:p>
    <w:p w:rsidR="0091526C" w:rsidRPr="004D26E6" w:rsidRDefault="0091526C" w:rsidP="00AC3F78">
      <w:pPr>
        <w:pStyle w:val="FootnoteText"/>
        <w:spacing w:line="480" w:lineRule="auto"/>
        <w:ind w:left="720" w:hanging="720"/>
        <w:rPr>
          <w:sz w:val="24"/>
          <w:szCs w:val="24"/>
        </w:rPr>
      </w:pPr>
      <w:r w:rsidRPr="004D26E6">
        <w:rPr>
          <w:sz w:val="24"/>
          <w:szCs w:val="24"/>
        </w:rPr>
        <w:t>Delaney, Edward N. "The Economic Recovery Tax Act of 1981." </w:t>
      </w:r>
      <w:r w:rsidRPr="004D26E6">
        <w:rPr>
          <w:i/>
          <w:iCs/>
          <w:sz w:val="24"/>
          <w:szCs w:val="24"/>
        </w:rPr>
        <w:t>American Bar Association Journal</w:t>
      </w:r>
      <w:r w:rsidRPr="004D26E6">
        <w:rPr>
          <w:sz w:val="24"/>
          <w:szCs w:val="24"/>
        </w:rPr>
        <w:t> 67, no. 10 (1981): 1266-269. www.jstor.org/stable/20749010.</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Diamond, Peter and </w:t>
      </w:r>
      <w:proofErr w:type="spellStart"/>
      <w:r w:rsidRPr="004D26E6">
        <w:rPr>
          <w:sz w:val="24"/>
          <w:szCs w:val="24"/>
        </w:rPr>
        <w:t>Saez</w:t>
      </w:r>
      <w:proofErr w:type="spellEnd"/>
      <w:r w:rsidRPr="004D26E6">
        <w:rPr>
          <w:sz w:val="24"/>
          <w:szCs w:val="24"/>
        </w:rPr>
        <w:t xml:space="preserve">, Emmanuel. “The case for a progressive tax: From basic research to policy recommendations.” </w:t>
      </w:r>
      <w:r w:rsidRPr="004D26E6">
        <w:rPr>
          <w:i/>
          <w:iCs/>
          <w:sz w:val="24"/>
          <w:szCs w:val="24"/>
        </w:rPr>
        <w:t>Journal of Economic Perspectives</w:t>
      </w:r>
      <w:r w:rsidRPr="004D26E6">
        <w:rPr>
          <w:sz w:val="24"/>
          <w:szCs w:val="24"/>
        </w:rPr>
        <w:t>, vol 25 (4), 165-190</w:t>
      </w:r>
      <w:r w:rsidR="00F320A9" w:rsidRPr="004D26E6">
        <w:rPr>
          <w:sz w:val="24"/>
          <w:szCs w:val="24"/>
        </w:rPr>
        <w:t>.</w:t>
      </w:r>
      <w:r w:rsidRPr="004D26E6">
        <w:rPr>
          <w:sz w:val="24"/>
          <w:szCs w:val="24"/>
        </w:rPr>
        <w:t xml:space="preserve"> </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Duffin</w:t>
      </w:r>
      <w:proofErr w:type="spellEnd"/>
      <w:r w:rsidRPr="004D26E6">
        <w:rPr>
          <w:sz w:val="24"/>
          <w:szCs w:val="24"/>
        </w:rPr>
        <w:t xml:space="preserve">, Erin. “U.S. Household Income Distribution by Gini Coefficient 1990-2019.” </w:t>
      </w:r>
      <w:r w:rsidRPr="004D26E6">
        <w:rPr>
          <w:i/>
          <w:sz w:val="24"/>
          <w:szCs w:val="24"/>
        </w:rPr>
        <w:t>Statista</w:t>
      </w:r>
      <w:r w:rsidRPr="004D26E6">
        <w:rPr>
          <w:sz w:val="24"/>
          <w:szCs w:val="24"/>
        </w:rPr>
        <w:t>. Accessed December 14, 2019. https://www.statista.com/statistics/219643/gini-coefficient-for-us-individuals-families-and-households/</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Easterbrook, Gregg. </w:t>
      </w:r>
      <w:proofErr w:type="spellStart"/>
      <w:r w:rsidRPr="004D26E6">
        <w:rPr>
          <w:sz w:val="24"/>
          <w:szCs w:val="24"/>
        </w:rPr>
        <w:t>“The</w:t>
      </w:r>
      <w:proofErr w:type="spellEnd"/>
      <w:r w:rsidRPr="004D26E6">
        <w:rPr>
          <w:sz w:val="24"/>
          <w:szCs w:val="24"/>
        </w:rPr>
        <w:t xml:space="preserve"> myth of oppressive corporate taxes.” </w:t>
      </w:r>
      <w:r w:rsidRPr="004D26E6">
        <w:rPr>
          <w:i/>
          <w:iCs/>
          <w:sz w:val="24"/>
          <w:szCs w:val="24"/>
        </w:rPr>
        <w:t>The Atlantic Online</w:t>
      </w:r>
      <w:r w:rsidRPr="004D26E6">
        <w:rPr>
          <w:sz w:val="24"/>
          <w:szCs w:val="24"/>
        </w:rPr>
        <w:t>, June 1982</w:t>
      </w:r>
      <w:r w:rsidR="00F320A9" w:rsidRPr="004D26E6">
        <w:rPr>
          <w:sz w:val="24"/>
          <w:szCs w:val="24"/>
        </w:rPr>
        <w:t>.</w:t>
      </w:r>
      <w:r w:rsidRPr="004D26E6">
        <w:rPr>
          <w:sz w:val="24"/>
          <w:szCs w:val="24"/>
        </w:rPr>
        <w:t xml:space="preserve"> https://www.theatlantic.com/past/docs/politics/ecbig/ececoeas.htm</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Einhorn, Robin L.. </w:t>
      </w:r>
      <w:r w:rsidRPr="004D26E6">
        <w:rPr>
          <w:i/>
          <w:sz w:val="24"/>
          <w:szCs w:val="24"/>
        </w:rPr>
        <w:t>American Taxation, American Slavery</w:t>
      </w:r>
      <w:r w:rsidRPr="004D26E6">
        <w:rPr>
          <w:sz w:val="24"/>
          <w:szCs w:val="24"/>
        </w:rPr>
        <w:t xml:space="preserve">. Chicago: University of Chicago Press, 2006.  </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lastRenderedPageBreak/>
        <w:t>Ettlinger</w:t>
      </w:r>
      <w:proofErr w:type="spellEnd"/>
      <w:r w:rsidRPr="004D26E6">
        <w:rPr>
          <w:sz w:val="24"/>
          <w:szCs w:val="24"/>
        </w:rPr>
        <w:t xml:space="preserve">, Michael and Linden, Michael. August 1, 2012, “The Failure of Supply-Side Economics.” </w:t>
      </w:r>
      <w:r w:rsidRPr="004D26E6">
        <w:rPr>
          <w:i/>
          <w:iCs/>
          <w:sz w:val="24"/>
          <w:szCs w:val="24"/>
        </w:rPr>
        <w:t>Center for American Progress</w:t>
      </w:r>
      <w:r w:rsidR="00F320A9" w:rsidRPr="004D26E6">
        <w:rPr>
          <w:sz w:val="24"/>
          <w:szCs w:val="24"/>
        </w:rPr>
        <w:t>.</w:t>
      </w:r>
      <w:r w:rsidRPr="004D26E6">
        <w:rPr>
          <w:sz w:val="24"/>
          <w:szCs w:val="24"/>
        </w:rPr>
        <w:t xml:space="preserve"> https://www.americanprogress.org/issues/economy/news/2012/08/01/11998/the-failure-of-supply-side-economics/</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Glass, Andrew. “Lincoln imposes first federal income tax: Aug. 5, 1861.” </w:t>
      </w:r>
      <w:r w:rsidRPr="004D26E6">
        <w:rPr>
          <w:i/>
          <w:iCs/>
          <w:sz w:val="24"/>
          <w:szCs w:val="24"/>
        </w:rPr>
        <w:t>Politico</w:t>
      </w:r>
      <w:r w:rsidRPr="004D26E6">
        <w:rPr>
          <w:sz w:val="24"/>
          <w:szCs w:val="24"/>
        </w:rPr>
        <w:t>, August 5, 2009</w:t>
      </w:r>
      <w:r w:rsidR="00F320A9" w:rsidRPr="004D26E6">
        <w:rPr>
          <w:sz w:val="24"/>
          <w:szCs w:val="24"/>
        </w:rPr>
        <w:t>.</w:t>
      </w:r>
      <w:r w:rsidRPr="004D26E6">
        <w:rPr>
          <w:sz w:val="24"/>
          <w:szCs w:val="24"/>
        </w:rPr>
        <w:t xml:space="preserve"> https://www.politico.com/story/2009/08/lincoln-imposes-first-federal-income-tax-aug-5-1861-025787</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Gourevitch</w:t>
      </w:r>
      <w:proofErr w:type="spellEnd"/>
      <w:r w:rsidRPr="004D26E6">
        <w:rPr>
          <w:sz w:val="24"/>
          <w:szCs w:val="24"/>
        </w:rPr>
        <w:t>, Harry G. "Corporate tax integration: the European experience." </w:t>
      </w:r>
      <w:r w:rsidRPr="004D26E6">
        <w:rPr>
          <w:i/>
          <w:iCs/>
          <w:sz w:val="24"/>
          <w:szCs w:val="24"/>
        </w:rPr>
        <w:t>The Tax Lawyer</w:t>
      </w:r>
      <w:r w:rsidRPr="004D26E6">
        <w:rPr>
          <w:sz w:val="24"/>
          <w:szCs w:val="24"/>
        </w:rPr>
        <w:t> 31, no. 1 (1977): 65-112. www.jstor.org/stable/20767795.</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Gravelle, Jane G. and </w:t>
      </w:r>
      <w:proofErr w:type="spellStart"/>
      <w:r w:rsidRPr="004D26E6">
        <w:rPr>
          <w:sz w:val="24"/>
          <w:szCs w:val="24"/>
        </w:rPr>
        <w:t>Marples</w:t>
      </w:r>
      <w:proofErr w:type="spellEnd"/>
      <w:r w:rsidRPr="004D26E6">
        <w:rPr>
          <w:sz w:val="24"/>
          <w:szCs w:val="24"/>
        </w:rPr>
        <w:t xml:space="preserve">, Donald J.. “The economic effects of the 2017 tax revision: preliminary observations.” </w:t>
      </w:r>
      <w:r w:rsidRPr="004D26E6">
        <w:rPr>
          <w:i/>
          <w:iCs/>
          <w:sz w:val="24"/>
          <w:szCs w:val="24"/>
        </w:rPr>
        <w:t>Congressional Research Service</w:t>
      </w:r>
      <w:r w:rsidRPr="004D26E6">
        <w:rPr>
          <w:sz w:val="24"/>
          <w:szCs w:val="24"/>
        </w:rPr>
        <w:t>, May 22, 2019</w:t>
      </w:r>
      <w:r w:rsidR="00F320A9" w:rsidRPr="004D26E6">
        <w:rPr>
          <w:sz w:val="24"/>
          <w:szCs w:val="24"/>
        </w:rPr>
        <w:t>.</w:t>
      </w:r>
      <w:r w:rsidRPr="004D26E6">
        <w:rPr>
          <w:sz w:val="24"/>
          <w:szCs w:val="24"/>
        </w:rPr>
        <w:t xml:space="preserve"> https://www.everycrsreport.com/files/20190522_R45736_8a1214e903ee2b719e00731791d60f26d75d35f4.pdf</w:t>
      </w:r>
    </w:p>
    <w:p w:rsidR="0091526C" w:rsidRPr="004D26E6" w:rsidRDefault="0091526C" w:rsidP="00AC3F78">
      <w:pPr>
        <w:pStyle w:val="FootnoteText"/>
        <w:spacing w:line="480" w:lineRule="auto"/>
        <w:ind w:left="720" w:hanging="720"/>
        <w:rPr>
          <w:sz w:val="24"/>
          <w:szCs w:val="24"/>
        </w:rPr>
      </w:pPr>
      <w:r w:rsidRPr="004D26E6">
        <w:rPr>
          <w:sz w:val="24"/>
          <w:szCs w:val="24"/>
        </w:rPr>
        <w:t>Gravelle, Jane G.. “Corporate Tax Integration: In Brief</w:t>
      </w:r>
      <w:r w:rsidR="00F320A9" w:rsidRPr="004D26E6">
        <w:rPr>
          <w:sz w:val="24"/>
          <w:szCs w:val="24"/>
        </w:rPr>
        <w:t>.</w:t>
      </w:r>
      <w:r w:rsidRPr="004D26E6">
        <w:rPr>
          <w:sz w:val="24"/>
          <w:szCs w:val="24"/>
        </w:rPr>
        <w:t xml:space="preserve">” </w:t>
      </w:r>
      <w:r w:rsidRPr="004D26E6">
        <w:rPr>
          <w:i/>
          <w:sz w:val="24"/>
          <w:szCs w:val="24"/>
        </w:rPr>
        <w:t>Congressional Research Service</w:t>
      </w:r>
      <w:r w:rsidRPr="004D26E6">
        <w:rPr>
          <w:sz w:val="24"/>
          <w:szCs w:val="24"/>
        </w:rPr>
        <w:t>, October 31, 2016. https://fas.org/sgp/crs/misc/R44671.pdf.</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Gwartney</w:t>
      </w:r>
      <w:proofErr w:type="spellEnd"/>
      <w:r w:rsidRPr="004D26E6">
        <w:rPr>
          <w:sz w:val="24"/>
          <w:szCs w:val="24"/>
        </w:rPr>
        <w:t xml:space="preserve">, James D.. “Supply-side economics.” </w:t>
      </w:r>
      <w:r w:rsidRPr="004D26E6">
        <w:rPr>
          <w:i/>
          <w:sz w:val="24"/>
          <w:szCs w:val="24"/>
        </w:rPr>
        <w:t>The Library of Economics and Liberty</w:t>
      </w:r>
      <w:r w:rsidRPr="004D26E6">
        <w:rPr>
          <w:sz w:val="24"/>
          <w:szCs w:val="24"/>
        </w:rPr>
        <w:t>. Accessed December 8, 2019</w:t>
      </w:r>
      <w:r w:rsidR="00F320A9" w:rsidRPr="004D26E6">
        <w:rPr>
          <w:sz w:val="24"/>
          <w:szCs w:val="24"/>
        </w:rPr>
        <w:t>.</w:t>
      </w:r>
      <w:r w:rsidRPr="004D26E6">
        <w:rPr>
          <w:sz w:val="24"/>
          <w:szCs w:val="24"/>
        </w:rPr>
        <w:t xml:space="preserve">  https://www.econlib.org/library/Enc/SupplySideEconomics.html</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Harvey, David. </w:t>
      </w:r>
      <w:r w:rsidRPr="004D26E6">
        <w:rPr>
          <w:i/>
          <w:iCs/>
          <w:sz w:val="24"/>
          <w:szCs w:val="24"/>
        </w:rPr>
        <w:t>A Brief History of Neoliberalism</w:t>
      </w:r>
      <w:r w:rsidRPr="004D26E6">
        <w:rPr>
          <w:sz w:val="24"/>
          <w:szCs w:val="24"/>
        </w:rPr>
        <w:t>. New York: Oxford University Press, 2005.</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Hendricks, Galen and Hanlon, Seth. “The TCJA 2 Years Later: Corporations, Not Workers, Are the Big Winners.” </w:t>
      </w:r>
      <w:r w:rsidRPr="004D26E6">
        <w:rPr>
          <w:i/>
          <w:iCs/>
          <w:sz w:val="24"/>
          <w:szCs w:val="24"/>
        </w:rPr>
        <w:t>Center for American Progress</w:t>
      </w:r>
      <w:r w:rsidRPr="004D26E6">
        <w:rPr>
          <w:sz w:val="24"/>
          <w:szCs w:val="24"/>
        </w:rPr>
        <w:t>, December 19, 2019</w:t>
      </w:r>
      <w:r w:rsidR="00F320A9" w:rsidRPr="004D26E6">
        <w:rPr>
          <w:sz w:val="24"/>
          <w:szCs w:val="24"/>
        </w:rPr>
        <w:t>.</w:t>
      </w:r>
      <w:r w:rsidRPr="004D26E6">
        <w:rPr>
          <w:sz w:val="24"/>
          <w:szCs w:val="24"/>
        </w:rPr>
        <w:t xml:space="preserve"> https://www.americanprogress.org/issues/economy/news/2019/12/19/478924/tcja-2-years-later-corporations-not-workers-big-winners/</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lastRenderedPageBreak/>
        <w:t>Hoo</w:t>
      </w:r>
      <w:proofErr w:type="spellEnd"/>
      <w:r w:rsidRPr="004D26E6">
        <w:rPr>
          <w:sz w:val="24"/>
          <w:szCs w:val="24"/>
        </w:rPr>
        <w:t xml:space="preserve">, Sonya and </w:t>
      </w:r>
      <w:proofErr w:type="spellStart"/>
      <w:r w:rsidRPr="004D26E6">
        <w:rPr>
          <w:sz w:val="24"/>
          <w:szCs w:val="24"/>
        </w:rPr>
        <w:t>Toder</w:t>
      </w:r>
      <w:proofErr w:type="spellEnd"/>
      <w:r w:rsidRPr="004D26E6">
        <w:rPr>
          <w:sz w:val="24"/>
          <w:szCs w:val="24"/>
        </w:rPr>
        <w:t xml:space="preserve">, Eric. “The U.S. tax burden is low relative to other OECD countries.” </w:t>
      </w:r>
      <w:r w:rsidRPr="004D26E6">
        <w:rPr>
          <w:i/>
          <w:iCs/>
          <w:sz w:val="24"/>
          <w:szCs w:val="24"/>
        </w:rPr>
        <w:t>Tax Policy Center</w:t>
      </w:r>
      <w:r w:rsidRPr="004D26E6">
        <w:rPr>
          <w:sz w:val="24"/>
          <w:szCs w:val="24"/>
        </w:rPr>
        <w:t>, May 8, 2006. https://www.taxpolicycenter.org/publications/us-tax-burden-low-relative-other-oecd-countries/full.</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Horsley, Scott “After 2 Years, Trump’s Tax Cuts Have Failed To Deliver on GOP’s Promises.” </w:t>
      </w:r>
      <w:r w:rsidRPr="004D26E6">
        <w:rPr>
          <w:i/>
          <w:iCs/>
          <w:sz w:val="24"/>
          <w:szCs w:val="24"/>
        </w:rPr>
        <w:t>NPR</w:t>
      </w:r>
      <w:r w:rsidRPr="004D26E6">
        <w:rPr>
          <w:sz w:val="24"/>
          <w:szCs w:val="24"/>
        </w:rPr>
        <w:t>, December 20, 2019</w:t>
      </w:r>
      <w:r w:rsidR="00F320A9" w:rsidRPr="004D26E6">
        <w:rPr>
          <w:sz w:val="24"/>
          <w:szCs w:val="24"/>
        </w:rPr>
        <w:t>.</w:t>
      </w:r>
      <w:r w:rsidRPr="004D26E6">
        <w:rPr>
          <w:sz w:val="24"/>
          <w:szCs w:val="24"/>
        </w:rPr>
        <w:t xml:space="preserve"> https://www.npr.org/2019/12/20/789540931/2-years-later-trump-tax-cuts-have-failed-to-deliver-on-gops-promises</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Hungerford, Thomas L.. “Taxes and the economy: Analysis of the top tax rates since 1945.” </w:t>
      </w:r>
      <w:r w:rsidRPr="004D26E6">
        <w:rPr>
          <w:i/>
          <w:iCs/>
          <w:sz w:val="24"/>
          <w:szCs w:val="24"/>
        </w:rPr>
        <w:t>Congressional Research Service</w:t>
      </w:r>
      <w:r w:rsidRPr="004D26E6">
        <w:rPr>
          <w:sz w:val="24"/>
          <w:szCs w:val="24"/>
        </w:rPr>
        <w:t>, September 14, 2012</w:t>
      </w:r>
      <w:r w:rsidR="00F320A9" w:rsidRPr="004D26E6">
        <w:rPr>
          <w:sz w:val="24"/>
          <w:szCs w:val="24"/>
        </w:rPr>
        <w:t>.</w:t>
      </w:r>
      <w:r w:rsidRPr="004D26E6">
        <w:rPr>
          <w:sz w:val="24"/>
          <w:szCs w:val="24"/>
        </w:rPr>
        <w:t xml:space="preserve"> https://www.democrats.senate.gov//files/documents/CRSTaxesandtheEconomy%20Top%20Rates.pdf</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Huret</w:t>
      </w:r>
      <w:proofErr w:type="spellEnd"/>
      <w:r w:rsidRPr="004D26E6">
        <w:rPr>
          <w:sz w:val="24"/>
          <w:szCs w:val="24"/>
        </w:rPr>
        <w:t xml:space="preserve">, Romain. </w:t>
      </w:r>
      <w:r w:rsidRPr="004D26E6">
        <w:rPr>
          <w:i/>
          <w:sz w:val="24"/>
          <w:szCs w:val="24"/>
        </w:rPr>
        <w:t>American Tax Resisters</w:t>
      </w:r>
      <w:r w:rsidRPr="004D26E6">
        <w:rPr>
          <w:sz w:val="24"/>
          <w:szCs w:val="24"/>
        </w:rPr>
        <w:t>. Cambridge: Harvard University Press, 2014.</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Ingraham, Christopher. “For the first time in history, U.S. billionaires paid a lower tax rate than the working class last year.” </w:t>
      </w:r>
      <w:r w:rsidRPr="004D26E6">
        <w:rPr>
          <w:i/>
          <w:sz w:val="24"/>
          <w:szCs w:val="24"/>
        </w:rPr>
        <w:t>The Washington Post</w:t>
      </w:r>
      <w:r w:rsidRPr="004D26E6">
        <w:rPr>
          <w:sz w:val="24"/>
          <w:szCs w:val="24"/>
        </w:rPr>
        <w:t>, October 8, 2019. Accessed December 15, 2019. https://www-washingtonpost-com.ezp-prod1.hul.harvard.edu/business/2019/10/08/first-time-history-us-billionaires-paid-lower-tax-rate-than-working-class-last-year/.</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Jahan, Sarwat, Ahmed Saber Mahmud, and Chris </w:t>
      </w:r>
      <w:proofErr w:type="spellStart"/>
      <w:r w:rsidRPr="004D26E6">
        <w:rPr>
          <w:sz w:val="24"/>
          <w:szCs w:val="24"/>
        </w:rPr>
        <w:t>Papageorgiou</w:t>
      </w:r>
      <w:proofErr w:type="spellEnd"/>
      <w:r w:rsidRPr="004D26E6">
        <w:rPr>
          <w:sz w:val="24"/>
          <w:szCs w:val="24"/>
        </w:rPr>
        <w:t xml:space="preserve">, “What is Keynesian Economics.” </w:t>
      </w:r>
      <w:r w:rsidRPr="004D26E6">
        <w:rPr>
          <w:i/>
          <w:iCs/>
          <w:sz w:val="24"/>
          <w:szCs w:val="24"/>
        </w:rPr>
        <w:t>International Monetary Fund</w:t>
      </w:r>
      <w:r w:rsidRPr="004D26E6">
        <w:rPr>
          <w:sz w:val="24"/>
          <w:szCs w:val="24"/>
        </w:rPr>
        <w:t>, Finance &amp; Development, Vol. 51, No. 3 (2014)</w:t>
      </w:r>
      <w:r w:rsidR="00F320A9" w:rsidRPr="004D26E6">
        <w:rPr>
          <w:sz w:val="24"/>
          <w:szCs w:val="24"/>
        </w:rPr>
        <w:t>.</w:t>
      </w:r>
      <w:r w:rsidRPr="004D26E6">
        <w:rPr>
          <w:sz w:val="24"/>
          <w:szCs w:val="24"/>
        </w:rPr>
        <w:t xml:space="preserve"> https://www.imf.org/external/pubs/ft/fandd/2014/09/pdf/basics.pdf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Jakobsen, Kristian, Katrine Jakobsen, Henrik </w:t>
      </w:r>
      <w:proofErr w:type="spellStart"/>
      <w:r w:rsidRPr="004D26E6">
        <w:rPr>
          <w:sz w:val="24"/>
          <w:szCs w:val="24"/>
        </w:rPr>
        <w:t>Kleven</w:t>
      </w:r>
      <w:proofErr w:type="spellEnd"/>
      <w:r w:rsidRPr="004D26E6">
        <w:rPr>
          <w:sz w:val="24"/>
          <w:szCs w:val="24"/>
        </w:rPr>
        <w:t xml:space="preserve">, and Gabriel Zucman, “Wealth taxation and wealth accumulation: theory and evidence from Denmark.” </w:t>
      </w:r>
      <w:r w:rsidRPr="004D26E6">
        <w:rPr>
          <w:i/>
          <w:iCs/>
          <w:sz w:val="24"/>
          <w:szCs w:val="24"/>
        </w:rPr>
        <w:t>NBER</w:t>
      </w:r>
      <w:r w:rsidRPr="004D26E6">
        <w:rPr>
          <w:sz w:val="24"/>
          <w:szCs w:val="24"/>
        </w:rPr>
        <w:t xml:space="preserve"> working paper No. 24371, March 2018</w:t>
      </w:r>
      <w:r w:rsidR="00F320A9" w:rsidRPr="004D26E6">
        <w:rPr>
          <w:sz w:val="24"/>
          <w:szCs w:val="24"/>
        </w:rPr>
        <w:t>.</w:t>
      </w:r>
      <w:r w:rsidRPr="004D26E6">
        <w:rPr>
          <w:sz w:val="24"/>
          <w:szCs w:val="24"/>
        </w:rPr>
        <w:t xml:space="preserve"> https://www.nber.org/papers/w24371.pdf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Joseph Stiglitz, </w:t>
      </w:r>
      <w:r w:rsidRPr="004D26E6">
        <w:rPr>
          <w:i/>
          <w:iCs/>
          <w:sz w:val="24"/>
          <w:szCs w:val="24"/>
        </w:rPr>
        <w:t>The Price of Inequality: How Today’s Divided Society Endangers Our Future</w:t>
      </w:r>
      <w:r w:rsidRPr="004D26E6">
        <w:rPr>
          <w:sz w:val="24"/>
          <w:szCs w:val="24"/>
        </w:rPr>
        <w:t>, 2014</w:t>
      </w:r>
      <w:r w:rsidR="00F320A9" w:rsidRPr="004D26E6">
        <w:rPr>
          <w:sz w:val="24"/>
          <w:szCs w:val="24"/>
        </w:rPr>
        <w:t>.</w:t>
      </w:r>
      <w:r w:rsidRPr="004D26E6">
        <w:rPr>
          <w:sz w:val="24"/>
          <w:szCs w:val="24"/>
        </w:rPr>
        <w:t xml:space="preserve"> </w:t>
      </w:r>
    </w:p>
    <w:p w:rsidR="0091526C" w:rsidRPr="004D26E6" w:rsidRDefault="0091526C" w:rsidP="00AC3F78">
      <w:pPr>
        <w:pStyle w:val="FootnoteText"/>
        <w:spacing w:line="480" w:lineRule="auto"/>
        <w:ind w:left="720" w:hanging="720"/>
        <w:rPr>
          <w:sz w:val="24"/>
          <w:szCs w:val="24"/>
        </w:rPr>
      </w:pPr>
      <w:r w:rsidRPr="004D26E6">
        <w:rPr>
          <w:sz w:val="24"/>
          <w:szCs w:val="24"/>
        </w:rPr>
        <w:lastRenderedPageBreak/>
        <w:t xml:space="preserve">Kopp, Emmanuel, Daniel Leigh, Susanna </w:t>
      </w:r>
      <w:proofErr w:type="spellStart"/>
      <w:r w:rsidRPr="004D26E6">
        <w:rPr>
          <w:sz w:val="24"/>
          <w:szCs w:val="24"/>
        </w:rPr>
        <w:t>Mursula</w:t>
      </w:r>
      <w:proofErr w:type="spellEnd"/>
      <w:r w:rsidRPr="004D26E6">
        <w:rPr>
          <w:sz w:val="24"/>
          <w:szCs w:val="24"/>
        </w:rPr>
        <w:t xml:space="preserve">, and </w:t>
      </w:r>
      <w:proofErr w:type="spellStart"/>
      <w:r w:rsidRPr="004D26E6">
        <w:rPr>
          <w:sz w:val="24"/>
          <w:szCs w:val="24"/>
        </w:rPr>
        <w:t>Suchanan</w:t>
      </w:r>
      <w:proofErr w:type="spellEnd"/>
      <w:r w:rsidRPr="004D26E6">
        <w:rPr>
          <w:sz w:val="24"/>
          <w:szCs w:val="24"/>
        </w:rPr>
        <w:t xml:space="preserve"> </w:t>
      </w:r>
      <w:proofErr w:type="spellStart"/>
      <w:r w:rsidRPr="004D26E6">
        <w:rPr>
          <w:sz w:val="24"/>
          <w:szCs w:val="24"/>
        </w:rPr>
        <w:t>Tambunlertchai</w:t>
      </w:r>
      <w:proofErr w:type="spellEnd"/>
      <w:r w:rsidRPr="004D26E6">
        <w:rPr>
          <w:sz w:val="24"/>
          <w:szCs w:val="24"/>
        </w:rPr>
        <w:t>, “U.S. investment since the Tax Cuts and Jobs Act of 2017</w:t>
      </w:r>
      <w:r w:rsidRPr="004D26E6">
        <w:rPr>
          <w:i/>
          <w:iCs/>
          <w:sz w:val="24"/>
          <w:szCs w:val="24"/>
        </w:rPr>
        <w:t>,” International Monetary Fund</w:t>
      </w:r>
      <w:r w:rsidRPr="004D26E6">
        <w:rPr>
          <w:sz w:val="24"/>
          <w:szCs w:val="24"/>
        </w:rPr>
        <w:t>, IMF Working Papers, May 2019.</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Leiserson</w:t>
      </w:r>
      <w:proofErr w:type="spellEnd"/>
      <w:r w:rsidRPr="004D26E6">
        <w:rPr>
          <w:sz w:val="24"/>
          <w:szCs w:val="24"/>
        </w:rPr>
        <w:t xml:space="preserve">, Greg, Will McGrew, and Raksha </w:t>
      </w:r>
      <w:proofErr w:type="spellStart"/>
      <w:r w:rsidRPr="004D26E6">
        <w:rPr>
          <w:sz w:val="24"/>
          <w:szCs w:val="24"/>
        </w:rPr>
        <w:t>Kopparam</w:t>
      </w:r>
      <w:proofErr w:type="spellEnd"/>
      <w:r w:rsidRPr="004D26E6">
        <w:rPr>
          <w:sz w:val="24"/>
          <w:szCs w:val="24"/>
        </w:rPr>
        <w:t xml:space="preserve">, “The distribution of wealth in the United States and implications for a net worth tax.” </w:t>
      </w:r>
      <w:r w:rsidRPr="004D26E6">
        <w:rPr>
          <w:i/>
          <w:iCs/>
          <w:sz w:val="24"/>
          <w:szCs w:val="24"/>
        </w:rPr>
        <w:t>Washington Center for Equitable Growth</w:t>
      </w:r>
      <w:r w:rsidRPr="004D26E6">
        <w:rPr>
          <w:sz w:val="24"/>
          <w:szCs w:val="24"/>
        </w:rPr>
        <w:t>, March 21, 2019</w:t>
      </w:r>
      <w:r w:rsidR="00F320A9" w:rsidRPr="004D26E6">
        <w:rPr>
          <w:sz w:val="24"/>
          <w:szCs w:val="24"/>
        </w:rPr>
        <w:t>.</w:t>
      </w:r>
      <w:r w:rsidRPr="004D26E6">
        <w:rPr>
          <w:sz w:val="24"/>
          <w:szCs w:val="24"/>
        </w:rPr>
        <w:t xml:space="preserve"> https://equitablegrowth.org/the-distribution-of-wealth-in-the-united-states-and-implications-for-a-net-worth-tax/#footnote-2</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Lindsay, Lawrence B.. “Taxpayer behavior and the distribution of the 1982 tax cut.” </w:t>
      </w:r>
      <w:r w:rsidRPr="004D26E6">
        <w:rPr>
          <w:i/>
          <w:iCs/>
          <w:sz w:val="24"/>
          <w:szCs w:val="24"/>
        </w:rPr>
        <w:t>National Bureau of Economic Research</w:t>
      </w:r>
      <w:r w:rsidRPr="004D26E6">
        <w:rPr>
          <w:sz w:val="24"/>
          <w:szCs w:val="24"/>
        </w:rPr>
        <w:t>, Working Paper No. 1760, October 1985</w:t>
      </w:r>
      <w:r w:rsidR="00F320A9" w:rsidRPr="004D26E6">
        <w:rPr>
          <w:sz w:val="24"/>
          <w:szCs w:val="24"/>
        </w:rPr>
        <w:t>.</w:t>
      </w:r>
      <w:r w:rsidRPr="004D26E6">
        <w:rPr>
          <w:sz w:val="24"/>
          <w:szCs w:val="24"/>
        </w:rPr>
        <w:t xml:space="preserve"> https://www.nber.org/papers/w1760.pdf</w:t>
      </w:r>
    </w:p>
    <w:p w:rsidR="00183EFB" w:rsidRPr="00183EFB" w:rsidRDefault="00183EFB" w:rsidP="00AC3F78">
      <w:pPr>
        <w:pStyle w:val="FootnoteText"/>
        <w:spacing w:line="480" w:lineRule="auto"/>
        <w:ind w:left="720" w:hanging="720"/>
        <w:rPr>
          <w:sz w:val="24"/>
          <w:szCs w:val="24"/>
        </w:rPr>
      </w:pPr>
      <w:r w:rsidRPr="00183EFB">
        <w:rPr>
          <w:sz w:val="24"/>
          <w:szCs w:val="24"/>
        </w:rPr>
        <w:t xml:space="preserve">Lundberg, Jacob and </w:t>
      </w:r>
      <w:proofErr w:type="spellStart"/>
      <w:r w:rsidRPr="00183EFB">
        <w:rPr>
          <w:sz w:val="24"/>
          <w:szCs w:val="24"/>
        </w:rPr>
        <w:t>Fritzon</w:t>
      </w:r>
      <w:proofErr w:type="spellEnd"/>
      <w:r w:rsidRPr="00183EFB">
        <w:rPr>
          <w:sz w:val="24"/>
          <w:szCs w:val="24"/>
        </w:rPr>
        <w:t xml:space="preserve">, Gustav. “Taxing high incomes: A comparison of 41 countries.” </w:t>
      </w:r>
      <w:r w:rsidRPr="00183EFB">
        <w:rPr>
          <w:i/>
          <w:iCs/>
          <w:sz w:val="24"/>
          <w:szCs w:val="24"/>
        </w:rPr>
        <w:t>Tax Foundation</w:t>
      </w:r>
      <w:r w:rsidRPr="00183EFB">
        <w:rPr>
          <w:sz w:val="24"/>
          <w:szCs w:val="24"/>
        </w:rPr>
        <w:t>, October 23, 2019. https://taxfoundation.org/taxing-high-income-2019/</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Murray, Alan. “‘Dynamic’ Scoring Ends Debate on Taxes, Revenue.” </w:t>
      </w:r>
      <w:r w:rsidRPr="004D26E6">
        <w:rPr>
          <w:i/>
          <w:sz w:val="24"/>
          <w:szCs w:val="24"/>
        </w:rPr>
        <w:t>The Wall Street Journal</w:t>
      </w:r>
      <w:r w:rsidRPr="004D26E6">
        <w:rPr>
          <w:sz w:val="24"/>
          <w:szCs w:val="24"/>
        </w:rPr>
        <w:t>, March 4, 2003. https://www-wsj-com.ezp-prod1.hul.harvard.edu/articles/SB104914900445465800</w:t>
      </w:r>
    </w:p>
    <w:p w:rsidR="0091526C" w:rsidRPr="004D26E6" w:rsidRDefault="0091526C" w:rsidP="00AC3F78">
      <w:pPr>
        <w:pStyle w:val="FootnoteText"/>
        <w:spacing w:line="480" w:lineRule="auto"/>
        <w:ind w:left="720" w:hanging="720"/>
        <w:rPr>
          <w:sz w:val="24"/>
          <w:szCs w:val="24"/>
        </w:rPr>
      </w:pPr>
      <w:r w:rsidRPr="004D26E6">
        <w:rPr>
          <w:sz w:val="24"/>
          <w:szCs w:val="24"/>
        </w:rPr>
        <w:t>OECD</w:t>
      </w:r>
      <w:r w:rsidR="00F320A9" w:rsidRPr="004D26E6">
        <w:rPr>
          <w:sz w:val="24"/>
          <w:szCs w:val="24"/>
        </w:rPr>
        <w:t xml:space="preserve">. </w:t>
      </w:r>
      <w:r w:rsidRPr="004D26E6">
        <w:rPr>
          <w:i/>
          <w:iCs/>
          <w:sz w:val="24"/>
          <w:szCs w:val="24"/>
        </w:rPr>
        <w:t>In It Together: Why Less Inequality Benefits All</w:t>
      </w:r>
      <w:r w:rsidR="00F320A9" w:rsidRPr="004D26E6">
        <w:rPr>
          <w:sz w:val="24"/>
          <w:szCs w:val="24"/>
        </w:rPr>
        <w:t>.</w:t>
      </w:r>
      <w:r w:rsidRPr="004D26E6">
        <w:rPr>
          <w:sz w:val="24"/>
          <w:szCs w:val="24"/>
        </w:rPr>
        <w:t xml:space="preserve"> Paris: OECD Publishing, 2015. https://doi.org/10.1787/9789264235120-en.</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Paletta</w:t>
      </w:r>
      <w:proofErr w:type="spellEnd"/>
      <w:r w:rsidRPr="004D26E6">
        <w:rPr>
          <w:sz w:val="24"/>
          <w:szCs w:val="24"/>
        </w:rPr>
        <w:t xml:space="preserve">, Damian and </w:t>
      </w:r>
      <w:proofErr w:type="spellStart"/>
      <w:r w:rsidRPr="004D26E6">
        <w:rPr>
          <w:sz w:val="24"/>
          <w:szCs w:val="24"/>
        </w:rPr>
        <w:t>Ehrenfreund</w:t>
      </w:r>
      <w:proofErr w:type="spellEnd"/>
      <w:r w:rsidRPr="004D26E6">
        <w:rPr>
          <w:sz w:val="24"/>
          <w:szCs w:val="24"/>
        </w:rPr>
        <w:t xml:space="preserve">, Max. “Trump’s treasury secretary: The tax cut ‘will pay for itself.’” </w:t>
      </w:r>
      <w:r w:rsidRPr="004D26E6">
        <w:rPr>
          <w:i/>
          <w:iCs/>
          <w:sz w:val="24"/>
          <w:szCs w:val="24"/>
        </w:rPr>
        <w:t>The Washington Post</w:t>
      </w:r>
      <w:r w:rsidRPr="004D26E6">
        <w:rPr>
          <w:sz w:val="24"/>
          <w:szCs w:val="24"/>
        </w:rPr>
        <w:t>, April 20, 2017</w:t>
      </w:r>
      <w:r w:rsidR="00F320A9" w:rsidRPr="004D26E6">
        <w:rPr>
          <w:sz w:val="24"/>
          <w:szCs w:val="24"/>
        </w:rPr>
        <w:t>.</w:t>
      </w:r>
      <w:r w:rsidRPr="004D26E6">
        <w:rPr>
          <w:sz w:val="24"/>
          <w:szCs w:val="24"/>
        </w:rPr>
        <w:t xml:space="preserve"> https://www.washingtonpost.com/news/wonk/wp/2017/04/20/trumps-treasury-secretary-the-tax-cut-will-pay-for-itself/.</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Papp, Tamas K. and </w:t>
      </w:r>
      <w:proofErr w:type="spellStart"/>
      <w:r w:rsidRPr="004D26E6">
        <w:rPr>
          <w:sz w:val="24"/>
          <w:szCs w:val="24"/>
        </w:rPr>
        <w:t>Takats</w:t>
      </w:r>
      <w:proofErr w:type="spellEnd"/>
      <w:r w:rsidRPr="004D26E6">
        <w:rPr>
          <w:sz w:val="24"/>
          <w:szCs w:val="24"/>
        </w:rPr>
        <w:t xml:space="preserve">, </w:t>
      </w:r>
      <w:proofErr w:type="spellStart"/>
      <w:r w:rsidRPr="004D26E6">
        <w:rPr>
          <w:sz w:val="24"/>
          <w:szCs w:val="24"/>
        </w:rPr>
        <w:t>Elod</w:t>
      </w:r>
      <w:proofErr w:type="spellEnd"/>
      <w:r w:rsidRPr="004D26E6">
        <w:rPr>
          <w:sz w:val="24"/>
          <w:szCs w:val="24"/>
        </w:rPr>
        <w:t xml:space="preserve">. “Tax rate cuts and tax compliance- the Laffer curve revisited.” </w:t>
      </w:r>
      <w:r w:rsidRPr="004D26E6">
        <w:rPr>
          <w:i/>
          <w:iCs/>
          <w:sz w:val="24"/>
          <w:szCs w:val="24"/>
        </w:rPr>
        <w:t>International Monetary Fund</w:t>
      </w:r>
      <w:r w:rsidRPr="004D26E6">
        <w:rPr>
          <w:sz w:val="24"/>
          <w:szCs w:val="24"/>
        </w:rPr>
        <w:t>, IMF Working Paper, January 2008</w:t>
      </w:r>
      <w:r w:rsidR="00F320A9" w:rsidRPr="004D26E6">
        <w:rPr>
          <w:sz w:val="24"/>
          <w:szCs w:val="24"/>
        </w:rPr>
        <w:t>.</w:t>
      </w:r>
      <w:r w:rsidRPr="004D26E6">
        <w:rPr>
          <w:sz w:val="24"/>
          <w:szCs w:val="24"/>
        </w:rPr>
        <w:t xml:space="preserve"> https://www.imf.org/external/pubs/ft/wp/2008/wp0807.pdf</w:t>
      </w:r>
    </w:p>
    <w:p w:rsidR="0091526C" w:rsidRPr="004D26E6" w:rsidRDefault="0091526C" w:rsidP="00AC3F78">
      <w:pPr>
        <w:pStyle w:val="FootnoteText"/>
        <w:spacing w:line="480" w:lineRule="auto"/>
        <w:ind w:left="720" w:hanging="720"/>
        <w:rPr>
          <w:sz w:val="24"/>
          <w:szCs w:val="24"/>
        </w:rPr>
      </w:pPr>
      <w:r w:rsidRPr="004D26E6">
        <w:rPr>
          <w:sz w:val="24"/>
          <w:szCs w:val="24"/>
        </w:rPr>
        <w:lastRenderedPageBreak/>
        <w:t xml:space="preserve">Patnaik, Prabhat. "The phenomenal increase in wealth inequality." </w:t>
      </w:r>
      <w:r w:rsidRPr="004D26E6">
        <w:rPr>
          <w:i/>
          <w:iCs/>
          <w:sz w:val="24"/>
          <w:szCs w:val="24"/>
        </w:rPr>
        <w:t>People’s Democracy</w:t>
      </w:r>
      <w:r w:rsidRPr="004D26E6">
        <w:rPr>
          <w:sz w:val="24"/>
          <w:szCs w:val="24"/>
        </w:rPr>
        <w:t> 38, no. 50 (2014).</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Piketty, Thomas and </w:t>
      </w:r>
      <w:proofErr w:type="spellStart"/>
      <w:r w:rsidRPr="004D26E6">
        <w:rPr>
          <w:sz w:val="24"/>
          <w:szCs w:val="24"/>
        </w:rPr>
        <w:t>Goldhammer</w:t>
      </w:r>
      <w:proofErr w:type="spellEnd"/>
      <w:r w:rsidRPr="004D26E6">
        <w:rPr>
          <w:sz w:val="24"/>
          <w:szCs w:val="24"/>
        </w:rPr>
        <w:t xml:space="preserve">, Arthur. </w:t>
      </w:r>
      <w:r w:rsidRPr="004D26E6">
        <w:rPr>
          <w:i/>
          <w:sz w:val="24"/>
          <w:szCs w:val="24"/>
        </w:rPr>
        <w:t>Capital in the Twenty-first Century</w:t>
      </w:r>
      <w:r w:rsidRPr="004D26E6">
        <w:rPr>
          <w:sz w:val="24"/>
          <w:szCs w:val="24"/>
        </w:rPr>
        <w:t>, Cambridge Massachusetts: Belknap Press of Harvard University Press, 2014.</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Piketty, Thomas and </w:t>
      </w:r>
      <w:proofErr w:type="spellStart"/>
      <w:r w:rsidRPr="004D26E6">
        <w:rPr>
          <w:sz w:val="24"/>
          <w:szCs w:val="24"/>
        </w:rPr>
        <w:t>Saez</w:t>
      </w:r>
      <w:proofErr w:type="spellEnd"/>
      <w:r w:rsidRPr="004D26E6">
        <w:rPr>
          <w:sz w:val="24"/>
          <w:szCs w:val="24"/>
        </w:rPr>
        <w:t xml:space="preserve">, Emmanuel. "Income Inequality in the United States, 1913-1998." </w:t>
      </w:r>
      <w:r w:rsidRPr="004D26E6">
        <w:rPr>
          <w:i/>
          <w:sz w:val="24"/>
          <w:szCs w:val="24"/>
        </w:rPr>
        <w:t>The Quarterly Journal of Economics</w:t>
      </w:r>
      <w:r w:rsidRPr="004D26E6">
        <w:rPr>
          <w:sz w:val="24"/>
          <w:szCs w:val="24"/>
        </w:rPr>
        <w:t xml:space="preserve"> 118, no. 1 (2003): 1-39.</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Piketty, Thomas, Emmanuel </w:t>
      </w:r>
      <w:proofErr w:type="spellStart"/>
      <w:r w:rsidRPr="004D26E6">
        <w:rPr>
          <w:sz w:val="24"/>
          <w:szCs w:val="24"/>
        </w:rPr>
        <w:t>Saez</w:t>
      </w:r>
      <w:proofErr w:type="spellEnd"/>
      <w:r w:rsidRPr="004D26E6">
        <w:rPr>
          <w:sz w:val="24"/>
          <w:szCs w:val="24"/>
        </w:rPr>
        <w:t xml:space="preserve">, and Gabriel Zucman, “Economic Growth in the US: A Tale of Two Countries,” </w:t>
      </w:r>
      <w:r w:rsidRPr="004D26E6">
        <w:rPr>
          <w:i/>
          <w:sz w:val="24"/>
          <w:szCs w:val="24"/>
        </w:rPr>
        <w:t>Vox CEPR Policy Portal</w:t>
      </w:r>
      <w:r w:rsidRPr="004D26E6">
        <w:rPr>
          <w:sz w:val="24"/>
          <w:szCs w:val="24"/>
        </w:rPr>
        <w:t>, March 29, 2017. Accessed December 14, 2019. https://voxeu.org/article/economic-growth-us-tale-two-countriessa</w:t>
      </w:r>
    </w:p>
    <w:p w:rsidR="0091526C" w:rsidRPr="004D26E6" w:rsidRDefault="0091526C" w:rsidP="00AC3F78">
      <w:pPr>
        <w:pStyle w:val="FootnoteText"/>
        <w:spacing w:line="480" w:lineRule="auto"/>
        <w:ind w:left="720" w:hanging="720"/>
        <w:rPr>
          <w:sz w:val="24"/>
          <w:szCs w:val="24"/>
        </w:rPr>
      </w:pPr>
      <w:r w:rsidRPr="004D26E6">
        <w:rPr>
          <w:sz w:val="24"/>
          <w:szCs w:val="24"/>
        </w:rPr>
        <w:t>Pollack, Sheldon D. "The First National Income Tax, 1861–1872." </w:t>
      </w:r>
      <w:r w:rsidRPr="004D26E6">
        <w:rPr>
          <w:i/>
          <w:iCs/>
          <w:sz w:val="24"/>
          <w:szCs w:val="24"/>
        </w:rPr>
        <w:t>The Tax Lawyer</w:t>
      </w:r>
      <w:r w:rsidRPr="004D26E6">
        <w:rPr>
          <w:sz w:val="24"/>
          <w:szCs w:val="24"/>
        </w:rPr>
        <w:t> 67, no. 2 (2014): 311-30. Accessed May 3, 2020. www.jstor.org/stable/24247751.</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Price, Lee. “The boom that wasn’t: the economy has little to show for $860 billion in tax cuts.” </w:t>
      </w:r>
      <w:r w:rsidRPr="004D26E6">
        <w:rPr>
          <w:i/>
          <w:iCs/>
          <w:sz w:val="24"/>
          <w:szCs w:val="24"/>
        </w:rPr>
        <w:t>Economic Policy Institute</w:t>
      </w:r>
      <w:r w:rsidRPr="004D26E6">
        <w:rPr>
          <w:sz w:val="24"/>
          <w:szCs w:val="24"/>
        </w:rPr>
        <w:t>, October 25, 2005</w:t>
      </w:r>
      <w:r w:rsidR="00F320A9" w:rsidRPr="004D26E6">
        <w:rPr>
          <w:sz w:val="24"/>
          <w:szCs w:val="24"/>
        </w:rPr>
        <w:t>.</w:t>
      </w:r>
      <w:r w:rsidRPr="004D26E6">
        <w:rPr>
          <w:sz w:val="24"/>
          <w:szCs w:val="24"/>
        </w:rPr>
        <w:t xml:space="preserve"> https://www.epi.org/files/page/-/old/briefingpapers/168/bp168.pdf</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Rabushka</w:t>
      </w:r>
      <w:proofErr w:type="spellEnd"/>
      <w:r w:rsidRPr="004D26E6">
        <w:rPr>
          <w:sz w:val="24"/>
          <w:szCs w:val="24"/>
        </w:rPr>
        <w:t xml:space="preserve">, Alvin. </w:t>
      </w:r>
      <w:r w:rsidRPr="004D26E6">
        <w:rPr>
          <w:i/>
          <w:sz w:val="24"/>
          <w:szCs w:val="24"/>
        </w:rPr>
        <w:t>Taxation in Colonial America</w:t>
      </w:r>
      <w:r w:rsidR="00F320A9" w:rsidRPr="004D26E6">
        <w:rPr>
          <w:sz w:val="24"/>
          <w:szCs w:val="24"/>
        </w:rPr>
        <w:t xml:space="preserve">. </w:t>
      </w:r>
      <w:r w:rsidRPr="004D26E6">
        <w:rPr>
          <w:sz w:val="24"/>
          <w:szCs w:val="24"/>
        </w:rPr>
        <w:t>Princeton: Princeton University Press, 2008.</w:t>
      </w:r>
    </w:p>
    <w:p w:rsidR="0091526C" w:rsidRPr="004D26E6" w:rsidRDefault="0091526C" w:rsidP="00AC3F78">
      <w:pPr>
        <w:pStyle w:val="FootnoteText"/>
        <w:spacing w:line="480" w:lineRule="auto"/>
        <w:ind w:left="720" w:hanging="720"/>
        <w:rPr>
          <w:sz w:val="24"/>
          <w:szCs w:val="24"/>
        </w:rPr>
      </w:pPr>
      <w:r w:rsidRPr="004D26E6">
        <w:rPr>
          <w:sz w:val="24"/>
          <w:szCs w:val="24"/>
        </w:rPr>
        <w:t>Reagan, Ronald. “First Inaugural Address.” January 20, 1981</w:t>
      </w:r>
      <w:r w:rsidR="00F320A9" w:rsidRPr="004D26E6">
        <w:rPr>
          <w:sz w:val="24"/>
          <w:szCs w:val="24"/>
        </w:rPr>
        <w:t>.</w:t>
      </w:r>
      <w:r w:rsidRPr="004D26E6">
        <w:rPr>
          <w:sz w:val="24"/>
          <w:szCs w:val="24"/>
        </w:rPr>
        <w:t xml:space="preserve"> Accessed on December 13, 2019. https://avalon.law.yale.edu/20th_century/reagan1.asp</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Saez</w:t>
      </w:r>
      <w:proofErr w:type="spellEnd"/>
      <w:r w:rsidRPr="004D26E6">
        <w:rPr>
          <w:sz w:val="24"/>
          <w:szCs w:val="24"/>
        </w:rPr>
        <w:t>, Emmanuel, and Zucman, Gabriel. “How would a progressive wealth tax work? Evidence from the economics literature.” February 5, 2019</w:t>
      </w:r>
      <w:r w:rsidR="00F320A9" w:rsidRPr="004D26E6">
        <w:rPr>
          <w:sz w:val="24"/>
          <w:szCs w:val="24"/>
        </w:rPr>
        <w:t>.</w:t>
      </w:r>
      <w:r w:rsidRPr="004D26E6">
        <w:rPr>
          <w:sz w:val="24"/>
          <w:szCs w:val="24"/>
        </w:rPr>
        <w:t xml:space="preserve"> http://gabriel-zucman.eu/files/saez-zucman-wealthtaxobjections.pdf. </w:t>
      </w:r>
    </w:p>
    <w:p w:rsidR="0091526C" w:rsidRPr="004D26E6" w:rsidRDefault="0091526C" w:rsidP="00AC3F78">
      <w:pPr>
        <w:pStyle w:val="FootnoteText"/>
        <w:spacing w:line="480" w:lineRule="auto"/>
        <w:ind w:left="720" w:hanging="720"/>
        <w:rPr>
          <w:sz w:val="24"/>
          <w:szCs w:val="24"/>
        </w:rPr>
      </w:pPr>
      <w:r w:rsidRPr="004D26E6">
        <w:rPr>
          <w:sz w:val="24"/>
          <w:szCs w:val="24"/>
        </w:rPr>
        <w:t>Schaeffer, Katherine. “6 facts about economic inequality in the U.S.</w:t>
      </w:r>
      <w:r w:rsidR="00F320A9" w:rsidRPr="004D26E6">
        <w:rPr>
          <w:sz w:val="24"/>
          <w:szCs w:val="24"/>
        </w:rPr>
        <w:t>.</w:t>
      </w:r>
      <w:r w:rsidRPr="004D26E6">
        <w:rPr>
          <w:sz w:val="24"/>
          <w:szCs w:val="24"/>
        </w:rPr>
        <w:t xml:space="preserve">” </w:t>
      </w:r>
      <w:r w:rsidRPr="004D26E6">
        <w:rPr>
          <w:i/>
          <w:iCs/>
          <w:sz w:val="24"/>
          <w:szCs w:val="24"/>
        </w:rPr>
        <w:t>Pew Research Center,</w:t>
      </w:r>
      <w:r w:rsidRPr="004D26E6">
        <w:rPr>
          <w:sz w:val="24"/>
          <w:szCs w:val="24"/>
        </w:rPr>
        <w:t xml:space="preserve"> February 7, 2020</w:t>
      </w:r>
      <w:r w:rsidR="00F320A9" w:rsidRPr="004D26E6">
        <w:rPr>
          <w:sz w:val="24"/>
          <w:szCs w:val="24"/>
        </w:rPr>
        <w:t>.</w:t>
      </w:r>
      <w:r w:rsidRPr="004D26E6">
        <w:rPr>
          <w:sz w:val="24"/>
          <w:szCs w:val="24"/>
        </w:rPr>
        <w:t xml:space="preserve"> https://www.pewresearch.org/fact-tank/2020/02/07/6-facts-about-economic-inequality-in-the-u-s/ </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lastRenderedPageBreak/>
        <w:t>Scheve</w:t>
      </w:r>
      <w:proofErr w:type="spellEnd"/>
      <w:r w:rsidRPr="004D26E6">
        <w:rPr>
          <w:sz w:val="24"/>
          <w:szCs w:val="24"/>
        </w:rPr>
        <w:t xml:space="preserve">, Kenneth and </w:t>
      </w:r>
      <w:proofErr w:type="spellStart"/>
      <w:r w:rsidRPr="004D26E6">
        <w:rPr>
          <w:sz w:val="24"/>
          <w:szCs w:val="24"/>
        </w:rPr>
        <w:t>Stasavage</w:t>
      </w:r>
      <w:proofErr w:type="spellEnd"/>
      <w:r w:rsidRPr="004D26E6">
        <w:rPr>
          <w:sz w:val="24"/>
          <w:szCs w:val="24"/>
        </w:rPr>
        <w:t xml:space="preserve">, David. "Wealth Inequality and Democracy." </w:t>
      </w:r>
      <w:r w:rsidRPr="004D26E6">
        <w:rPr>
          <w:i/>
          <w:sz w:val="24"/>
          <w:szCs w:val="24"/>
        </w:rPr>
        <w:t>Annual Review of Political Science</w:t>
      </w:r>
      <w:r w:rsidRPr="004D26E6">
        <w:rPr>
          <w:sz w:val="24"/>
          <w:szCs w:val="24"/>
        </w:rPr>
        <w:t xml:space="preserve"> 20 (2017): 1.</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Schreiner, Bruce. “McConnel: Tax bill won’t add to nation’s debt woes,” </w:t>
      </w:r>
      <w:r w:rsidRPr="004D26E6">
        <w:rPr>
          <w:i/>
          <w:iCs/>
          <w:sz w:val="24"/>
          <w:szCs w:val="24"/>
        </w:rPr>
        <w:t>AP News</w:t>
      </w:r>
      <w:r w:rsidRPr="004D26E6">
        <w:rPr>
          <w:sz w:val="24"/>
          <w:szCs w:val="24"/>
        </w:rPr>
        <w:t>, December 2, 2017</w:t>
      </w:r>
      <w:r w:rsidR="00F320A9" w:rsidRPr="004D26E6">
        <w:rPr>
          <w:sz w:val="24"/>
          <w:szCs w:val="24"/>
        </w:rPr>
        <w:t>.</w:t>
      </w:r>
      <w:r w:rsidRPr="004D26E6">
        <w:rPr>
          <w:sz w:val="24"/>
          <w:szCs w:val="24"/>
        </w:rPr>
        <w:t xml:space="preserve"> https://apnews.com/f9a15e799c074474987362ef2403af83/McConnell:-Tax-bill-won't-add-to-nation's-debt-woes. </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Sebastian Beer, S., de </w:t>
      </w:r>
      <w:proofErr w:type="spellStart"/>
      <w:r w:rsidRPr="004D26E6">
        <w:rPr>
          <w:sz w:val="24"/>
          <w:szCs w:val="24"/>
        </w:rPr>
        <w:t>Mooij</w:t>
      </w:r>
      <w:proofErr w:type="spellEnd"/>
      <w:r w:rsidRPr="004D26E6">
        <w:rPr>
          <w:sz w:val="24"/>
          <w:szCs w:val="24"/>
        </w:rPr>
        <w:t xml:space="preserve">, Ruud A., and Liu, L. “International Corporate Tax Avoidance: A Review of the Channels, Magnitudes, and Blind Spots.” </w:t>
      </w:r>
      <w:r w:rsidRPr="004D26E6">
        <w:rPr>
          <w:i/>
          <w:sz w:val="24"/>
          <w:szCs w:val="24"/>
        </w:rPr>
        <w:t>International Monetary Fund</w:t>
      </w:r>
      <w:r w:rsidRPr="004D26E6">
        <w:rPr>
          <w:sz w:val="24"/>
          <w:szCs w:val="24"/>
        </w:rPr>
        <w:t>, July 23, 2018. https://www.imf.org/en/Publications/WP/Issues/2018/07/23/International-Corporate-Tax-Avoidance-A-Review-of-the-Channels-Effect-Size-and-Blind-Spots-45999.</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Seim</w:t>
      </w:r>
      <w:proofErr w:type="spellEnd"/>
      <w:r w:rsidRPr="004D26E6">
        <w:rPr>
          <w:sz w:val="24"/>
          <w:szCs w:val="24"/>
        </w:rPr>
        <w:t>, David</w:t>
      </w:r>
      <w:r w:rsidR="004D26E6" w:rsidRPr="004D26E6">
        <w:rPr>
          <w:sz w:val="24"/>
          <w:szCs w:val="24"/>
        </w:rPr>
        <w:t>.</w:t>
      </w:r>
      <w:r w:rsidRPr="004D26E6">
        <w:rPr>
          <w:sz w:val="24"/>
          <w:szCs w:val="24"/>
        </w:rPr>
        <w:t xml:space="preserve"> “Behavioral responses to an annual wealth tax: evidence from Sweden</w:t>
      </w:r>
      <w:r w:rsidR="004D26E6" w:rsidRPr="004D26E6">
        <w:rPr>
          <w:sz w:val="24"/>
          <w:szCs w:val="24"/>
        </w:rPr>
        <w:t>.</w:t>
      </w:r>
      <w:r w:rsidRPr="004D26E6">
        <w:rPr>
          <w:sz w:val="24"/>
          <w:szCs w:val="24"/>
        </w:rPr>
        <w:t xml:space="preserve">” </w:t>
      </w:r>
      <w:r w:rsidRPr="004D26E6">
        <w:rPr>
          <w:i/>
          <w:iCs/>
          <w:sz w:val="24"/>
          <w:szCs w:val="24"/>
        </w:rPr>
        <w:t>American Economic Journal: Economic Policy</w:t>
      </w:r>
      <w:r w:rsidRPr="004D26E6">
        <w:rPr>
          <w:sz w:val="24"/>
          <w:szCs w:val="24"/>
        </w:rPr>
        <w:t>, vol 9 (4), 395-421</w:t>
      </w:r>
      <w:r w:rsidR="004D26E6" w:rsidRPr="004D26E6">
        <w:rPr>
          <w:sz w:val="24"/>
          <w:szCs w:val="24"/>
        </w:rPr>
        <w:t>.</w:t>
      </w:r>
      <w:r w:rsidRPr="004D26E6">
        <w:rPr>
          <w:sz w:val="24"/>
          <w:szCs w:val="24"/>
        </w:rPr>
        <w:t xml:space="preserve"> https://www8.gsb.columbia.edu/programs/sites/programs/files/finance/Applied%20Microeconomics/David%20Seim.pdf</w:t>
      </w:r>
    </w:p>
    <w:p w:rsidR="0091526C" w:rsidRPr="004D26E6" w:rsidRDefault="0091526C" w:rsidP="00AC3F78">
      <w:pPr>
        <w:pStyle w:val="FootnoteText"/>
        <w:spacing w:line="480" w:lineRule="auto"/>
        <w:ind w:left="720" w:hanging="720"/>
        <w:rPr>
          <w:sz w:val="24"/>
          <w:szCs w:val="24"/>
        </w:rPr>
      </w:pPr>
      <w:proofErr w:type="spellStart"/>
      <w:r w:rsidRPr="004D26E6">
        <w:rPr>
          <w:sz w:val="24"/>
          <w:szCs w:val="24"/>
        </w:rPr>
        <w:t>Seim</w:t>
      </w:r>
      <w:proofErr w:type="spellEnd"/>
      <w:r w:rsidRPr="004D26E6">
        <w:rPr>
          <w:sz w:val="24"/>
          <w:szCs w:val="24"/>
        </w:rPr>
        <w:t xml:space="preserve">, David. “Behavioral responses to an annual wealth tax: evidence from Sweden.” </w:t>
      </w:r>
      <w:r w:rsidRPr="004D26E6">
        <w:rPr>
          <w:i/>
          <w:iCs/>
          <w:sz w:val="24"/>
          <w:szCs w:val="24"/>
        </w:rPr>
        <w:t>American Economic Journal: Economic Policy</w:t>
      </w:r>
      <w:r w:rsidRPr="004D26E6">
        <w:rPr>
          <w:sz w:val="24"/>
          <w:szCs w:val="24"/>
        </w:rPr>
        <w:t>, vol 9 (4), 395-421</w:t>
      </w:r>
      <w:r w:rsidR="004D26E6" w:rsidRPr="004D26E6">
        <w:rPr>
          <w:sz w:val="24"/>
          <w:szCs w:val="24"/>
        </w:rPr>
        <w:t>.</w:t>
      </w:r>
    </w:p>
    <w:p w:rsidR="0091526C" w:rsidRPr="004D26E6" w:rsidRDefault="0091526C" w:rsidP="00AC3F78">
      <w:pPr>
        <w:pStyle w:val="FootnoteText"/>
        <w:spacing w:line="480" w:lineRule="auto"/>
        <w:ind w:left="720" w:hanging="720"/>
        <w:rPr>
          <w:sz w:val="24"/>
          <w:szCs w:val="24"/>
        </w:rPr>
      </w:pPr>
      <w:r w:rsidRPr="004D26E6">
        <w:rPr>
          <w:sz w:val="24"/>
          <w:szCs w:val="24"/>
        </w:rPr>
        <w:t xml:space="preserve">TPC Staff. “Distributional analysis of the conference agreement for the tax cuts and jobs act.” </w:t>
      </w:r>
      <w:r w:rsidRPr="004D26E6">
        <w:rPr>
          <w:i/>
          <w:iCs/>
          <w:sz w:val="24"/>
          <w:szCs w:val="24"/>
        </w:rPr>
        <w:t>Tax Policy Center</w:t>
      </w:r>
      <w:r w:rsidRPr="004D26E6">
        <w:rPr>
          <w:sz w:val="24"/>
          <w:szCs w:val="24"/>
        </w:rPr>
        <w:t>, December 18, 2017. https://www.taxpolicycenter.org/publications/distributional-analysis-conference-agreement-tax-cuts-and-jobs-act/full.</w:t>
      </w:r>
    </w:p>
    <w:p w:rsidR="0091526C" w:rsidRPr="004D26E6" w:rsidRDefault="0091526C" w:rsidP="00AC3F78">
      <w:pPr>
        <w:pStyle w:val="FootnoteText"/>
        <w:spacing w:line="480" w:lineRule="auto"/>
        <w:ind w:left="720" w:hanging="720"/>
        <w:rPr>
          <w:sz w:val="24"/>
          <w:szCs w:val="24"/>
        </w:rPr>
      </w:pPr>
      <w:r w:rsidRPr="004D26E6">
        <w:rPr>
          <w:sz w:val="24"/>
          <w:szCs w:val="24"/>
        </w:rPr>
        <w:t>U.S. Const. amend. XVI.</w:t>
      </w:r>
    </w:p>
    <w:p w:rsidR="0091526C" w:rsidRPr="004D26E6" w:rsidRDefault="0091526C" w:rsidP="00AC3F78">
      <w:pPr>
        <w:pStyle w:val="FootnoteText"/>
        <w:spacing w:line="480" w:lineRule="auto"/>
        <w:ind w:left="720" w:hanging="720"/>
        <w:rPr>
          <w:sz w:val="24"/>
          <w:szCs w:val="24"/>
        </w:rPr>
      </w:pPr>
      <w:r w:rsidRPr="004D26E6">
        <w:rPr>
          <w:sz w:val="24"/>
          <w:szCs w:val="24"/>
        </w:rPr>
        <w:t>Zucman, Gabriel. "Taxing across Borders: Tracking Personal Wealth and Corporate Profits." </w:t>
      </w:r>
      <w:r w:rsidRPr="004D26E6">
        <w:rPr>
          <w:i/>
          <w:iCs/>
          <w:sz w:val="24"/>
          <w:szCs w:val="24"/>
        </w:rPr>
        <w:t>Journal of Economic Perspectives 28</w:t>
      </w:r>
      <w:r w:rsidRPr="004D26E6">
        <w:rPr>
          <w:sz w:val="24"/>
          <w:szCs w:val="24"/>
        </w:rPr>
        <w:t>, no. 4 (2014): 121-48. DOI: 10.1257/jep.28.4.121.</w:t>
      </w:r>
    </w:p>
    <w:p w:rsidR="00AC3F78" w:rsidRDefault="0091526C" w:rsidP="00AC3F78">
      <w:pPr>
        <w:pStyle w:val="FootnoteText"/>
        <w:spacing w:line="480" w:lineRule="auto"/>
        <w:ind w:left="720" w:hanging="720"/>
        <w:rPr>
          <w:sz w:val="24"/>
          <w:szCs w:val="24"/>
        </w:rPr>
      </w:pPr>
      <w:r w:rsidRPr="004D26E6">
        <w:rPr>
          <w:sz w:val="24"/>
          <w:szCs w:val="24"/>
        </w:rPr>
        <w:t xml:space="preserve">Zucman, Gabriel. </w:t>
      </w:r>
      <w:r w:rsidRPr="004D26E6">
        <w:rPr>
          <w:i/>
          <w:sz w:val="24"/>
          <w:szCs w:val="24"/>
        </w:rPr>
        <w:t>The Triumph of Injustice</w:t>
      </w:r>
      <w:r w:rsidR="004D26E6" w:rsidRPr="004D26E6">
        <w:rPr>
          <w:sz w:val="24"/>
          <w:szCs w:val="24"/>
        </w:rPr>
        <w:t xml:space="preserve">. </w:t>
      </w:r>
      <w:r w:rsidRPr="004D26E6">
        <w:rPr>
          <w:sz w:val="24"/>
          <w:szCs w:val="24"/>
        </w:rPr>
        <w:t>New York: W. W. Norton &amp; Company, 2019</w:t>
      </w:r>
      <w:r w:rsidR="004D26E6" w:rsidRPr="004D26E6">
        <w:rPr>
          <w:sz w:val="24"/>
          <w:szCs w:val="24"/>
        </w:rPr>
        <w:t>.</w:t>
      </w:r>
    </w:p>
    <w:p w:rsidR="00AC3F78" w:rsidRDefault="00AC3F78">
      <w:r>
        <w:br w:type="page"/>
      </w:r>
    </w:p>
    <w:p w:rsidR="0091526C" w:rsidRDefault="00AC3F78" w:rsidP="001B7600">
      <w:pPr>
        <w:pStyle w:val="FootnoteText"/>
        <w:spacing w:line="480" w:lineRule="auto"/>
        <w:ind w:left="720" w:hanging="720"/>
        <w:jc w:val="center"/>
        <w:outlineLvl w:val="0"/>
        <w:rPr>
          <w:sz w:val="24"/>
          <w:szCs w:val="24"/>
        </w:rPr>
      </w:pPr>
      <w:bookmarkStart w:id="35" w:name="_Toc39584268"/>
      <w:r>
        <w:rPr>
          <w:sz w:val="24"/>
          <w:szCs w:val="24"/>
        </w:rPr>
        <w:lastRenderedPageBreak/>
        <w:t>Appendix</w:t>
      </w:r>
      <w:bookmarkEnd w:id="35"/>
    </w:p>
    <w:p w:rsidR="00AC3F78" w:rsidRDefault="00AC3F78" w:rsidP="00AC3F78">
      <w:pPr>
        <w:spacing w:line="480" w:lineRule="auto"/>
        <w:jc w:val="center"/>
      </w:pPr>
      <w:r w:rsidRPr="00E1717D">
        <w:rPr>
          <w:noProof/>
        </w:rPr>
        <w:drawing>
          <wp:inline distT="0" distB="0" distL="0" distR="0" wp14:anchorId="1868F336" wp14:editId="0D473098">
            <wp:extent cx="5772150" cy="4329113"/>
            <wp:effectExtent l="0" t="0" r="0" b="1905"/>
            <wp:docPr id="7" name="Content Placeholder 6" descr="A screenshot of a cell phone&#10;&#10;Description automatically generated">
              <a:extLst xmlns:a="http://schemas.openxmlformats.org/drawingml/2006/main">
                <a:ext uri="{FF2B5EF4-FFF2-40B4-BE49-F238E27FC236}">
                  <a16:creationId xmlns:a16="http://schemas.microsoft.com/office/drawing/2014/main" id="{AE3CF96E-4FB6-E840-8A09-9787F0C541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E3CF96E-4FB6-E840-8A09-9787F0C541D5}"/>
                        </a:ext>
                      </a:extLst>
                    </pic:cNvPr>
                    <pic:cNvPicPr>
                      <a:picLocks noGrp="1" noChangeAspect="1"/>
                    </pic:cNvPicPr>
                  </pic:nvPicPr>
                  <pic:blipFill>
                    <a:blip r:embed="rId13"/>
                    <a:stretch>
                      <a:fillRect/>
                    </a:stretch>
                  </pic:blipFill>
                  <pic:spPr>
                    <a:xfrm>
                      <a:off x="0" y="0"/>
                      <a:ext cx="5772150" cy="4329113"/>
                    </a:xfrm>
                    <a:prstGeom prst="rect">
                      <a:avLst/>
                    </a:prstGeom>
                  </pic:spPr>
                </pic:pic>
              </a:graphicData>
            </a:graphic>
          </wp:inline>
        </w:drawing>
      </w:r>
    </w:p>
    <w:p w:rsidR="00AC3F78" w:rsidRDefault="00AC3F78" w:rsidP="00AC3F78">
      <w:pPr>
        <w:spacing w:line="480" w:lineRule="auto"/>
      </w:pPr>
      <w:r w:rsidRPr="00E1717D">
        <w:rPr>
          <w:i/>
        </w:rPr>
        <w:t>Figure 1</w:t>
      </w:r>
      <w:r>
        <w:t xml:space="preserve">. Depicts evolution of federal corporate tax revenue and individual income tax revenue since 1913. After a sharp increase during WWII, the individual income tax has remained relatively stable, while the corporate income tax has been slashed significantly. </w:t>
      </w:r>
    </w:p>
    <w:p w:rsidR="00AC3F78" w:rsidRDefault="00AC3F78" w:rsidP="00AC3F78">
      <w:pPr>
        <w:spacing w:line="480" w:lineRule="auto"/>
      </w:pPr>
      <w:r>
        <w:t xml:space="preserve">Source: </w:t>
      </w:r>
      <w:r w:rsidRPr="00CF6ED4">
        <w:t>Zucman</w:t>
      </w:r>
      <w:r>
        <w:t xml:space="preserve">, Gabriel, </w:t>
      </w:r>
      <w:r w:rsidRPr="00CF6ED4">
        <w:rPr>
          <w:i/>
        </w:rPr>
        <w:t>The Triumph of Injustice</w:t>
      </w:r>
      <w:r>
        <w:t>,</w:t>
      </w:r>
      <w:r w:rsidRPr="00CF6ED4">
        <w:t xml:space="preserve"> New York: W. W. Norton &amp; Company, 2019.</w:t>
      </w:r>
    </w:p>
    <w:p w:rsidR="00AC3F78" w:rsidRDefault="00AC3F78" w:rsidP="00AC3F78">
      <w:pPr>
        <w:spacing w:line="480" w:lineRule="auto"/>
      </w:pPr>
      <w:r>
        <w:rPr>
          <w:noProof/>
        </w:rPr>
        <w:lastRenderedPageBreak/>
        <w:drawing>
          <wp:inline distT="0" distB="0" distL="0" distR="0" wp14:anchorId="7F1FDFC0" wp14:editId="04D7D339">
            <wp:extent cx="5943600" cy="4608830"/>
            <wp:effectExtent l="0" t="0" r="0" b="127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6 at 7.49.4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rsidR="00AC3F78" w:rsidRDefault="00AC3F78" w:rsidP="00AC3F78">
      <w:pPr>
        <w:spacing w:line="480" w:lineRule="auto"/>
      </w:pPr>
      <w:r w:rsidRPr="00E1717D">
        <w:rPr>
          <w:i/>
        </w:rPr>
        <w:t>Figure 2</w:t>
      </w:r>
      <w:r>
        <w:t>. Depicts the evolution of macroeconomic tax rates on capital income, labor income, and total income since 1915. Originally, the tax rate for capital income was unequivocally higher than that for labor income. In 2018, for the first time, the tax rate on labor is higher than on capital.</w:t>
      </w:r>
    </w:p>
    <w:p w:rsidR="00AC3F78" w:rsidRDefault="00AC3F78" w:rsidP="00AC3F78">
      <w:pPr>
        <w:spacing w:line="480" w:lineRule="auto"/>
      </w:pPr>
      <w:r>
        <w:t xml:space="preserve">Source: </w:t>
      </w:r>
      <w:r w:rsidRPr="00CF6ED4">
        <w:t>Zucman</w:t>
      </w:r>
      <w:r>
        <w:t xml:space="preserve">, Gabriel, </w:t>
      </w:r>
      <w:r w:rsidRPr="00CF6ED4">
        <w:rPr>
          <w:i/>
        </w:rPr>
        <w:t>The Triumph of Injustice</w:t>
      </w:r>
      <w:r>
        <w:t>,</w:t>
      </w:r>
      <w:r w:rsidRPr="00CF6ED4">
        <w:t xml:space="preserve"> New York: W. W. Norton &amp; Company, 2019.</w:t>
      </w:r>
    </w:p>
    <w:p w:rsidR="00AC3F78" w:rsidRDefault="00AC3F78" w:rsidP="00AC3F78">
      <w:pPr>
        <w:spacing w:line="480" w:lineRule="auto"/>
      </w:pPr>
    </w:p>
    <w:p w:rsidR="00AC3F78" w:rsidRPr="00E1717D" w:rsidRDefault="00AC3F78" w:rsidP="00AC3F78">
      <w:pPr>
        <w:rPr>
          <w:rFonts w:ascii="Times New Roman" w:eastAsia="Times New Roman" w:hAnsi="Times New Roman" w:cs="Times New Roman"/>
        </w:rPr>
      </w:pPr>
      <w:r w:rsidRPr="00E1717D">
        <w:rPr>
          <w:rFonts w:ascii="Times New Roman" w:eastAsia="Times New Roman" w:hAnsi="Times New Roman" w:cs="Times New Roman"/>
        </w:rPr>
        <w:lastRenderedPageBreak/>
        <w:fldChar w:fldCharType="begin"/>
      </w:r>
      <w:r w:rsidRPr="00E1717D">
        <w:rPr>
          <w:rFonts w:ascii="Times New Roman" w:eastAsia="Times New Roman" w:hAnsi="Times New Roman" w:cs="Times New Roman"/>
        </w:rPr>
        <w:instrText xml:space="preserve"> INCLUDEPICTURE "http://synapse9.com/issues/Piketty_r-v-g.jpg" \* MERGEFORMATINET </w:instrText>
      </w:r>
      <w:r w:rsidRPr="00E1717D">
        <w:rPr>
          <w:rFonts w:ascii="Times New Roman" w:eastAsia="Times New Roman" w:hAnsi="Times New Roman" w:cs="Times New Roman"/>
        </w:rPr>
        <w:fldChar w:fldCharType="separate"/>
      </w:r>
      <w:r w:rsidRPr="00E1717D">
        <w:rPr>
          <w:rFonts w:ascii="Times New Roman" w:eastAsia="Times New Roman" w:hAnsi="Times New Roman" w:cs="Times New Roman"/>
          <w:noProof/>
        </w:rPr>
        <w:drawing>
          <wp:inline distT="0" distB="0" distL="0" distR="0" wp14:anchorId="66CED898" wp14:editId="28582379">
            <wp:extent cx="5943600" cy="4234180"/>
            <wp:effectExtent l="0" t="0" r="0" b="0"/>
            <wp:docPr id="2" name="Picture 2" descr="Image result for r &gt; g chart pike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 &gt; g chart piket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r w:rsidRPr="00E1717D">
        <w:rPr>
          <w:rFonts w:ascii="Times New Roman" w:eastAsia="Times New Roman" w:hAnsi="Times New Roman" w:cs="Times New Roman"/>
        </w:rPr>
        <w:fldChar w:fldCharType="end"/>
      </w:r>
    </w:p>
    <w:p w:rsidR="00AC3F78" w:rsidRDefault="00AC3F78" w:rsidP="00AC3F78">
      <w:pPr>
        <w:spacing w:line="480" w:lineRule="auto"/>
      </w:pPr>
    </w:p>
    <w:p w:rsidR="00AC3F78" w:rsidRDefault="00AC3F78" w:rsidP="00AC3F78">
      <w:pPr>
        <w:spacing w:line="480" w:lineRule="auto"/>
      </w:pPr>
      <w:r w:rsidRPr="00E1717D">
        <w:rPr>
          <w:i/>
        </w:rPr>
        <w:t>Figure 3</w:t>
      </w:r>
      <w:r>
        <w:t xml:space="preserve">. The rate of return on capital (r) almost always exceeds the economy’s growth rate (g), such that r &gt; g. This tends to concentrate wealth in a small portion of the population making it easier to grow and perpetuate large fortunes. </w:t>
      </w:r>
    </w:p>
    <w:p w:rsidR="00AC3F78" w:rsidRDefault="00AC3F78" w:rsidP="00AC3F78">
      <w:pPr>
        <w:spacing w:line="480" w:lineRule="auto"/>
      </w:pPr>
      <w:r>
        <w:t xml:space="preserve">Source: </w:t>
      </w:r>
      <w:r w:rsidRPr="00CF6ED4">
        <w:t xml:space="preserve">Piketty, Thomas, and Arthur </w:t>
      </w:r>
      <w:proofErr w:type="spellStart"/>
      <w:r w:rsidRPr="00CF6ED4">
        <w:t>Goldhammer</w:t>
      </w:r>
      <w:proofErr w:type="spellEnd"/>
      <w:r>
        <w:t>,</w:t>
      </w:r>
      <w:r w:rsidRPr="00CF6ED4">
        <w:t xml:space="preserve"> </w:t>
      </w:r>
      <w:r w:rsidRPr="00CF6ED4">
        <w:rPr>
          <w:i/>
        </w:rPr>
        <w:t>Capital in the Twenty-first Century</w:t>
      </w:r>
      <w:r>
        <w:t>,</w:t>
      </w:r>
      <w:r w:rsidRPr="00CF6ED4">
        <w:t xml:space="preserve"> Cambridge Massachusetts: Belknap Press of Harvard University Press, 2014.</w:t>
      </w:r>
    </w:p>
    <w:p w:rsidR="00AC3F78" w:rsidRDefault="00AC3F78" w:rsidP="00AC3F78">
      <w:pPr>
        <w:spacing w:line="480" w:lineRule="auto"/>
        <w:rPr>
          <w:i/>
        </w:rPr>
      </w:pPr>
    </w:p>
    <w:p w:rsidR="00AC3F78" w:rsidRDefault="00AC3F78" w:rsidP="00AC3F78">
      <w:pPr>
        <w:spacing w:line="480" w:lineRule="auto"/>
      </w:pPr>
    </w:p>
    <w:p w:rsidR="00AC3F78" w:rsidRDefault="00AC3F78" w:rsidP="00AC3F78">
      <w:pPr>
        <w:spacing w:line="480" w:lineRule="auto"/>
      </w:pPr>
      <w:r>
        <w:rPr>
          <w:noProof/>
        </w:rPr>
        <w:lastRenderedPageBreak/>
        <w:drawing>
          <wp:inline distT="0" distB="0" distL="0" distR="0" wp14:anchorId="5855B425" wp14:editId="6AECCB73">
            <wp:extent cx="5943600" cy="348424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6 at 8.40.3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84245"/>
                    </a:xfrm>
                    <a:prstGeom prst="rect">
                      <a:avLst/>
                    </a:prstGeom>
                  </pic:spPr>
                </pic:pic>
              </a:graphicData>
            </a:graphic>
          </wp:inline>
        </w:drawing>
      </w:r>
    </w:p>
    <w:p w:rsidR="00AC3F78" w:rsidRDefault="00AC3F78" w:rsidP="00AC3F78">
      <w:pPr>
        <w:spacing w:line="480" w:lineRule="auto"/>
      </w:pPr>
      <w:r w:rsidRPr="00E1717D">
        <w:rPr>
          <w:i/>
        </w:rPr>
        <w:t>Figure 4</w:t>
      </w:r>
      <w:r>
        <w:t>. Bottom 50% vs. Top 1% as a share of national income. Changes in fiscal policy can be attributed for the trends presented herein.</w:t>
      </w:r>
    </w:p>
    <w:p w:rsidR="00AC3F78" w:rsidRPr="00E1717D" w:rsidRDefault="00AC3F78" w:rsidP="00AC3F78">
      <w:pPr>
        <w:spacing w:line="480" w:lineRule="auto"/>
      </w:pPr>
      <w:r>
        <w:t xml:space="preserve">Source: </w:t>
      </w:r>
      <w:r w:rsidRPr="00E1717D">
        <w:t xml:space="preserve">Thomas Piketty &amp; Emmanuel </w:t>
      </w:r>
      <w:proofErr w:type="spellStart"/>
      <w:r w:rsidRPr="00E1717D">
        <w:t>Saez</w:t>
      </w:r>
      <w:proofErr w:type="spellEnd"/>
      <w:r w:rsidRPr="00E1717D">
        <w:t xml:space="preserve"> &amp; Gabriel Zucman, "Distributional National Accounts: Methods and Estimates for the United States*," </w:t>
      </w:r>
      <w:r w:rsidRPr="00E1717D">
        <w:rPr>
          <w:i/>
        </w:rPr>
        <w:t>The Quarterly Journal of Economics</w:t>
      </w:r>
      <w:r>
        <w:t xml:space="preserve"> 133</w:t>
      </w:r>
      <w:r w:rsidRPr="00E1717D">
        <w:t>,</w:t>
      </w:r>
      <w:r>
        <w:t xml:space="preserve"> no. 2 (2018)</w:t>
      </w:r>
      <w:r w:rsidRPr="00E1717D">
        <w:t xml:space="preserve"> 553-609.</w:t>
      </w:r>
    </w:p>
    <w:p w:rsidR="00953081" w:rsidRDefault="00953081" w:rsidP="00953081">
      <w:pPr>
        <w:keepNext/>
        <w:spacing w:line="480" w:lineRule="auto"/>
      </w:pPr>
      <w:r>
        <w:rPr>
          <w:noProof/>
          <w:color w:val="000000" w:themeColor="text1"/>
        </w:rPr>
        <w:lastRenderedPageBreak/>
        <w:drawing>
          <wp:inline distT="0" distB="0" distL="0" distR="0" wp14:anchorId="17758398" wp14:editId="12461D29">
            <wp:extent cx="5622202" cy="3634105"/>
            <wp:effectExtent l="0" t="0" r="4445"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5 at 3.48.16 PM.png"/>
                    <pic:cNvPicPr/>
                  </pic:nvPicPr>
                  <pic:blipFill>
                    <a:blip r:embed="rId12">
                      <a:extLst>
                        <a:ext uri="{28A0092B-C50C-407E-A947-70E740481C1C}">
                          <a14:useLocalDpi xmlns:a14="http://schemas.microsoft.com/office/drawing/2010/main" val="0"/>
                        </a:ext>
                      </a:extLst>
                    </a:blip>
                    <a:stretch>
                      <a:fillRect/>
                    </a:stretch>
                  </pic:blipFill>
                  <pic:spPr>
                    <a:xfrm>
                      <a:off x="0" y="0"/>
                      <a:ext cx="5673023" cy="3666955"/>
                    </a:xfrm>
                    <a:prstGeom prst="rect">
                      <a:avLst/>
                    </a:prstGeom>
                  </pic:spPr>
                </pic:pic>
              </a:graphicData>
            </a:graphic>
          </wp:inline>
        </w:drawing>
      </w:r>
    </w:p>
    <w:p w:rsidR="00873A3B" w:rsidRDefault="00953081" w:rsidP="00953081">
      <w:pPr>
        <w:pStyle w:val="Caption"/>
        <w:rPr>
          <w:i w:val="0"/>
          <w:iCs w:val="0"/>
          <w:color w:val="000000" w:themeColor="text1"/>
          <w:sz w:val="24"/>
          <w:szCs w:val="24"/>
        </w:rPr>
      </w:pPr>
      <w:r w:rsidRPr="00953081">
        <w:rPr>
          <w:color w:val="000000" w:themeColor="text1"/>
          <w:sz w:val="24"/>
          <w:szCs w:val="24"/>
        </w:rPr>
        <w:t>Figure 5.</w:t>
      </w:r>
      <w:r w:rsidRPr="00953081">
        <w:rPr>
          <w:color w:val="000000" w:themeColor="text1"/>
        </w:rPr>
        <w:t xml:space="preserve"> </w:t>
      </w:r>
      <w:r w:rsidRPr="00953081">
        <w:rPr>
          <w:i w:val="0"/>
          <w:iCs w:val="0"/>
          <w:color w:val="000000" w:themeColor="text1"/>
          <w:sz w:val="24"/>
          <w:szCs w:val="24"/>
        </w:rPr>
        <w:t>Timeline of fiscal policy change in the 20</w:t>
      </w:r>
      <w:r w:rsidRPr="00953081">
        <w:rPr>
          <w:i w:val="0"/>
          <w:iCs w:val="0"/>
          <w:color w:val="000000" w:themeColor="text1"/>
          <w:sz w:val="24"/>
          <w:szCs w:val="24"/>
          <w:vertAlign w:val="superscript"/>
        </w:rPr>
        <w:t>th</w:t>
      </w:r>
      <w:r w:rsidRPr="00953081">
        <w:rPr>
          <w:i w:val="0"/>
          <w:iCs w:val="0"/>
          <w:color w:val="000000" w:themeColor="text1"/>
          <w:sz w:val="24"/>
          <w:szCs w:val="24"/>
        </w:rPr>
        <w:t xml:space="preserve"> century.</w:t>
      </w:r>
    </w:p>
    <w:p w:rsidR="00953081" w:rsidRPr="00873A3B" w:rsidRDefault="00873A3B" w:rsidP="00873A3B">
      <w:pPr>
        <w:rPr>
          <w:color w:val="000000" w:themeColor="text1"/>
        </w:rPr>
      </w:pPr>
      <w:r>
        <w:rPr>
          <w:i/>
          <w:iCs/>
          <w:color w:val="000000" w:themeColor="text1"/>
        </w:rPr>
        <w:br w:type="page"/>
      </w:r>
    </w:p>
    <w:p w:rsidR="00AC3F78" w:rsidRDefault="00AC3F78" w:rsidP="00AC3F78">
      <w:pPr>
        <w:spacing w:line="480" w:lineRule="auto"/>
      </w:pPr>
      <w:r>
        <w:rPr>
          <w:noProof/>
        </w:rPr>
        <w:lastRenderedPageBreak/>
        <w:drawing>
          <wp:inline distT="0" distB="0" distL="0" distR="0" wp14:anchorId="1945FD15" wp14:editId="2D0ABD50">
            <wp:extent cx="5943600" cy="3212465"/>
            <wp:effectExtent l="0" t="0" r="0" b="635"/>
            <wp:docPr id="8"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16 at 8.43.3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rsidR="00AC3F78" w:rsidRDefault="00AC3F78" w:rsidP="00AC3F78">
      <w:pPr>
        <w:spacing w:line="480" w:lineRule="auto"/>
      </w:pPr>
      <w:r w:rsidRPr="00E1717D">
        <w:rPr>
          <w:i/>
        </w:rPr>
        <w:t xml:space="preserve">Figure </w:t>
      </w:r>
      <w:r w:rsidR="00953081">
        <w:rPr>
          <w:i/>
        </w:rPr>
        <w:t>6</w:t>
      </w:r>
      <w:r>
        <w:t>. The bottom 50% of income earners have been virtually shut off from economic growth since the 1970s. While average national income grew (1980-2014) by 61%, the average pre-tax income of the bottom 50% of income earners stagnated at $16,000 per adult.</w:t>
      </w:r>
    </w:p>
    <w:p w:rsidR="00873A3B" w:rsidRDefault="00AC3F78" w:rsidP="00AC3F78">
      <w:pPr>
        <w:spacing w:line="480" w:lineRule="auto"/>
      </w:pPr>
      <w:r>
        <w:t xml:space="preserve">Source: </w:t>
      </w:r>
      <w:r w:rsidRPr="00E1717D">
        <w:t xml:space="preserve">Thomas Piketty &amp; Emmanuel </w:t>
      </w:r>
      <w:proofErr w:type="spellStart"/>
      <w:r w:rsidRPr="00E1717D">
        <w:t>Saez</w:t>
      </w:r>
      <w:proofErr w:type="spellEnd"/>
      <w:r w:rsidRPr="00E1717D">
        <w:t xml:space="preserve"> &amp; Gabriel Zucman, "Distributional National Accounts: Methods and Estimates for the United States*," </w:t>
      </w:r>
      <w:r w:rsidRPr="00E1717D">
        <w:rPr>
          <w:i/>
        </w:rPr>
        <w:t>The Quarterly Journal of Economics</w:t>
      </w:r>
      <w:r>
        <w:t xml:space="preserve"> 133</w:t>
      </w:r>
      <w:r w:rsidRPr="00E1717D">
        <w:t>,</w:t>
      </w:r>
      <w:r>
        <w:t xml:space="preserve"> no. 2 (2018)</w:t>
      </w:r>
      <w:r w:rsidRPr="00E1717D">
        <w:t xml:space="preserve"> 553-609.</w:t>
      </w:r>
    </w:p>
    <w:p w:rsidR="00AC3F78" w:rsidRDefault="00873A3B" w:rsidP="00873A3B">
      <w:r>
        <w:br w:type="page"/>
      </w:r>
    </w:p>
    <w:tbl>
      <w:tblPr>
        <w:tblStyle w:val="TableGrid"/>
        <w:tblW w:w="0" w:type="auto"/>
        <w:tblLook w:val="04A0" w:firstRow="1" w:lastRow="0" w:firstColumn="1" w:lastColumn="0" w:noHBand="0" w:noVBand="1"/>
      </w:tblPr>
      <w:tblGrid>
        <w:gridCol w:w="2337"/>
        <w:gridCol w:w="2337"/>
        <w:gridCol w:w="2701"/>
        <w:gridCol w:w="1975"/>
      </w:tblGrid>
      <w:tr w:rsidR="00AC3F78" w:rsidTr="00CC0E73">
        <w:tc>
          <w:tcPr>
            <w:tcW w:w="2337" w:type="dxa"/>
          </w:tcPr>
          <w:p w:rsidR="00AC3F78" w:rsidRDefault="00AC3F78" w:rsidP="00AC3F78">
            <w:pPr>
              <w:spacing w:line="480" w:lineRule="auto"/>
            </w:pPr>
            <w:r>
              <w:lastRenderedPageBreak/>
              <w:t>Policy</w:t>
            </w:r>
          </w:p>
        </w:tc>
        <w:tc>
          <w:tcPr>
            <w:tcW w:w="2337" w:type="dxa"/>
          </w:tcPr>
          <w:p w:rsidR="00AC3F78" w:rsidRDefault="00AD59C2" w:rsidP="00AC3F78">
            <w:pPr>
              <w:spacing w:line="480" w:lineRule="auto"/>
            </w:pPr>
            <w:r>
              <w:t>Efficacy</w:t>
            </w:r>
          </w:p>
        </w:tc>
        <w:tc>
          <w:tcPr>
            <w:tcW w:w="2701" w:type="dxa"/>
          </w:tcPr>
          <w:p w:rsidR="00AC3F78" w:rsidRDefault="00AD59C2" w:rsidP="00AC3F78">
            <w:pPr>
              <w:spacing w:line="480" w:lineRule="auto"/>
            </w:pPr>
            <w:r>
              <w:t>Political Feasibility</w:t>
            </w:r>
          </w:p>
        </w:tc>
        <w:tc>
          <w:tcPr>
            <w:tcW w:w="1975" w:type="dxa"/>
          </w:tcPr>
          <w:p w:rsidR="00AC3F78" w:rsidRDefault="00CC0E73" w:rsidP="00AC3F78">
            <w:pPr>
              <w:spacing w:line="480" w:lineRule="auto"/>
            </w:pPr>
            <w:r>
              <w:t>Economic Impact</w:t>
            </w:r>
          </w:p>
        </w:tc>
      </w:tr>
      <w:tr w:rsidR="00AC3F78" w:rsidTr="00CC0E73">
        <w:tc>
          <w:tcPr>
            <w:tcW w:w="2337" w:type="dxa"/>
          </w:tcPr>
          <w:p w:rsidR="00AC3F78" w:rsidRDefault="00142D14" w:rsidP="00AC3F78">
            <w:pPr>
              <w:spacing w:line="480" w:lineRule="auto"/>
            </w:pPr>
            <w:r>
              <w:t>Corporate Tax</w:t>
            </w:r>
          </w:p>
        </w:tc>
        <w:tc>
          <w:tcPr>
            <w:tcW w:w="2337" w:type="dxa"/>
          </w:tcPr>
          <w:p w:rsidR="00AC3F78" w:rsidRDefault="00142D14" w:rsidP="00AC3F78">
            <w:pPr>
              <w:spacing w:line="480" w:lineRule="auto"/>
            </w:pPr>
            <w:r>
              <w:t>Medium</w:t>
            </w:r>
          </w:p>
        </w:tc>
        <w:tc>
          <w:tcPr>
            <w:tcW w:w="2701" w:type="dxa"/>
          </w:tcPr>
          <w:p w:rsidR="00AC3F78" w:rsidRDefault="00142D14" w:rsidP="00AC3F78">
            <w:pPr>
              <w:spacing w:line="480" w:lineRule="auto"/>
            </w:pPr>
            <w:r>
              <w:t>Republican: Low</w:t>
            </w:r>
          </w:p>
          <w:p w:rsidR="00142D14" w:rsidRDefault="00142D14" w:rsidP="00AC3F78">
            <w:pPr>
              <w:spacing w:line="480" w:lineRule="auto"/>
            </w:pPr>
            <w:r>
              <w:t>Democratic: High</w:t>
            </w:r>
          </w:p>
          <w:p w:rsidR="00142D14" w:rsidRDefault="00142D14" w:rsidP="00AC3F78">
            <w:pPr>
              <w:spacing w:line="480" w:lineRule="auto"/>
            </w:pPr>
            <w:r>
              <w:t xml:space="preserve">Overall: </w:t>
            </w:r>
            <w:r w:rsidR="009B475C">
              <w:t>Low</w:t>
            </w:r>
          </w:p>
        </w:tc>
        <w:tc>
          <w:tcPr>
            <w:tcW w:w="1975" w:type="dxa"/>
          </w:tcPr>
          <w:p w:rsidR="00AC3F78" w:rsidRDefault="00AC3F78" w:rsidP="00AC3F78">
            <w:pPr>
              <w:spacing w:line="480" w:lineRule="auto"/>
            </w:pPr>
            <w:r>
              <w:t>Low</w:t>
            </w:r>
          </w:p>
        </w:tc>
      </w:tr>
      <w:tr w:rsidR="00AC3F78" w:rsidTr="00CC0E73">
        <w:tc>
          <w:tcPr>
            <w:tcW w:w="2337" w:type="dxa"/>
          </w:tcPr>
          <w:p w:rsidR="00AC3F78" w:rsidRDefault="00142D14" w:rsidP="00AC3F78">
            <w:pPr>
              <w:spacing w:line="480" w:lineRule="auto"/>
            </w:pPr>
            <w:r>
              <w:t>Income Tax</w:t>
            </w:r>
          </w:p>
        </w:tc>
        <w:tc>
          <w:tcPr>
            <w:tcW w:w="2337" w:type="dxa"/>
          </w:tcPr>
          <w:p w:rsidR="00AC3F78" w:rsidRDefault="00CC0E73" w:rsidP="00AC3F78">
            <w:pPr>
              <w:spacing w:line="480" w:lineRule="auto"/>
            </w:pPr>
            <w:r>
              <w:t>High</w:t>
            </w:r>
          </w:p>
        </w:tc>
        <w:tc>
          <w:tcPr>
            <w:tcW w:w="2701" w:type="dxa"/>
          </w:tcPr>
          <w:p w:rsidR="00AC3F78" w:rsidRDefault="00CC0E73" w:rsidP="00AC3F78">
            <w:pPr>
              <w:spacing w:line="480" w:lineRule="auto"/>
            </w:pPr>
            <w:r>
              <w:t>Republican: Medium</w:t>
            </w:r>
          </w:p>
          <w:p w:rsidR="00CC0E73" w:rsidRDefault="00CC0E73" w:rsidP="00AC3F78">
            <w:pPr>
              <w:spacing w:line="480" w:lineRule="auto"/>
            </w:pPr>
            <w:r>
              <w:t>Democratic: High</w:t>
            </w:r>
          </w:p>
          <w:p w:rsidR="00CC0E73" w:rsidRDefault="00CC0E73" w:rsidP="00AC3F78">
            <w:pPr>
              <w:spacing w:line="480" w:lineRule="auto"/>
            </w:pPr>
            <w:r>
              <w:t>Overall: Medium</w:t>
            </w:r>
          </w:p>
        </w:tc>
        <w:tc>
          <w:tcPr>
            <w:tcW w:w="1975" w:type="dxa"/>
          </w:tcPr>
          <w:p w:rsidR="00AC3F78" w:rsidRDefault="00CC0E73" w:rsidP="00AC3F78">
            <w:pPr>
              <w:spacing w:line="480" w:lineRule="auto"/>
            </w:pPr>
            <w:r>
              <w:t>Low</w:t>
            </w:r>
          </w:p>
        </w:tc>
      </w:tr>
      <w:tr w:rsidR="00AC3F78" w:rsidTr="00CC0E73">
        <w:tc>
          <w:tcPr>
            <w:tcW w:w="2337" w:type="dxa"/>
          </w:tcPr>
          <w:p w:rsidR="00AC3F78" w:rsidRDefault="00142D14" w:rsidP="00AC3F78">
            <w:pPr>
              <w:spacing w:line="480" w:lineRule="auto"/>
            </w:pPr>
            <w:r>
              <w:t>Wealth Tax</w:t>
            </w:r>
          </w:p>
        </w:tc>
        <w:tc>
          <w:tcPr>
            <w:tcW w:w="2337" w:type="dxa"/>
          </w:tcPr>
          <w:p w:rsidR="00AC3F78" w:rsidRDefault="00CC0E73" w:rsidP="00AC3F78">
            <w:pPr>
              <w:spacing w:line="480" w:lineRule="auto"/>
            </w:pPr>
            <w:r>
              <w:t>Medium</w:t>
            </w:r>
          </w:p>
        </w:tc>
        <w:tc>
          <w:tcPr>
            <w:tcW w:w="2701" w:type="dxa"/>
          </w:tcPr>
          <w:p w:rsidR="00AC3F78" w:rsidRDefault="00CC0E73" w:rsidP="00AC3F78">
            <w:pPr>
              <w:spacing w:line="480" w:lineRule="auto"/>
            </w:pPr>
            <w:r>
              <w:t>Republican: Medium/Low</w:t>
            </w:r>
          </w:p>
          <w:p w:rsidR="00CC0E73" w:rsidRDefault="00CC0E73" w:rsidP="00AC3F78">
            <w:pPr>
              <w:spacing w:line="480" w:lineRule="auto"/>
            </w:pPr>
            <w:r>
              <w:t>Democratic: High</w:t>
            </w:r>
          </w:p>
          <w:p w:rsidR="00CC0E73" w:rsidRDefault="00CC0E73" w:rsidP="00AC3F78">
            <w:pPr>
              <w:spacing w:line="480" w:lineRule="auto"/>
            </w:pPr>
            <w:r>
              <w:t>Overall: Medium/Low</w:t>
            </w:r>
          </w:p>
        </w:tc>
        <w:tc>
          <w:tcPr>
            <w:tcW w:w="1975" w:type="dxa"/>
          </w:tcPr>
          <w:p w:rsidR="00AC3F78" w:rsidRDefault="00145A9D" w:rsidP="00AC3F78">
            <w:pPr>
              <w:spacing w:line="480" w:lineRule="auto"/>
            </w:pPr>
            <w:r>
              <w:t>Low</w:t>
            </w:r>
          </w:p>
        </w:tc>
      </w:tr>
      <w:tr w:rsidR="00AC3F78" w:rsidTr="00CC0E73">
        <w:tc>
          <w:tcPr>
            <w:tcW w:w="2337" w:type="dxa"/>
          </w:tcPr>
          <w:p w:rsidR="00AC3F78" w:rsidRDefault="00142D14" w:rsidP="00AC3F78">
            <w:pPr>
              <w:spacing w:line="480" w:lineRule="auto"/>
            </w:pPr>
            <w:r>
              <w:t>Tax Avoidance</w:t>
            </w:r>
          </w:p>
        </w:tc>
        <w:tc>
          <w:tcPr>
            <w:tcW w:w="2337" w:type="dxa"/>
          </w:tcPr>
          <w:p w:rsidR="00AC3F78" w:rsidRDefault="00145A9D" w:rsidP="00AC3F78">
            <w:pPr>
              <w:spacing w:line="480" w:lineRule="auto"/>
            </w:pPr>
            <w:r>
              <w:t>High</w:t>
            </w:r>
          </w:p>
        </w:tc>
        <w:tc>
          <w:tcPr>
            <w:tcW w:w="2701" w:type="dxa"/>
          </w:tcPr>
          <w:p w:rsidR="00AC3F78" w:rsidRDefault="00145A9D" w:rsidP="00AC3F78">
            <w:pPr>
              <w:spacing w:line="480" w:lineRule="auto"/>
            </w:pPr>
            <w:r>
              <w:t>Republican: Medium</w:t>
            </w:r>
          </w:p>
          <w:p w:rsidR="00145A9D" w:rsidRDefault="00145A9D" w:rsidP="00AC3F78">
            <w:pPr>
              <w:spacing w:line="480" w:lineRule="auto"/>
            </w:pPr>
            <w:r>
              <w:t>Democratic: Medium</w:t>
            </w:r>
          </w:p>
          <w:p w:rsidR="00145A9D" w:rsidRDefault="00145A9D" w:rsidP="00AC3F78">
            <w:pPr>
              <w:spacing w:line="480" w:lineRule="auto"/>
            </w:pPr>
            <w:r>
              <w:t>Overall: Medium</w:t>
            </w:r>
          </w:p>
        </w:tc>
        <w:tc>
          <w:tcPr>
            <w:tcW w:w="1975" w:type="dxa"/>
          </w:tcPr>
          <w:p w:rsidR="00AC3F78" w:rsidRDefault="00145A9D" w:rsidP="00AC3F78">
            <w:pPr>
              <w:spacing w:line="480" w:lineRule="auto"/>
            </w:pPr>
            <w:r>
              <w:t>Low</w:t>
            </w:r>
          </w:p>
        </w:tc>
      </w:tr>
    </w:tbl>
    <w:p w:rsidR="00AC3F78" w:rsidRDefault="00AC3F78" w:rsidP="00AC3F78">
      <w:pPr>
        <w:spacing w:line="480" w:lineRule="auto"/>
      </w:pPr>
    </w:p>
    <w:p w:rsidR="00AC3F78" w:rsidRPr="004D26E6" w:rsidRDefault="00AC3F78" w:rsidP="00AC3F78">
      <w:pPr>
        <w:spacing w:line="480" w:lineRule="auto"/>
      </w:pPr>
      <w:r w:rsidRPr="00BF06A1">
        <w:rPr>
          <w:i/>
          <w:iCs/>
        </w:rPr>
        <w:t xml:space="preserve">Table </w:t>
      </w:r>
      <w:r w:rsidR="004732AF" w:rsidRPr="00BF06A1">
        <w:rPr>
          <w:i/>
          <w:iCs/>
        </w:rPr>
        <w:t>1</w:t>
      </w:r>
      <w:r>
        <w:t xml:space="preserve">. </w:t>
      </w:r>
      <w:r w:rsidR="00BF06A1">
        <w:t>Policy Alternatives and Evaluations</w:t>
      </w:r>
    </w:p>
    <w:sectPr w:rsidR="00AC3F78" w:rsidRPr="004D26E6" w:rsidSect="00303F77">
      <w:headerReference w:type="default" r:id="rId16"/>
      <w:headerReference w:type="firs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7E55" w:rsidRDefault="00127E55" w:rsidP="00CA4559">
      <w:r>
        <w:separator/>
      </w:r>
    </w:p>
  </w:endnote>
  <w:endnote w:type="continuationSeparator" w:id="0">
    <w:p w:rsidR="00127E55" w:rsidRDefault="00127E55" w:rsidP="00CA4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7E55" w:rsidRDefault="00127E55" w:rsidP="00CA4559">
      <w:r>
        <w:separator/>
      </w:r>
    </w:p>
  </w:footnote>
  <w:footnote w:type="continuationSeparator" w:id="0">
    <w:p w:rsidR="00127E55" w:rsidRDefault="00127E55" w:rsidP="00CA4559">
      <w:r>
        <w:continuationSeparator/>
      </w:r>
    </w:p>
  </w:footnote>
  <w:footnote w:id="1">
    <w:p w:rsidR="004732AF" w:rsidRDefault="004732AF" w:rsidP="00CA4559">
      <w:pPr>
        <w:pStyle w:val="FootnoteText"/>
      </w:pPr>
      <w:r>
        <w:rPr>
          <w:rStyle w:val="FootnoteReference"/>
        </w:rPr>
        <w:footnoteRef/>
      </w:r>
      <w:r>
        <w:t xml:space="preserve"> James D. </w:t>
      </w:r>
      <w:proofErr w:type="spellStart"/>
      <w:r>
        <w:t>Gwartney</w:t>
      </w:r>
      <w:proofErr w:type="spellEnd"/>
      <w:r>
        <w:t xml:space="preserve">, “Supply-side economics,” </w:t>
      </w:r>
      <w:r w:rsidRPr="007C02FB">
        <w:rPr>
          <w:i/>
        </w:rPr>
        <w:t>The Library of Economics and Liberty</w:t>
      </w:r>
      <w:r>
        <w:t xml:space="preserve">. Accessed December 8, 2019. </w:t>
      </w:r>
      <w:r w:rsidRPr="007C02FB">
        <w:t>https://www.econlib.org/library/Enc/SupplySideEconomics.html</w:t>
      </w:r>
    </w:p>
  </w:footnote>
  <w:footnote w:id="2">
    <w:p w:rsidR="004732AF" w:rsidRDefault="004732AF" w:rsidP="00CA4559">
      <w:pPr>
        <w:pStyle w:val="FootnoteText"/>
      </w:pPr>
      <w:r>
        <w:rPr>
          <w:rStyle w:val="FootnoteReference"/>
        </w:rPr>
        <w:footnoteRef/>
      </w:r>
      <w:r>
        <w:t xml:space="preserve"> Tamas K. Papp and </w:t>
      </w:r>
      <w:proofErr w:type="spellStart"/>
      <w:r>
        <w:t>Elod</w:t>
      </w:r>
      <w:proofErr w:type="spellEnd"/>
      <w:r>
        <w:t xml:space="preserve"> </w:t>
      </w:r>
      <w:proofErr w:type="spellStart"/>
      <w:r>
        <w:t>Takats</w:t>
      </w:r>
      <w:proofErr w:type="spellEnd"/>
      <w:r>
        <w:t>, “Tax rate cuts and tax compliance- the Laffer curve revisited</w:t>
      </w:r>
      <w:r w:rsidRPr="00D2397B">
        <w:rPr>
          <w:i/>
          <w:iCs/>
        </w:rPr>
        <w:t>,” International Monetary Fund</w:t>
      </w:r>
      <w:r>
        <w:t xml:space="preserve">, IMF Working Paper, January 2008, </w:t>
      </w:r>
      <w:r w:rsidRPr="004732AF">
        <w:t>https://www.imf.org/external/pubs/ft/wp/2008/wp0807.pdf</w:t>
      </w:r>
    </w:p>
  </w:footnote>
  <w:footnote w:id="3">
    <w:p w:rsidR="004732AF" w:rsidRDefault="004732AF" w:rsidP="00CA4559">
      <w:pPr>
        <w:pStyle w:val="FootnoteText"/>
      </w:pPr>
      <w:r>
        <w:rPr>
          <w:rStyle w:val="FootnoteReference"/>
        </w:rPr>
        <w:footnoteRef/>
      </w:r>
      <w:r>
        <w:t xml:space="preserve"> Alan Murray, “‘Dynamic’ Scoring Ends Debate on Taxes, Revenue,” </w:t>
      </w:r>
      <w:r w:rsidRPr="007C02FB">
        <w:rPr>
          <w:i/>
        </w:rPr>
        <w:t>The Wall Street Journal</w:t>
      </w:r>
      <w:r>
        <w:t xml:space="preserve">, March 4, 2003. </w:t>
      </w:r>
      <w:r w:rsidRPr="007C02FB">
        <w:t>https://www-wsj-com.ezp-prod1.hul.harvard.edu/articles/SB104914900445465800</w:t>
      </w:r>
    </w:p>
  </w:footnote>
  <w:footnote w:id="4">
    <w:p w:rsidR="004732AF" w:rsidRDefault="004732AF" w:rsidP="00CA4559">
      <w:pPr>
        <w:pStyle w:val="FootnoteText"/>
      </w:pPr>
      <w:r>
        <w:rPr>
          <w:rStyle w:val="FootnoteReference"/>
        </w:rPr>
        <w:footnoteRef/>
      </w:r>
      <w:r>
        <w:t xml:space="preserve"> Michael </w:t>
      </w:r>
      <w:proofErr w:type="spellStart"/>
      <w:r>
        <w:t>Ettlinger</w:t>
      </w:r>
      <w:proofErr w:type="spellEnd"/>
      <w:r>
        <w:t xml:space="preserve"> and Michael Linden, </w:t>
      </w:r>
      <w:r w:rsidR="00D2397B">
        <w:t>“</w:t>
      </w:r>
      <w:r>
        <w:t>The Failure of Supply-Side Economics,</w:t>
      </w:r>
      <w:r w:rsidR="00D2397B">
        <w:t>”</w:t>
      </w:r>
      <w:r>
        <w:t xml:space="preserve"> </w:t>
      </w:r>
      <w:r w:rsidRPr="00D2397B">
        <w:rPr>
          <w:i/>
          <w:iCs/>
        </w:rPr>
        <w:t>Center for American Progress</w:t>
      </w:r>
      <w:r>
        <w:t xml:space="preserve">, </w:t>
      </w:r>
      <w:r w:rsidR="00D2397B">
        <w:t xml:space="preserve">August 1, 2012, </w:t>
      </w:r>
      <w:r w:rsidRPr="004732AF">
        <w:t>https://www.americanprogress.org/issues/economy/news/2012/08/01/11998/the-failure-of-supply-side-economics/</w:t>
      </w:r>
    </w:p>
  </w:footnote>
  <w:footnote w:id="5">
    <w:p w:rsidR="004732AF" w:rsidRDefault="004732AF" w:rsidP="00CA4559">
      <w:pPr>
        <w:pStyle w:val="FootnoteText"/>
      </w:pPr>
      <w:r>
        <w:rPr>
          <w:rStyle w:val="FootnoteReference"/>
        </w:rPr>
        <w:footnoteRef/>
      </w:r>
      <w:r>
        <w:t xml:space="preserve"> </w:t>
      </w:r>
      <w:proofErr w:type="spellStart"/>
      <w:r>
        <w:t>Ettlinger</w:t>
      </w:r>
      <w:proofErr w:type="spellEnd"/>
      <w:r>
        <w:t>, Failure of Supply, Center for American Progress</w:t>
      </w:r>
    </w:p>
  </w:footnote>
  <w:footnote w:id="6">
    <w:p w:rsidR="004732AF" w:rsidRDefault="004732AF" w:rsidP="00CA4559">
      <w:pPr>
        <w:pStyle w:val="FootnoteText"/>
      </w:pPr>
      <w:r>
        <w:rPr>
          <w:rStyle w:val="FootnoteReference"/>
        </w:rPr>
        <w:footnoteRef/>
      </w:r>
      <w:r>
        <w:t xml:space="preserve"> </w:t>
      </w:r>
      <w:proofErr w:type="spellStart"/>
      <w:r>
        <w:t>Ettlinger</w:t>
      </w:r>
      <w:proofErr w:type="spellEnd"/>
      <w:r>
        <w:t>, Failure of Supply, Center for American Progress</w:t>
      </w:r>
    </w:p>
  </w:footnote>
  <w:footnote w:id="7">
    <w:p w:rsidR="004732AF" w:rsidRDefault="004732AF" w:rsidP="00CA4559">
      <w:pPr>
        <w:pStyle w:val="FootnoteText"/>
      </w:pPr>
      <w:r>
        <w:rPr>
          <w:rStyle w:val="FootnoteReference"/>
        </w:rPr>
        <w:footnoteRef/>
      </w:r>
      <w:r>
        <w:t xml:space="preserve"> </w:t>
      </w:r>
      <w:proofErr w:type="spellStart"/>
      <w:r>
        <w:t>Ettlinger</w:t>
      </w:r>
      <w:proofErr w:type="spellEnd"/>
      <w:r>
        <w:t xml:space="preserve">, </w:t>
      </w:r>
      <w:r w:rsidR="00D2397B">
        <w:t>“</w:t>
      </w:r>
      <w:r>
        <w:t>Failure of Supply,</w:t>
      </w:r>
      <w:r w:rsidR="00D2397B">
        <w:t>”</w:t>
      </w:r>
      <w:r>
        <w:t xml:space="preserve"> </w:t>
      </w:r>
      <w:r w:rsidRPr="00D2397B">
        <w:rPr>
          <w:i/>
          <w:iCs/>
        </w:rPr>
        <w:t>Center for American Progress</w:t>
      </w:r>
      <w:r w:rsidR="00D2397B">
        <w:t>.</w:t>
      </w:r>
    </w:p>
  </w:footnote>
  <w:footnote w:id="8">
    <w:p w:rsidR="00735E21" w:rsidRDefault="00735E21">
      <w:pPr>
        <w:pStyle w:val="FootnoteText"/>
      </w:pPr>
      <w:r>
        <w:rPr>
          <w:rStyle w:val="FootnoteReference"/>
        </w:rPr>
        <w:footnoteRef/>
      </w:r>
      <w:r>
        <w:t xml:space="preserve"> “Economists’ statement opposing the Bush tax cuts,” </w:t>
      </w:r>
      <w:r w:rsidRPr="00735E21">
        <w:rPr>
          <w:i/>
          <w:iCs/>
        </w:rPr>
        <w:t>Economic Policy Institute</w:t>
      </w:r>
      <w:r>
        <w:t xml:space="preserve">, 2003, </w:t>
      </w:r>
      <w:r w:rsidRPr="00735E21">
        <w:t>https://www.epi.org/files/page/-/old/stmt/2003/statement_signed.pdf</w:t>
      </w:r>
    </w:p>
  </w:footnote>
  <w:footnote w:id="9">
    <w:p w:rsidR="004732AF" w:rsidRDefault="004732AF" w:rsidP="00CA4559">
      <w:pPr>
        <w:pStyle w:val="FootnoteText"/>
      </w:pPr>
      <w:r>
        <w:rPr>
          <w:rStyle w:val="FootnoteReference"/>
        </w:rPr>
        <w:footnoteRef/>
      </w:r>
      <w:r>
        <w:t xml:space="preserve"> Lee Price, “The boom that wasn’t: the economy has little to show for $860 billion in tax cuts,” </w:t>
      </w:r>
      <w:r w:rsidRPr="006F48B1">
        <w:rPr>
          <w:i/>
          <w:iCs/>
        </w:rPr>
        <w:t>Economic Policy Institute</w:t>
      </w:r>
      <w:r>
        <w:t xml:space="preserve">, October 25, 2005, </w:t>
      </w:r>
      <w:r w:rsidRPr="004732AF">
        <w:t>https://www.epi.org/files/page/-/old/briefingpapers/168/bp168.pdf</w:t>
      </w:r>
    </w:p>
  </w:footnote>
  <w:footnote w:id="10">
    <w:p w:rsidR="004732AF" w:rsidRDefault="004732AF" w:rsidP="00CA4559">
      <w:pPr>
        <w:pStyle w:val="FootnoteText"/>
      </w:pPr>
      <w:r>
        <w:rPr>
          <w:rStyle w:val="FootnoteReference"/>
        </w:rPr>
        <w:footnoteRef/>
      </w:r>
      <w:r>
        <w:t xml:space="preserve"> Damian </w:t>
      </w:r>
      <w:proofErr w:type="spellStart"/>
      <w:r>
        <w:t>Paletta</w:t>
      </w:r>
      <w:proofErr w:type="spellEnd"/>
      <w:r>
        <w:t xml:space="preserve"> and Max </w:t>
      </w:r>
      <w:proofErr w:type="spellStart"/>
      <w:r>
        <w:t>Ehrenfreund</w:t>
      </w:r>
      <w:proofErr w:type="spellEnd"/>
      <w:r w:rsidR="00D2397B">
        <w:t>, “</w:t>
      </w:r>
      <w:r>
        <w:t>Trump’s treasury secretary: The tax cut ‘will pay for itself</w:t>
      </w:r>
      <w:r w:rsidR="00D2397B">
        <w:t>,</w:t>
      </w:r>
      <w:r>
        <w:t>’</w:t>
      </w:r>
      <w:r w:rsidR="00D2397B">
        <w:t>”</w:t>
      </w:r>
      <w:r>
        <w:t xml:space="preserve"> </w:t>
      </w:r>
      <w:r w:rsidRPr="00D2397B">
        <w:rPr>
          <w:i/>
          <w:iCs/>
        </w:rPr>
        <w:t>The Washington Post</w:t>
      </w:r>
      <w:r>
        <w:t xml:space="preserve">, April 20, 2017, </w:t>
      </w:r>
      <w:r w:rsidRPr="004732AF">
        <w:t>https://www.washingtonpost.com/news/wonk/wp/2017/04/20/trumps-treasury-secretary-the-tax-cut-will-pay-for-itself/</w:t>
      </w:r>
      <w:r>
        <w:t>.</w:t>
      </w:r>
    </w:p>
  </w:footnote>
  <w:footnote w:id="11">
    <w:p w:rsidR="004732AF" w:rsidRDefault="004732AF" w:rsidP="00CA4559">
      <w:pPr>
        <w:pStyle w:val="FootnoteText"/>
      </w:pPr>
      <w:r>
        <w:rPr>
          <w:rStyle w:val="FootnoteReference"/>
        </w:rPr>
        <w:footnoteRef/>
      </w:r>
      <w:r>
        <w:t xml:space="preserve"> Bruce Schreiner. McConnel: Tax bill won’t add to nation’s debt woes. AP News. December 2, 2017. </w:t>
      </w:r>
      <w:r w:rsidRPr="004732AF">
        <w:t>https://apnews.com/f9a15e799c074474987362ef2403af83/McConnell:-Tax-bill-won't-add-to-nation's-debt-woes</w:t>
      </w:r>
      <w:r>
        <w:t xml:space="preserve">. </w:t>
      </w:r>
    </w:p>
  </w:footnote>
  <w:footnote w:id="12">
    <w:p w:rsidR="004732AF" w:rsidRDefault="004732AF" w:rsidP="00CA4559">
      <w:pPr>
        <w:pStyle w:val="FootnoteText"/>
      </w:pPr>
      <w:r>
        <w:rPr>
          <w:rStyle w:val="FootnoteReference"/>
        </w:rPr>
        <w:footnoteRef/>
      </w:r>
      <w:r>
        <w:t xml:space="preserve"> Scott Horsley</w:t>
      </w:r>
      <w:r w:rsidR="00D2397B">
        <w:t>, “</w:t>
      </w:r>
      <w:r>
        <w:t>After 2 Years, Trump’s Tax Cuts Have Failed To Deliver on GOP’s Promises</w:t>
      </w:r>
      <w:r w:rsidR="00D2397B">
        <w:t xml:space="preserve">,” </w:t>
      </w:r>
      <w:r>
        <w:t>NPR</w:t>
      </w:r>
      <w:r w:rsidR="00D2397B">
        <w:t>,</w:t>
      </w:r>
      <w:r>
        <w:t xml:space="preserve"> December 20, 2019</w:t>
      </w:r>
      <w:r w:rsidR="00D2397B">
        <w:t>,</w:t>
      </w:r>
      <w:r>
        <w:t xml:space="preserve"> </w:t>
      </w:r>
      <w:r w:rsidRPr="004732AF">
        <w:t>https://www.npr.org/2019/12/20/789540931/2-years-later-trump-tax-cuts-have-failed-to-deliver-on-gops-promises</w:t>
      </w:r>
    </w:p>
  </w:footnote>
  <w:footnote w:id="13">
    <w:p w:rsidR="004732AF" w:rsidRDefault="004732AF" w:rsidP="00CA4559">
      <w:pPr>
        <w:pStyle w:val="FootnoteText"/>
      </w:pPr>
      <w:r>
        <w:rPr>
          <w:rStyle w:val="FootnoteReference"/>
        </w:rPr>
        <w:footnoteRef/>
      </w:r>
      <w:r>
        <w:t xml:space="preserve"> </w:t>
      </w:r>
      <w:r w:rsidR="00D2397B">
        <w:t>“</w:t>
      </w:r>
      <w:r>
        <w:t>Treasury: 2018 Deficit was $779 Billion</w:t>
      </w:r>
      <w:r w:rsidR="00D2397B">
        <w:t>,”</w:t>
      </w:r>
      <w:r>
        <w:t xml:space="preserve"> </w:t>
      </w:r>
      <w:r w:rsidRPr="00D2397B">
        <w:rPr>
          <w:i/>
          <w:iCs/>
        </w:rPr>
        <w:t>Committee for a Responsible Federal Budget</w:t>
      </w:r>
      <w:r w:rsidR="00D2397B">
        <w:t>,</w:t>
      </w:r>
      <w:r>
        <w:t xml:space="preserve"> October 15, 2018</w:t>
      </w:r>
      <w:r w:rsidR="00D2397B">
        <w:t>,</w:t>
      </w:r>
      <w:r>
        <w:t xml:space="preserve"> </w:t>
      </w:r>
      <w:r w:rsidRPr="004732AF">
        <w:t>http://www.crfb.org/blogs/treasury-2018-deficit-was-779-billion</w:t>
      </w:r>
    </w:p>
  </w:footnote>
  <w:footnote w:id="14">
    <w:p w:rsidR="004732AF" w:rsidRDefault="004732AF" w:rsidP="00CA4559">
      <w:pPr>
        <w:pStyle w:val="FootnoteText"/>
      </w:pPr>
      <w:r>
        <w:rPr>
          <w:rStyle w:val="FootnoteReference"/>
        </w:rPr>
        <w:footnoteRef/>
      </w:r>
      <w:r>
        <w:t xml:space="preserve"> Galen Hendricks and Seth Hanlon, </w:t>
      </w:r>
      <w:r w:rsidR="00D2397B">
        <w:t>“</w:t>
      </w:r>
      <w:r>
        <w:t>The TCJA 2 Years Later: Corporations, Not Workers, Are the Big Winners,</w:t>
      </w:r>
      <w:r w:rsidR="00D2397B">
        <w:t>”</w:t>
      </w:r>
      <w:r>
        <w:t xml:space="preserve"> Center for American Progress, </w:t>
      </w:r>
      <w:r w:rsidR="00D2397B">
        <w:t xml:space="preserve">December 19, 2019, </w:t>
      </w:r>
      <w:r w:rsidRPr="004732AF">
        <w:t>https://www.americanprogress.org/issues/economy/news/2019/12/19/478924/tcja-2-years-later-corporations-not-workers-big-winners/</w:t>
      </w:r>
    </w:p>
  </w:footnote>
  <w:footnote w:id="15">
    <w:p w:rsidR="00953081" w:rsidRDefault="00953081">
      <w:pPr>
        <w:pStyle w:val="FootnoteText"/>
      </w:pPr>
      <w:r>
        <w:rPr>
          <w:rStyle w:val="FootnoteReference"/>
        </w:rPr>
        <w:footnoteRef/>
      </w:r>
      <w:r>
        <w:t xml:space="preserve"> See </w:t>
      </w:r>
      <w:r w:rsidRPr="00953081">
        <w:rPr>
          <w:i/>
          <w:iCs/>
        </w:rPr>
        <w:t>Figure 1</w:t>
      </w:r>
      <w:r>
        <w:t xml:space="preserve"> and </w:t>
      </w:r>
      <w:r w:rsidRPr="00953081">
        <w:rPr>
          <w:i/>
          <w:iCs/>
        </w:rPr>
        <w:t>Figure 2</w:t>
      </w:r>
      <w:r>
        <w:t xml:space="preserve"> in Appendix.</w:t>
      </w:r>
    </w:p>
  </w:footnote>
  <w:footnote w:id="16">
    <w:p w:rsidR="004732AF" w:rsidRDefault="004732AF" w:rsidP="00CA4559">
      <w:pPr>
        <w:pStyle w:val="FootnoteText"/>
      </w:pPr>
      <w:r>
        <w:rPr>
          <w:rStyle w:val="FootnoteReference"/>
        </w:rPr>
        <w:footnoteRef/>
      </w:r>
      <w:r>
        <w:t xml:space="preserve"> Katherine Schaeffer, “6 facts about economic inequality in the U.S.,” </w:t>
      </w:r>
      <w:r w:rsidRPr="00D2397B">
        <w:rPr>
          <w:i/>
          <w:iCs/>
        </w:rPr>
        <w:t>Pew Research Center</w:t>
      </w:r>
      <w:r>
        <w:t xml:space="preserve">, February 7, 2020, </w:t>
      </w:r>
      <w:r w:rsidRPr="004732AF">
        <w:t>https://www.pewresearch.org/fact-tank/2020/02/07/6-facts-about-economic-inequality-in-the-u-s/</w:t>
      </w:r>
    </w:p>
  </w:footnote>
  <w:footnote w:id="17">
    <w:p w:rsidR="004732AF" w:rsidRDefault="004732AF" w:rsidP="00CA4559">
      <w:pPr>
        <w:pStyle w:val="FootnoteText"/>
      </w:pPr>
      <w:r>
        <w:rPr>
          <w:rStyle w:val="FootnoteReference"/>
        </w:rPr>
        <w:footnoteRef/>
      </w:r>
      <w:r>
        <w:t xml:space="preserve"> Greg </w:t>
      </w:r>
      <w:proofErr w:type="spellStart"/>
      <w:r>
        <w:t>Leiserson</w:t>
      </w:r>
      <w:proofErr w:type="spellEnd"/>
      <w:r>
        <w:t xml:space="preserve">, Will McGrew, Raksha </w:t>
      </w:r>
      <w:proofErr w:type="spellStart"/>
      <w:r>
        <w:t>Kopparam</w:t>
      </w:r>
      <w:proofErr w:type="spellEnd"/>
      <w:r w:rsidR="00D2397B">
        <w:t>, “</w:t>
      </w:r>
      <w:r>
        <w:t>The distribution of wealth in the United States and implications for a net worth tax</w:t>
      </w:r>
      <w:r w:rsidR="00D2397B">
        <w:t xml:space="preserve">,” </w:t>
      </w:r>
      <w:r w:rsidRPr="00D2397B">
        <w:rPr>
          <w:i/>
          <w:iCs/>
        </w:rPr>
        <w:t>Washington Center for Equitable Growth</w:t>
      </w:r>
      <w:r w:rsidR="00D2397B">
        <w:t>,</w:t>
      </w:r>
      <w:r>
        <w:t xml:space="preserve"> March 21, 2019</w:t>
      </w:r>
      <w:r w:rsidR="00D2397B">
        <w:t>,</w:t>
      </w:r>
      <w:r>
        <w:t xml:space="preserve"> </w:t>
      </w:r>
      <w:r w:rsidRPr="004732AF">
        <w:t>https://equitablegrowth.org/the-distribution-of-wealth-in-the-united-states-and-implications-for-a-net-worth-tax/#footnote-2</w:t>
      </w:r>
    </w:p>
  </w:footnote>
  <w:footnote w:id="18">
    <w:p w:rsidR="004732AF" w:rsidRPr="008F3800" w:rsidRDefault="004732AF" w:rsidP="00CA4559">
      <w:pPr>
        <w:pStyle w:val="FootnoteText"/>
        <w:rPr>
          <w:i/>
          <w:iCs/>
        </w:rPr>
      </w:pPr>
      <w:r>
        <w:rPr>
          <w:rStyle w:val="FootnoteReference"/>
        </w:rPr>
        <w:footnoteRef/>
      </w:r>
      <w:r>
        <w:t xml:space="preserve"> Zucman</w:t>
      </w:r>
      <w:r w:rsidR="008F3800">
        <w:t xml:space="preserve">, </w:t>
      </w:r>
      <w:r w:rsidR="008F3800" w:rsidRPr="008F3800">
        <w:rPr>
          <w:i/>
          <w:iCs/>
        </w:rPr>
        <w:t>Triumph</w:t>
      </w:r>
    </w:p>
  </w:footnote>
  <w:footnote w:id="19">
    <w:p w:rsidR="004732AF" w:rsidRDefault="004732AF" w:rsidP="00CA4559">
      <w:pPr>
        <w:pStyle w:val="FootnoteText"/>
      </w:pPr>
      <w:r>
        <w:rPr>
          <w:rStyle w:val="FootnoteReference"/>
        </w:rPr>
        <w:footnoteRef/>
      </w:r>
      <w:r>
        <w:t xml:space="preserve"> Joseph Stiglitz, 2014, The Price of Inequality: How Today’s Divided Society Endangers Our Future. </w:t>
      </w:r>
    </w:p>
  </w:footnote>
  <w:footnote w:id="20">
    <w:p w:rsidR="004732AF" w:rsidRDefault="004732AF" w:rsidP="00CA4559">
      <w:pPr>
        <w:pStyle w:val="FootnoteText"/>
      </w:pPr>
      <w:r>
        <w:rPr>
          <w:rStyle w:val="FootnoteReference"/>
        </w:rPr>
        <w:footnoteRef/>
      </w:r>
      <w:r>
        <w:t xml:space="preserve"> </w:t>
      </w:r>
      <w:proofErr w:type="spellStart"/>
      <w:r>
        <w:t>Frederico</w:t>
      </w:r>
      <w:proofErr w:type="spellEnd"/>
      <w:r>
        <w:t xml:space="preserve"> </w:t>
      </w:r>
      <w:proofErr w:type="spellStart"/>
      <w:r>
        <w:t>Cingano</w:t>
      </w:r>
      <w:proofErr w:type="spellEnd"/>
      <w:r w:rsidR="00D2397B">
        <w:t>, “</w:t>
      </w:r>
      <w:r>
        <w:t>Trends in Income Inequality and its Impact on Economic Growth</w:t>
      </w:r>
      <w:r w:rsidR="00D2397B">
        <w:t xml:space="preserve">,” </w:t>
      </w:r>
      <w:r w:rsidRPr="00D2397B">
        <w:rPr>
          <w:i/>
          <w:iCs/>
        </w:rPr>
        <w:t>OECD Social, Employment, and Migration</w:t>
      </w:r>
      <w:r>
        <w:t xml:space="preserve"> Working Papers, No. 163, OECD Publishing, </w:t>
      </w:r>
      <w:r w:rsidRPr="004732AF">
        <w:t>http://www.oecd.org/els/soc/trends-in-income-inequality-and-its-impact-on-economic-growth-SEM-WP163.pdf</w:t>
      </w:r>
    </w:p>
  </w:footnote>
  <w:footnote w:id="21">
    <w:p w:rsidR="004732AF" w:rsidRDefault="004732AF" w:rsidP="00CA4559">
      <w:pPr>
        <w:pStyle w:val="FootnoteText"/>
      </w:pPr>
      <w:r>
        <w:rPr>
          <w:rStyle w:val="FootnoteReference"/>
        </w:rPr>
        <w:footnoteRef/>
      </w:r>
      <w:r>
        <w:t xml:space="preserve"> Jonathan Davis</w:t>
      </w:r>
      <w:r w:rsidR="00D2397B">
        <w:t>,</w:t>
      </w:r>
      <w:r>
        <w:t xml:space="preserve"> </w:t>
      </w:r>
      <w:r w:rsidR="00D2397B">
        <w:t>“</w:t>
      </w:r>
      <w:r>
        <w:t>The Decline in Intergenerational Mobility After 1980</w:t>
      </w:r>
      <w:r w:rsidR="00D2397B">
        <w:t>,”</w:t>
      </w:r>
      <w:r>
        <w:t xml:space="preserve"> </w:t>
      </w:r>
      <w:r w:rsidRPr="00D2397B">
        <w:rPr>
          <w:i/>
          <w:iCs/>
        </w:rPr>
        <w:t>Federal Reserve Bank of Minneapolis</w:t>
      </w:r>
      <w:r w:rsidR="00D2397B">
        <w:t>,</w:t>
      </w:r>
      <w:r>
        <w:t xml:space="preserve"> July 2017</w:t>
      </w:r>
      <w:r w:rsidR="00D2397B">
        <w:t>,</w:t>
      </w:r>
      <w:r>
        <w:t xml:space="preserve"> </w:t>
      </w:r>
      <w:r w:rsidRPr="004732AF">
        <w:t>https://www.minneapolisfed.org/institute/working-papers/17-21.pdf</w:t>
      </w:r>
      <w:r>
        <w:t xml:space="preserve"> </w:t>
      </w:r>
    </w:p>
  </w:footnote>
  <w:footnote w:id="22">
    <w:p w:rsidR="004732AF" w:rsidRDefault="004732AF">
      <w:pPr>
        <w:pStyle w:val="FootnoteText"/>
      </w:pPr>
      <w:r>
        <w:rPr>
          <w:rStyle w:val="FootnoteReference"/>
        </w:rPr>
        <w:footnoteRef/>
      </w:r>
      <w:r>
        <w:t xml:space="preserve"> </w:t>
      </w:r>
      <w:r w:rsidRPr="008C426C">
        <w:t>Prabhat</w:t>
      </w:r>
      <w:r>
        <w:t xml:space="preserve"> Patnaik,</w:t>
      </w:r>
      <w:r w:rsidRPr="008C426C">
        <w:t xml:space="preserve"> "The phenomenal increase in wealth inequality</w:t>
      </w:r>
      <w:r>
        <w:t>,</w:t>
      </w:r>
      <w:r w:rsidRPr="008C426C">
        <w:t>"</w:t>
      </w:r>
      <w:r>
        <w:t xml:space="preserve"> </w:t>
      </w:r>
      <w:r w:rsidRPr="008C426C">
        <w:rPr>
          <w:i/>
          <w:iCs/>
        </w:rPr>
        <w:t>People’s Democracy</w:t>
      </w:r>
      <w:r w:rsidRPr="008C426C">
        <w:t> 38, no. 50 (2014).</w:t>
      </w:r>
    </w:p>
  </w:footnote>
  <w:footnote w:id="23">
    <w:p w:rsidR="004732AF" w:rsidRDefault="004732AF" w:rsidP="00ED1A41">
      <w:pPr>
        <w:pStyle w:val="FootnoteText"/>
      </w:pPr>
      <w:r>
        <w:rPr>
          <w:rStyle w:val="FootnoteReference"/>
        </w:rPr>
        <w:footnoteRef/>
      </w:r>
      <w:r>
        <w:t xml:space="preserve"> </w:t>
      </w:r>
      <w:r w:rsidRPr="001A4D0B">
        <w:t>OECD, </w:t>
      </w:r>
      <w:r w:rsidRPr="001A4D0B">
        <w:rPr>
          <w:i/>
          <w:iCs/>
        </w:rPr>
        <w:t>In It Together: Why Less Inequality Benefits All</w:t>
      </w:r>
      <w:r w:rsidRPr="001A4D0B">
        <w:t xml:space="preserve">, </w:t>
      </w:r>
      <w:r>
        <w:t xml:space="preserve">(Paris: </w:t>
      </w:r>
      <w:r w:rsidRPr="001A4D0B">
        <w:t>OECD Publishing,</w:t>
      </w:r>
      <w:r>
        <w:t xml:space="preserve"> 2015).</w:t>
      </w:r>
      <w:r w:rsidRPr="0012408B">
        <w:t xml:space="preserve"> https://doi.org/10.1787/9789264235120-en</w:t>
      </w:r>
      <w:r w:rsidRPr="001A4D0B">
        <w:t>.</w:t>
      </w:r>
    </w:p>
  </w:footnote>
  <w:footnote w:id="24">
    <w:p w:rsidR="004732AF" w:rsidRDefault="004732AF" w:rsidP="00ED1A41">
      <w:pPr>
        <w:pStyle w:val="FootnoteText"/>
      </w:pPr>
      <w:r>
        <w:rPr>
          <w:rStyle w:val="FootnoteReference"/>
        </w:rPr>
        <w:footnoteRef/>
      </w:r>
      <w:r>
        <w:t xml:space="preserve"> Alvin </w:t>
      </w:r>
      <w:proofErr w:type="spellStart"/>
      <w:r>
        <w:t>Rabushka</w:t>
      </w:r>
      <w:proofErr w:type="spellEnd"/>
      <w:r>
        <w:t xml:space="preserve">, </w:t>
      </w:r>
      <w:r w:rsidRPr="007C02FB">
        <w:rPr>
          <w:i/>
        </w:rPr>
        <w:t>Taxation in Colonial America</w:t>
      </w:r>
      <w:r>
        <w:t>, (Princeton: Princeton University Press, 2008).</w:t>
      </w:r>
    </w:p>
  </w:footnote>
  <w:footnote w:id="25">
    <w:p w:rsidR="004732AF" w:rsidRDefault="004732AF" w:rsidP="00ED1A41">
      <w:pPr>
        <w:pStyle w:val="FootnoteText"/>
      </w:pPr>
      <w:r>
        <w:rPr>
          <w:rStyle w:val="FootnoteReference"/>
        </w:rPr>
        <w:footnoteRef/>
      </w:r>
      <w:r>
        <w:t xml:space="preserve"> </w:t>
      </w:r>
      <w:r w:rsidRPr="008C426C">
        <w:t>Robin L.</w:t>
      </w:r>
      <w:r>
        <w:t xml:space="preserve"> Einhorn,</w:t>
      </w:r>
      <w:r w:rsidRPr="008C426C">
        <w:t xml:space="preserve"> </w:t>
      </w:r>
      <w:r w:rsidRPr="007C02FB">
        <w:rPr>
          <w:i/>
        </w:rPr>
        <w:t>American Taxation, American Slavery</w:t>
      </w:r>
      <w:r>
        <w:t>,</w:t>
      </w:r>
      <w:r w:rsidRPr="008C426C">
        <w:t xml:space="preserve"> </w:t>
      </w:r>
      <w:r>
        <w:t>(</w:t>
      </w:r>
      <w:r w:rsidRPr="008C426C">
        <w:t>Chicago: University of Chicago Press, 2006</w:t>
      </w:r>
      <w:r>
        <w:t>)</w:t>
      </w:r>
      <w:r w:rsidRPr="008C426C">
        <w:t>.</w:t>
      </w:r>
      <w:r>
        <w:t xml:space="preserve">  </w:t>
      </w:r>
    </w:p>
  </w:footnote>
  <w:footnote w:id="26">
    <w:p w:rsidR="004732AF" w:rsidRDefault="004732AF" w:rsidP="00ED1A41">
      <w:pPr>
        <w:pStyle w:val="FootnoteText"/>
      </w:pPr>
      <w:r>
        <w:rPr>
          <w:rStyle w:val="FootnoteReference"/>
        </w:rPr>
        <w:footnoteRef/>
      </w:r>
      <w:r>
        <w:t xml:space="preserve"> Einhorn, </w:t>
      </w:r>
      <w:r w:rsidRPr="007C02FB">
        <w:rPr>
          <w:i/>
        </w:rPr>
        <w:t>American Taxation</w:t>
      </w:r>
      <w:r>
        <w:t>, (2006).</w:t>
      </w:r>
    </w:p>
  </w:footnote>
  <w:footnote w:id="27">
    <w:p w:rsidR="004732AF" w:rsidRDefault="004732AF" w:rsidP="00ED1A41">
      <w:pPr>
        <w:pStyle w:val="FootnoteText"/>
      </w:pPr>
      <w:r>
        <w:rPr>
          <w:rStyle w:val="FootnoteReference"/>
        </w:rPr>
        <w:footnoteRef/>
      </w:r>
      <w:r>
        <w:t xml:space="preserve"> Einhorn, </w:t>
      </w:r>
      <w:r w:rsidRPr="007C02FB">
        <w:rPr>
          <w:i/>
        </w:rPr>
        <w:t>American Taxation</w:t>
      </w:r>
      <w:r>
        <w:t xml:space="preserve">, (2006). </w:t>
      </w:r>
    </w:p>
  </w:footnote>
  <w:footnote w:id="28">
    <w:p w:rsidR="004732AF" w:rsidRDefault="004732AF" w:rsidP="00ED1A41">
      <w:pPr>
        <w:pStyle w:val="FootnoteText"/>
      </w:pPr>
      <w:r>
        <w:rPr>
          <w:rStyle w:val="FootnoteReference"/>
        </w:rPr>
        <w:footnoteRef/>
      </w:r>
      <w:r>
        <w:t xml:space="preserve"> Andrew Glass, “Lincoln imposes first federal income tax: Aug. 5, 1861,” </w:t>
      </w:r>
      <w:r w:rsidRPr="00D2397B">
        <w:rPr>
          <w:i/>
          <w:iCs/>
        </w:rPr>
        <w:t>Politico</w:t>
      </w:r>
      <w:r>
        <w:t xml:space="preserve">, August 5, 2009, </w:t>
      </w:r>
      <w:r w:rsidRPr="00A773A1">
        <w:t>https://www.politico.com/story/2009/08/lincoln-imposes-first-federal-income-tax-aug-5-1861-025787</w:t>
      </w:r>
    </w:p>
  </w:footnote>
  <w:footnote w:id="29">
    <w:p w:rsidR="004732AF" w:rsidRDefault="004732AF" w:rsidP="00ED1A41">
      <w:pPr>
        <w:pStyle w:val="FootnoteText"/>
      </w:pPr>
      <w:r>
        <w:rPr>
          <w:rStyle w:val="FootnoteReference"/>
        </w:rPr>
        <w:footnoteRef/>
      </w:r>
      <w:r>
        <w:t xml:space="preserve"> </w:t>
      </w:r>
      <w:r w:rsidRPr="008C426C">
        <w:t>Romain</w:t>
      </w:r>
      <w:r>
        <w:t xml:space="preserve"> </w:t>
      </w:r>
      <w:proofErr w:type="spellStart"/>
      <w:r>
        <w:t>Huret</w:t>
      </w:r>
      <w:proofErr w:type="spellEnd"/>
      <w:r>
        <w:t>,</w:t>
      </w:r>
      <w:r w:rsidRPr="008C426C">
        <w:t xml:space="preserve"> </w:t>
      </w:r>
      <w:r w:rsidRPr="008C426C">
        <w:rPr>
          <w:i/>
        </w:rPr>
        <w:t>American Tax Resisters</w:t>
      </w:r>
      <w:r>
        <w:t>,</w:t>
      </w:r>
      <w:r w:rsidRPr="008C426C">
        <w:t xml:space="preserve"> </w:t>
      </w:r>
      <w:r>
        <w:t>(</w:t>
      </w:r>
      <w:r w:rsidRPr="008C426C">
        <w:t>Cambridge: Harvard University Press, 2014</w:t>
      </w:r>
      <w:r>
        <w:t>)</w:t>
      </w:r>
      <w:r w:rsidRPr="008C426C">
        <w:t>.</w:t>
      </w:r>
    </w:p>
  </w:footnote>
  <w:footnote w:id="30">
    <w:p w:rsidR="004732AF" w:rsidRDefault="004732AF" w:rsidP="00ED1A41">
      <w:pPr>
        <w:pStyle w:val="FootnoteText"/>
      </w:pPr>
      <w:r>
        <w:rPr>
          <w:rStyle w:val="FootnoteReference"/>
        </w:rPr>
        <w:footnoteRef/>
      </w:r>
      <w:r>
        <w:t xml:space="preserve"> </w:t>
      </w:r>
      <w:r w:rsidRPr="002477E4">
        <w:t>POLLACK, SHELDON D. "The First National Income Tax, 1861–1872." </w:t>
      </w:r>
      <w:r w:rsidRPr="002477E4">
        <w:rPr>
          <w:i/>
          <w:iCs/>
        </w:rPr>
        <w:t>The Tax Lawyer</w:t>
      </w:r>
      <w:r w:rsidRPr="002477E4">
        <w:t> 67, no. 2 (2014): 311-30. Accessed May 3, 2020. www.jstor.org/stable/24247751.</w:t>
      </w:r>
    </w:p>
  </w:footnote>
  <w:footnote w:id="31">
    <w:p w:rsidR="004732AF" w:rsidRDefault="004732AF" w:rsidP="00ED1A41">
      <w:pPr>
        <w:pStyle w:val="FootnoteText"/>
      </w:pPr>
      <w:r>
        <w:rPr>
          <w:rStyle w:val="FootnoteReference"/>
        </w:rPr>
        <w:footnoteRef/>
      </w:r>
      <w:r>
        <w:t xml:space="preserve"> </w:t>
      </w:r>
      <w:proofErr w:type="spellStart"/>
      <w:r>
        <w:t>Huret</w:t>
      </w:r>
      <w:proofErr w:type="spellEnd"/>
      <w:r>
        <w:t xml:space="preserve">, </w:t>
      </w:r>
      <w:r w:rsidRPr="007C02FB">
        <w:rPr>
          <w:i/>
        </w:rPr>
        <w:t>American Tax Resisters</w:t>
      </w:r>
      <w:r>
        <w:t xml:space="preserve">, (2014). </w:t>
      </w:r>
    </w:p>
  </w:footnote>
  <w:footnote w:id="32">
    <w:p w:rsidR="004732AF" w:rsidRDefault="004732AF" w:rsidP="00ED1A41">
      <w:pPr>
        <w:pStyle w:val="FootnoteText"/>
      </w:pPr>
      <w:r>
        <w:rPr>
          <w:rStyle w:val="FootnoteReference"/>
        </w:rPr>
        <w:footnoteRef/>
      </w:r>
      <w:r>
        <w:t xml:space="preserve"> U.S. Const. amend. XVI.</w:t>
      </w:r>
    </w:p>
  </w:footnote>
  <w:footnote w:id="33">
    <w:p w:rsidR="004732AF" w:rsidRDefault="004732AF" w:rsidP="00ED1A41">
      <w:pPr>
        <w:pStyle w:val="FootnoteText"/>
      </w:pPr>
      <w:r>
        <w:rPr>
          <w:rStyle w:val="FootnoteReference"/>
        </w:rPr>
        <w:footnoteRef/>
      </w:r>
      <w:r>
        <w:t xml:space="preserve"> James F. Curtis, </w:t>
      </w:r>
      <w:r w:rsidRPr="008C426C">
        <w:t>"The Administrative Provisions of the Revenue Act of 1913</w:t>
      </w:r>
      <w:r>
        <w:t>,</w:t>
      </w:r>
      <w:r w:rsidRPr="008C426C">
        <w:t>" </w:t>
      </w:r>
      <w:r w:rsidRPr="008C426C">
        <w:rPr>
          <w:i/>
          <w:iCs/>
        </w:rPr>
        <w:t>The Quarterly Journal of Economics</w:t>
      </w:r>
      <w:r w:rsidRPr="008C426C">
        <w:t> 28, no. 1 (1913): 31-45. www.jstor.org/stable/1884928.</w:t>
      </w:r>
    </w:p>
  </w:footnote>
  <w:footnote w:id="34">
    <w:p w:rsidR="004732AF" w:rsidRDefault="004732AF" w:rsidP="00ED1A41">
      <w:pPr>
        <w:pStyle w:val="FootnoteText"/>
      </w:pPr>
      <w:r>
        <w:rPr>
          <w:rStyle w:val="FootnoteReference"/>
        </w:rPr>
        <w:footnoteRef/>
      </w:r>
      <w:r>
        <w:t xml:space="preserve"> </w:t>
      </w:r>
      <w:r w:rsidRPr="008C426C">
        <w:t>Kenneth</w:t>
      </w:r>
      <w:r>
        <w:t xml:space="preserve"> </w:t>
      </w:r>
      <w:proofErr w:type="spellStart"/>
      <w:r>
        <w:t>Scheve</w:t>
      </w:r>
      <w:proofErr w:type="spellEnd"/>
      <w:r w:rsidRPr="008C426C">
        <w:t xml:space="preserve"> and David </w:t>
      </w:r>
      <w:proofErr w:type="spellStart"/>
      <w:r w:rsidRPr="008C426C">
        <w:t>Stasavage</w:t>
      </w:r>
      <w:proofErr w:type="spellEnd"/>
      <w:r>
        <w:t>,</w:t>
      </w:r>
      <w:r w:rsidRPr="008C426C">
        <w:t xml:space="preserve"> "Wealth Inequality and Democracy</w:t>
      </w:r>
      <w:r>
        <w:t>,</w:t>
      </w:r>
      <w:r w:rsidRPr="008C426C">
        <w:t xml:space="preserve">" </w:t>
      </w:r>
      <w:r w:rsidRPr="007C02FB">
        <w:rPr>
          <w:i/>
        </w:rPr>
        <w:t>Annual Review of Political Science</w:t>
      </w:r>
      <w:r w:rsidRPr="008C426C">
        <w:t xml:space="preserve"> 20 (2017): 1.</w:t>
      </w:r>
    </w:p>
  </w:footnote>
  <w:footnote w:id="35">
    <w:p w:rsidR="004732AF" w:rsidRDefault="004732AF" w:rsidP="00ED1A41">
      <w:pPr>
        <w:pStyle w:val="FootnoteText"/>
      </w:pPr>
      <w:r>
        <w:rPr>
          <w:rStyle w:val="FootnoteReference"/>
        </w:rPr>
        <w:footnoteRef/>
      </w:r>
      <w:r>
        <w:t xml:space="preserve"> Sarwat Jahan, Ahmed Saber Mahmud, and Chris </w:t>
      </w:r>
      <w:proofErr w:type="spellStart"/>
      <w:r>
        <w:t>Papageorgiou</w:t>
      </w:r>
      <w:proofErr w:type="spellEnd"/>
      <w:r>
        <w:t xml:space="preserve">, “What is Keynesian Economics,” </w:t>
      </w:r>
      <w:r w:rsidRPr="00D2397B">
        <w:rPr>
          <w:i/>
          <w:iCs/>
        </w:rPr>
        <w:t>International Monetary Fund</w:t>
      </w:r>
      <w:r>
        <w:t xml:space="preserve">, Finance &amp; Development, Vol. 51, No. 3 (2014), </w:t>
      </w:r>
      <w:r w:rsidRPr="00E073E4">
        <w:t>https://www.imf.org/external/pubs/ft/fandd/2014/09/pdf/basics.pdf</w:t>
      </w:r>
    </w:p>
  </w:footnote>
  <w:footnote w:id="36">
    <w:p w:rsidR="004732AF" w:rsidRDefault="004732AF" w:rsidP="00ED1A41">
      <w:pPr>
        <w:pStyle w:val="FootnoteText"/>
      </w:pPr>
      <w:r>
        <w:rPr>
          <w:rStyle w:val="FootnoteReference"/>
        </w:rPr>
        <w:footnoteRef/>
      </w:r>
      <w:r>
        <w:t xml:space="preserve"> </w:t>
      </w:r>
      <w:r w:rsidRPr="008C426C">
        <w:t>Roy G.</w:t>
      </w:r>
      <w:r>
        <w:t xml:space="preserve"> Blakey</w:t>
      </w:r>
      <w:r w:rsidRPr="008C426C">
        <w:t xml:space="preserve"> and Gladys C. Blakey</w:t>
      </w:r>
      <w:r>
        <w:t>,</w:t>
      </w:r>
      <w:r w:rsidRPr="008C426C">
        <w:t xml:space="preserve"> "The Revenue Act of 1935</w:t>
      </w:r>
      <w:r>
        <w:t>,</w:t>
      </w:r>
      <w:r w:rsidRPr="008C426C">
        <w:t>" </w:t>
      </w:r>
      <w:r w:rsidRPr="008C426C">
        <w:rPr>
          <w:i/>
          <w:iCs/>
        </w:rPr>
        <w:t>The American Economic Review</w:t>
      </w:r>
      <w:r w:rsidRPr="008C426C">
        <w:t> 25, no. 4 (1935): 673-90. www.jstor.org/stable/1807804.</w:t>
      </w:r>
    </w:p>
  </w:footnote>
  <w:footnote w:id="37">
    <w:p w:rsidR="004732AF" w:rsidRDefault="004732AF" w:rsidP="00ED1A41">
      <w:pPr>
        <w:pStyle w:val="FootnoteText"/>
      </w:pPr>
      <w:r>
        <w:rPr>
          <w:rStyle w:val="FootnoteReference"/>
        </w:rPr>
        <w:footnoteRef/>
      </w:r>
      <w:r>
        <w:t xml:space="preserve"> </w:t>
      </w:r>
      <w:r w:rsidRPr="008C426C">
        <w:t>Roy G.</w:t>
      </w:r>
      <w:r>
        <w:t xml:space="preserve"> Blakey</w:t>
      </w:r>
      <w:r w:rsidRPr="008C426C">
        <w:t xml:space="preserve"> and Gladys C. Blakey</w:t>
      </w:r>
      <w:r>
        <w:t>,</w:t>
      </w:r>
      <w:r w:rsidRPr="008C426C">
        <w:t xml:space="preserve"> "The Two Federal Revenue Acts of 1940</w:t>
      </w:r>
      <w:r>
        <w:t>,</w:t>
      </w:r>
      <w:r w:rsidRPr="008C426C">
        <w:t>" </w:t>
      </w:r>
      <w:r w:rsidRPr="008C426C">
        <w:rPr>
          <w:i/>
          <w:iCs/>
        </w:rPr>
        <w:t>The American Economic Review</w:t>
      </w:r>
      <w:r w:rsidRPr="008C426C">
        <w:t> 30, no. 4 (1940): 724-35. www.jstor.org/stable/1805065.</w:t>
      </w:r>
    </w:p>
  </w:footnote>
  <w:footnote w:id="38">
    <w:p w:rsidR="004732AF" w:rsidRDefault="004732AF" w:rsidP="00ED1A41">
      <w:pPr>
        <w:pStyle w:val="FootnoteText"/>
      </w:pPr>
      <w:r>
        <w:rPr>
          <w:rStyle w:val="FootnoteReference"/>
        </w:rPr>
        <w:footnoteRef/>
      </w:r>
      <w:r>
        <w:t xml:space="preserve"> For context, this would be equivalent to imposing a 94% rate on incomes above $6M in today’s dollars, which is about ninety-two times the average national income per adult.</w:t>
      </w:r>
    </w:p>
    <w:p w:rsidR="004732AF" w:rsidRPr="008C426C" w:rsidRDefault="004732AF" w:rsidP="00ED1A41">
      <w:pPr>
        <w:pStyle w:val="FootnoteText"/>
      </w:pPr>
      <w:r>
        <w:t xml:space="preserve">“Franklin D. Roosevelt’s Message to Congress,” April 27 1942. Accessed on December 12, 2019. </w:t>
      </w:r>
      <w:r w:rsidRPr="007C02FB">
        <w:t>http://www.ibiblio.org/pha/policy/1942/1942-04-27b.html</w:t>
      </w:r>
    </w:p>
    <w:p w:rsidR="004732AF" w:rsidRDefault="004732AF" w:rsidP="00ED1A41">
      <w:pPr>
        <w:pStyle w:val="FootnoteText"/>
      </w:pPr>
    </w:p>
  </w:footnote>
  <w:footnote w:id="39">
    <w:p w:rsidR="004732AF" w:rsidRDefault="004732AF" w:rsidP="00ED1A41">
      <w:pPr>
        <w:pStyle w:val="FootnoteText"/>
      </w:pPr>
      <w:r>
        <w:rPr>
          <w:rStyle w:val="FootnoteReference"/>
        </w:rPr>
        <w:footnoteRef/>
      </w:r>
      <w:r>
        <w:t xml:space="preserve"> </w:t>
      </w:r>
      <w:r w:rsidRPr="008C426C">
        <w:t>Thomas</w:t>
      </w:r>
      <w:r>
        <w:t xml:space="preserve"> Piketty</w:t>
      </w:r>
      <w:r w:rsidRPr="008C426C">
        <w:t xml:space="preserve"> and Emmanuel </w:t>
      </w:r>
      <w:proofErr w:type="spellStart"/>
      <w:r w:rsidRPr="008C426C">
        <w:t>Saez</w:t>
      </w:r>
      <w:proofErr w:type="spellEnd"/>
      <w:r>
        <w:t>,</w:t>
      </w:r>
      <w:r w:rsidRPr="008C426C">
        <w:t xml:space="preserve"> "Income Inequality in the United States, 1913-1998." </w:t>
      </w:r>
      <w:r w:rsidRPr="007C02FB">
        <w:rPr>
          <w:i/>
        </w:rPr>
        <w:t>The Quarterly Journal of Economics</w:t>
      </w:r>
      <w:r w:rsidRPr="008C426C">
        <w:t xml:space="preserve"> 118, no. 1 (2003): 1-39.</w:t>
      </w:r>
    </w:p>
  </w:footnote>
  <w:footnote w:id="40">
    <w:p w:rsidR="004732AF" w:rsidRDefault="004732AF" w:rsidP="00ED1A41">
      <w:pPr>
        <w:pStyle w:val="FootnoteText"/>
      </w:pPr>
      <w:r>
        <w:rPr>
          <w:rStyle w:val="FootnoteReference"/>
        </w:rPr>
        <w:footnoteRef/>
      </w:r>
      <w:r>
        <w:t xml:space="preserve"> </w:t>
      </w:r>
      <w:r w:rsidRPr="008C426C">
        <w:t>David</w:t>
      </w:r>
      <w:r>
        <w:t xml:space="preserve"> Harvey,</w:t>
      </w:r>
      <w:r w:rsidRPr="008C426C">
        <w:t xml:space="preserve"> </w:t>
      </w:r>
      <w:r w:rsidRPr="00D2397B">
        <w:rPr>
          <w:i/>
          <w:iCs/>
        </w:rPr>
        <w:t>A Brief History of Neoliberalism</w:t>
      </w:r>
      <w:r>
        <w:t>, (</w:t>
      </w:r>
      <w:r w:rsidRPr="008C426C">
        <w:t>New York: Oxford University Press, 2005</w:t>
      </w:r>
      <w:r>
        <w:t>)</w:t>
      </w:r>
      <w:r w:rsidRPr="008C426C">
        <w:t>.</w:t>
      </w:r>
    </w:p>
  </w:footnote>
  <w:footnote w:id="41">
    <w:p w:rsidR="004732AF" w:rsidRDefault="004732AF" w:rsidP="00ED1A41">
      <w:pPr>
        <w:pStyle w:val="FootnoteText"/>
      </w:pPr>
      <w:r>
        <w:rPr>
          <w:rStyle w:val="FootnoteReference"/>
        </w:rPr>
        <w:footnoteRef/>
      </w:r>
      <w:r>
        <w:t xml:space="preserve"> Harvey, A Brief History, 2005.</w:t>
      </w:r>
    </w:p>
  </w:footnote>
  <w:footnote w:id="42">
    <w:p w:rsidR="004732AF" w:rsidRDefault="004732AF" w:rsidP="00ED1A41">
      <w:pPr>
        <w:pStyle w:val="FootnoteText"/>
      </w:pPr>
      <w:r>
        <w:rPr>
          <w:rStyle w:val="FootnoteReference"/>
        </w:rPr>
        <w:footnoteRef/>
      </w:r>
      <w:r>
        <w:t xml:space="preserve"> For the sake of clarity in this paper, neoliberalism will be used to describe the economic system proposing that human well-being can best be advanced by liberating individual entrepreneurial freedoms and skills within an institutional framework characterized by strong property rights, free markets, and free trade.</w:t>
      </w:r>
    </w:p>
  </w:footnote>
  <w:footnote w:id="43">
    <w:p w:rsidR="004732AF" w:rsidRDefault="004732AF" w:rsidP="00ED1A41">
      <w:pPr>
        <w:pStyle w:val="FootnoteText"/>
      </w:pPr>
      <w:r>
        <w:rPr>
          <w:rStyle w:val="FootnoteReference"/>
        </w:rPr>
        <w:footnoteRef/>
      </w:r>
      <w:r>
        <w:t xml:space="preserve"> Ronald Reagan, “First Inaugural Address,” January 20, 1981. Accessed on December 13, 2019. </w:t>
      </w:r>
      <w:r w:rsidRPr="007C02FB">
        <w:t>https://avalon.law.yale.edu/20th_century/reagan1.asp</w:t>
      </w:r>
    </w:p>
  </w:footnote>
  <w:footnote w:id="44">
    <w:p w:rsidR="004732AF" w:rsidRDefault="004732AF" w:rsidP="00ED1A41">
      <w:pPr>
        <w:pStyle w:val="FootnoteText"/>
      </w:pPr>
      <w:r>
        <w:rPr>
          <w:rStyle w:val="FootnoteReference"/>
        </w:rPr>
        <w:footnoteRef/>
      </w:r>
      <w:r>
        <w:t xml:space="preserve"> </w:t>
      </w:r>
      <w:r w:rsidRPr="008C426C">
        <w:t>Edward N.</w:t>
      </w:r>
      <w:r>
        <w:t xml:space="preserve"> Delaney,</w:t>
      </w:r>
      <w:r w:rsidRPr="008C426C">
        <w:t xml:space="preserve"> "The Economic Recovery Tax Act of 1981</w:t>
      </w:r>
      <w:r>
        <w:t>,</w:t>
      </w:r>
      <w:r w:rsidRPr="008C426C">
        <w:t>" </w:t>
      </w:r>
      <w:r w:rsidRPr="008C426C">
        <w:rPr>
          <w:i/>
          <w:iCs/>
        </w:rPr>
        <w:t>American Bar Association Journal</w:t>
      </w:r>
      <w:r w:rsidRPr="008C426C">
        <w:t> 67, no. 10 (1981): 1266-269. www.jstor.org/stable/20749010.</w:t>
      </w:r>
    </w:p>
  </w:footnote>
  <w:footnote w:id="45">
    <w:p w:rsidR="004732AF" w:rsidRDefault="004732AF" w:rsidP="00ED1A41">
      <w:pPr>
        <w:pStyle w:val="FootnoteText"/>
      </w:pPr>
      <w:r>
        <w:rPr>
          <w:rStyle w:val="FootnoteReference"/>
        </w:rPr>
        <w:footnoteRef/>
      </w:r>
      <w:r>
        <w:t xml:space="preserve"> Gregg Easterbrook, “The myth of oppressive corporate taxes,” </w:t>
      </w:r>
      <w:r w:rsidRPr="00253187">
        <w:rPr>
          <w:i/>
          <w:iCs/>
        </w:rPr>
        <w:t>The Atlantic Online</w:t>
      </w:r>
      <w:r>
        <w:t xml:space="preserve">, June 1982, </w:t>
      </w:r>
      <w:r w:rsidRPr="00253187">
        <w:t>https://www.theatlantic.com/past/docs/politics/ecbig/ececoeas.htm</w:t>
      </w:r>
    </w:p>
  </w:footnote>
  <w:footnote w:id="46">
    <w:p w:rsidR="004732AF" w:rsidRDefault="004732AF" w:rsidP="00ED1A41">
      <w:pPr>
        <w:pStyle w:val="FootnoteText"/>
      </w:pPr>
      <w:r>
        <w:rPr>
          <w:rStyle w:val="FootnoteReference"/>
        </w:rPr>
        <w:footnoteRef/>
      </w:r>
      <w:r>
        <w:t xml:space="preserve"> Lawrence B. Lindsay, “Taxpayer behavior and the distribution of the 1982 tax cut,” </w:t>
      </w:r>
      <w:r w:rsidRPr="00253187">
        <w:rPr>
          <w:i/>
          <w:iCs/>
        </w:rPr>
        <w:t>National Bureau of Economic Research</w:t>
      </w:r>
      <w:r>
        <w:t xml:space="preserve">, Working Paper No. 1760, October 1985, </w:t>
      </w:r>
      <w:r w:rsidRPr="00253187">
        <w:t>https://www.nber.org/papers/w1760.pdf</w:t>
      </w:r>
    </w:p>
  </w:footnote>
  <w:footnote w:id="47">
    <w:p w:rsidR="004732AF" w:rsidRDefault="004732AF" w:rsidP="00ED1A41">
      <w:pPr>
        <w:pStyle w:val="FootnoteText"/>
      </w:pPr>
      <w:r>
        <w:rPr>
          <w:rStyle w:val="FootnoteReference"/>
        </w:rPr>
        <w:footnoteRef/>
      </w:r>
      <w:r>
        <w:t xml:space="preserve"> </w:t>
      </w:r>
      <w:r w:rsidR="00D2397B">
        <w:t>“</w:t>
      </w:r>
      <w:r>
        <w:t>“H.R.3838 – Tax Reform Act of 1986</w:t>
      </w:r>
      <w:r w:rsidR="00D2397B">
        <w:t xml:space="preserve">,” </w:t>
      </w:r>
      <w:r w:rsidRPr="00D2397B">
        <w:rPr>
          <w:i/>
          <w:iCs/>
        </w:rPr>
        <w:t>United States Congress</w:t>
      </w:r>
      <w:r>
        <w:t xml:space="preserve">, Accessed on December 7, 2019. </w:t>
      </w:r>
      <w:r w:rsidRPr="007216E9">
        <w:t>https://www.congress.gov/bill/99th-congress/house-bill/3838</w:t>
      </w:r>
    </w:p>
  </w:footnote>
  <w:footnote w:id="48">
    <w:p w:rsidR="004732AF" w:rsidRDefault="004732AF" w:rsidP="00ED1A41">
      <w:pPr>
        <w:pStyle w:val="FootnoteText"/>
      </w:pPr>
      <w:r>
        <w:rPr>
          <w:rStyle w:val="FootnoteReference"/>
        </w:rPr>
        <w:footnoteRef/>
      </w:r>
      <w:r>
        <w:t xml:space="preserve"> Thomas L. Hungerford, “Taxes and the economy: Analysis of the top tax rates since 1945,” </w:t>
      </w:r>
      <w:r w:rsidRPr="00D2397B">
        <w:rPr>
          <w:i/>
          <w:iCs/>
        </w:rPr>
        <w:t>Congressional Research Service</w:t>
      </w:r>
      <w:r>
        <w:t xml:space="preserve">, September 14, 2012, </w:t>
      </w:r>
      <w:r w:rsidRPr="004732AF">
        <w:t>https://www.democrats.senate.gov//files/documents/CRSTaxesandtheEconomy%20Top%20Rates.pdf</w:t>
      </w:r>
    </w:p>
  </w:footnote>
  <w:footnote w:id="49">
    <w:p w:rsidR="004732AF" w:rsidRDefault="004732AF" w:rsidP="00ED1A41">
      <w:pPr>
        <w:pStyle w:val="FootnoteText"/>
      </w:pPr>
      <w:r>
        <w:rPr>
          <w:rStyle w:val="FootnoteReference"/>
        </w:rPr>
        <w:footnoteRef/>
      </w:r>
      <w:r>
        <w:t xml:space="preserve"> Gabriel Zucman, </w:t>
      </w:r>
      <w:r w:rsidRPr="00713F49">
        <w:rPr>
          <w:i/>
        </w:rPr>
        <w:t>The Triumph of Injustice</w:t>
      </w:r>
      <w:r>
        <w:t>, (New York: W. W. Norton &amp; Company, 2019) 46-47.</w:t>
      </w:r>
    </w:p>
  </w:footnote>
  <w:footnote w:id="50">
    <w:p w:rsidR="004732AF" w:rsidRDefault="004732AF" w:rsidP="00ED1A41">
      <w:pPr>
        <w:pStyle w:val="FootnoteText"/>
      </w:pPr>
      <w:r>
        <w:rPr>
          <w:rStyle w:val="FootnoteReference"/>
        </w:rPr>
        <w:footnoteRef/>
      </w:r>
      <w:r>
        <w:t xml:space="preserve"> “US GDP Data and Charts 1980-2020,” </w:t>
      </w:r>
      <w:r w:rsidRPr="00713F49">
        <w:rPr>
          <w:i/>
        </w:rPr>
        <w:t>MGM Research</w:t>
      </w:r>
      <w:r>
        <w:t xml:space="preserve">, April 16, 2019. Accessed on December 14, 2019. </w:t>
      </w:r>
      <w:r w:rsidRPr="00713F49">
        <w:t>https://mgmresearch.com/us-gdp-data-and-charts-1980-2020/</w:t>
      </w:r>
    </w:p>
  </w:footnote>
  <w:footnote w:id="51">
    <w:p w:rsidR="004732AF" w:rsidRDefault="004732AF" w:rsidP="00ED1A41">
      <w:pPr>
        <w:pStyle w:val="FootnoteText"/>
      </w:pPr>
      <w:r>
        <w:rPr>
          <w:rStyle w:val="FootnoteReference"/>
        </w:rPr>
        <w:footnoteRef/>
      </w:r>
      <w:r>
        <w:t xml:space="preserve"> See </w:t>
      </w:r>
      <w:r w:rsidRPr="00E1717D">
        <w:rPr>
          <w:i/>
        </w:rPr>
        <w:t>Figure 5</w:t>
      </w:r>
      <w:r>
        <w:t>.</w:t>
      </w:r>
    </w:p>
  </w:footnote>
  <w:footnote w:id="52">
    <w:p w:rsidR="004732AF" w:rsidRDefault="004732AF" w:rsidP="00ED1A41">
      <w:pPr>
        <w:pStyle w:val="FootnoteText"/>
      </w:pPr>
      <w:r>
        <w:rPr>
          <w:rStyle w:val="FootnoteReference"/>
        </w:rPr>
        <w:footnoteRef/>
      </w:r>
      <w:r>
        <w:t xml:space="preserve"> Erin </w:t>
      </w:r>
      <w:proofErr w:type="spellStart"/>
      <w:r>
        <w:t>Duffin</w:t>
      </w:r>
      <w:proofErr w:type="spellEnd"/>
      <w:r>
        <w:t xml:space="preserve">, “U.S. Household Income Distribution by Gini Coefficient 1990-2019,” </w:t>
      </w:r>
      <w:r w:rsidRPr="00713F49">
        <w:rPr>
          <w:i/>
        </w:rPr>
        <w:t>Statista</w:t>
      </w:r>
      <w:r>
        <w:t xml:space="preserve">. Accessed on December 14, 2019. </w:t>
      </w:r>
      <w:r w:rsidRPr="001A4D0B">
        <w:t>https://www.statista.com/statistics/219643/gini-coefficient-for-us-individuals-families-and-households/</w:t>
      </w:r>
    </w:p>
  </w:footnote>
  <w:footnote w:id="53">
    <w:p w:rsidR="004732AF" w:rsidRDefault="004732AF" w:rsidP="00ED1A41">
      <w:pPr>
        <w:pStyle w:val="FootnoteText"/>
      </w:pPr>
      <w:r>
        <w:rPr>
          <w:rStyle w:val="FootnoteReference"/>
        </w:rPr>
        <w:footnoteRef/>
      </w:r>
      <w:r>
        <w:t xml:space="preserve"> Thomas Piketty, Emmanuel </w:t>
      </w:r>
      <w:proofErr w:type="spellStart"/>
      <w:r>
        <w:t>Saez</w:t>
      </w:r>
      <w:proofErr w:type="spellEnd"/>
      <w:r>
        <w:t xml:space="preserve">, and Gabriel Zucman, “Economic Growth in the US: A Tale of Two Countries,” </w:t>
      </w:r>
      <w:r w:rsidRPr="00713F49">
        <w:rPr>
          <w:i/>
        </w:rPr>
        <w:t>Vox CEPR Policy Portal</w:t>
      </w:r>
      <w:r>
        <w:t xml:space="preserve">, March 29, 2017. Accessed on December 14, 2019. </w:t>
      </w:r>
      <w:r w:rsidRPr="00E63BB9">
        <w:t>https://voxeu.org/article/economic-growth-us-tale-two-countries</w:t>
      </w:r>
      <w:r>
        <w:t>sa</w:t>
      </w:r>
    </w:p>
  </w:footnote>
  <w:footnote w:id="54">
    <w:p w:rsidR="004732AF" w:rsidRDefault="004732AF" w:rsidP="00ED1A41">
      <w:pPr>
        <w:pStyle w:val="FootnoteText"/>
      </w:pPr>
      <w:r>
        <w:rPr>
          <w:rStyle w:val="FootnoteReference"/>
        </w:rPr>
        <w:footnoteRef/>
      </w:r>
      <w:r>
        <w:t xml:space="preserve"> </w:t>
      </w:r>
      <w:r w:rsidRPr="008C426C">
        <w:t>Thomas</w:t>
      </w:r>
      <w:r>
        <w:t xml:space="preserve"> Piketty</w:t>
      </w:r>
      <w:r w:rsidRPr="008C426C">
        <w:t xml:space="preserve">, and Arthur </w:t>
      </w:r>
      <w:proofErr w:type="spellStart"/>
      <w:r w:rsidRPr="008C426C">
        <w:t>Goldhammer</w:t>
      </w:r>
      <w:proofErr w:type="spellEnd"/>
      <w:r>
        <w:t>,</w:t>
      </w:r>
      <w:r w:rsidRPr="008C426C">
        <w:t xml:space="preserve"> </w:t>
      </w:r>
      <w:r w:rsidRPr="008C426C">
        <w:rPr>
          <w:i/>
        </w:rPr>
        <w:t>Capital in the Twenty-first Century</w:t>
      </w:r>
      <w:r>
        <w:t>,</w:t>
      </w:r>
      <w:r w:rsidRPr="008C426C">
        <w:t xml:space="preserve"> </w:t>
      </w:r>
      <w:r>
        <w:t>(</w:t>
      </w:r>
      <w:r w:rsidRPr="008C426C">
        <w:t>Cambridge Massachusetts: Belknap Press of Harvard University Press, 2014</w:t>
      </w:r>
      <w:r>
        <w:t>)</w:t>
      </w:r>
      <w:r w:rsidRPr="008C426C">
        <w:t>.</w:t>
      </w:r>
    </w:p>
  </w:footnote>
  <w:footnote w:id="55">
    <w:p w:rsidR="004732AF" w:rsidRDefault="004732AF" w:rsidP="00ED1A41">
      <w:pPr>
        <w:pStyle w:val="FootnoteText"/>
      </w:pPr>
      <w:r>
        <w:rPr>
          <w:rStyle w:val="FootnoteReference"/>
        </w:rPr>
        <w:footnoteRef/>
      </w:r>
      <w:r>
        <w:t xml:space="preserve"> See </w:t>
      </w:r>
      <w:r w:rsidRPr="00E1717D">
        <w:rPr>
          <w:i/>
        </w:rPr>
        <w:t>Figure 3</w:t>
      </w:r>
      <w:r>
        <w:t>.</w:t>
      </w:r>
    </w:p>
  </w:footnote>
  <w:footnote w:id="56">
    <w:p w:rsidR="004732AF" w:rsidRDefault="004732AF" w:rsidP="00ED1A41">
      <w:pPr>
        <w:pStyle w:val="FootnoteText"/>
      </w:pPr>
      <w:r>
        <w:rPr>
          <w:rStyle w:val="FootnoteReference"/>
        </w:rPr>
        <w:footnoteRef/>
      </w:r>
      <w:r>
        <w:t xml:space="preserve"> “The budget and economic outlook: 2017 to 2027,” </w:t>
      </w:r>
      <w:r w:rsidRPr="00735E21">
        <w:rPr>
          <w:i/>
          <w:iCs/>
        </w:rPr>
        <w:t>Congressional Budget Office</w:t>
      </w:r>
      <w:r>
        <w:t xml:space="preserve">, January, 2017, </w:t>
      </w:r>
      <w:r w:rsidRPr="00B80E70">
        <w:t>https://www.cbo.gov/system/files/2019-04/52370-outlookonecolumn_1.pdf</w:t>
      </w:r>
    </w:p>
  </w:footnote>
  <w:footnote w:id="57">
    <w:p w:rsidR="004732AF" w:rsidRDefault="004732AF" w:rsidP="00ED1A41">
      <w:pPr>
        <w:pStyle w:val="FootnoteText"/>
      </w:pPr>
      <w:r>
        <w:rPr>
          <w:rStyle w:val="FootnoteReference"/>
        </w:rPr>
        <w:footnoteRef/>
      </w:r>
      <w:r>
        <w:t xml:space="preserve"> TPC Staff, “Distributional analysis</w:t>
      </w:r>
      <w:r w:rsidR="00735E21">
        <w:t xml:space="preserve"> </w:t>
      </w:r>
      <w:r>
        <w:t xml:space="preserve">of the conference agreement for the tax cuts and jobs act,” </w:t>
      </w:r>
      <w:r w:rsidRPr="00735E21">
        <w:rPr>
          <w:i/>
          <w:iCs/>
        </w:rPr>
        <w:t>Tax Policy Center</w:t>
      </w:r>
      <w:r>
        <w:t xml:space="preserve">, December 18, 2017, </w:t>
      </w:r>
      <w:r w:rsidRPr="00D96232">
        <w:t>https://www.taxpolicycenter.org/publications/distributional-analysis-conference-agreement-tax-cuts-and-jobs-act/full</w:t>
      </w:r>
    </w:p>
  </w:footnote>
  <w:footnote w:id="58">
    <w:p w:rsidR="004732AF" w:rsidRDefault="004732AF" w:rsidP="00ED1A41">
      <w:pPr>
        <w:pStyle w:val="FootnoteText"/>
      </w:pPr>
      <w:r>
        <w:rPr>
          <w:rStyle w:val="FootnoteReference"/>
        </w:rPr>
        <w:footnoteRef/>
      </w:r>
      <w:r>
        <w:t xml:space="preserve"> Jane G. Gravelle and Donald J. </w:t>
      </w:r>
      <w:proofErr w:type="spellStart"/>
      <w:r>
        <w:t>Marples</w:t>
      </w:r>
      <w:proofErr w:type="spellEnd"/>
      <w:r>
        <w:t xml:space="preserve">, “The economic effects of the 2017 tax revision: preliminary observations,” </w:t>
      </w:r>
      <w:r w:rsidRPr="00F704F5">
        <w:rPr>
          <w:i/>
          <w:iCs/>
        </w:rPr>
        <w:t>Congressional Research Service</w:t>
      </w:r>
      <w:r>
        <w:t xml:space="preserve">, May 22, 2019, </w:t>
      </w:r>
      <w:r w:rsidRPr="00F704F5">
        <w:t>https://www.everycrsreport.com/files/20190522_R45736_8a1214e903ee2b719e00731791d60f26d75d35f4.pdf</w:t>
      </w:r>
    </w:p>
  </w:footnote>
  <w:footnote w:id="59">
    <w:p w:rsidR="004732AF" w:rsidRDefault="004732AF" w:rsidP="00ED1A41">
      <w:pPr>
        <w:pStyle w:val="FootnoteText"/>
      </w:pPr>
      <w:r>
        <w:rPr>
          <w:rStyle w:val="FootnoteReference"/>
        </w:rPr>
        <w:footnoteRef/>
      </w:r>
      <w:r>
        <w:t xml:space="preserve"> Emmanuel Kopp, Daniel Leigh, Susanna </w:t>
      </w:r>
      <w:proofErr w:type="spellStart"/>
      <w:r>
        <w:t>Mursula</w:t>
      </w:r>
      <w:proofErr w:type="spellEnd"/>
      <w:r>
        <w:t xml:space="preserve">, and </w:t>
      </w:r>
      <w:proofErr w:type="spellStart"/>
      <w:r>
        <w:t>Suchanan</w:t>
      </w:r>
      <w:proofErr w:type="spellEnd"/>
      <w:r>
        <w:t xml:space="preserve"> </w:t>
      </w:r>
      <w:proofErr w:type="spellStart"/>
      <w:r>
        <w:t>Tambunlertchai</w:t>
      </w:r>
      <w:proofErr w:type="spellEnd"/>
      <w:r>
        <w:t xml:space="preserve">, “U.S. investment since the Tax Cuts and Jobs Act of 2017,” </w:t>
      </w:r>
      <w:r w:rsidRPr="00735E21">
        <w:rPr>
          <w:i/>
          <w:iCs/>
        </w:rPr>
        <w:t>International Monetary Fund</w:t>
      </w:r>
      <w:r>
        <w:t xml:space="preserve">, IMF Working Papers, May 2019, </w:t>
      </w:r>
      <w:r w:rsidRPr="004A7D24">
        <w:t>file:///Users/joaquindominguez/Downloads/WPIEA2019120.pdf</w:t>
      </w:r>
    </w:p>
  </w:footnote>
  <w:footnote w:id="60">
    <w:p w:rsidR="004732AF" w:rsidRDefault="004732AF" w:rsidP="00B80E70">
      <w:pPr>
        <w:pStyle w:val="FootnoteText"/>
      </w:pPr>
      <w:r>
        <w:rPr>
          <w:rStyle w:val="FootnoteReference"/>
        </w:rPr>
        <w:footnoteRef/>
      </w:r>
      <w:r>
        <w:t xml:space="preserve"> “H.R. 1. Tax Cuts and Jobs Act,” </w:t>
      </w:r>
      <w:r w:rsidRPr="0012408B">
        <w:rPr>
          <w:i/>
        </w:rPr>
        <w:t>United States Congress</w:t>
      </w:r>
      <w:r>
        <w:t xml:space="preserve">, December 27, 2017. </w:t>
      </w:r>
      <w:r w:rsidRPr="0012408B">
        <w:t>https://www.congress.gov/115/bills/hr1/BILLS-115hr1enr.pdf</w:t>
      </w:r>
    </w:p>
  </w:footnote>
  <w:footnote w:id="61">
    <w:p w:rsidR="004732AF" w:rsidRDefault="004732AF" w:rsidP="00B80E70">
      <w:pPr>
        <w:pStyle w:val="FootnoteText"/>
      </w:pPr>
      <w:r>
        <w:rPr>
          <w:rStyle w:val="FootnoteReference"/>
        </w:rPr>
        <w:footnoteRef/>
      </w:r>
      <w:r>
        <w:t xml:space="preserve"> Zucman, Triumph (2019) 139-141.</w:t>
      </w:r>
    </w:p>
  </w:footnote>
  <w:footnote w:id="62">
    <w:p w:rsidR="004732AF" w:rsidRDefault="004732AF" w:rsidP="00B80E70">
      <w:pPr>
        <w:pStyle w:val="FootnoteText"/>
      </w:pPr>
      <w:r>
        <w:rPr>
          <w:rStyle w:val="FootnoteReference"/>
        </w:rPr>
        <w:footnoteRef/>
      </w:r>
      <w:r>
        <w:t xml:space="preserve"> </w:t>
      </w:r>
      <w:proofErr w:type="spellStart"/>
      <w:r w:rsidRPr="00C6274F">
        <w:t>Gourevitch</w:t>
      </w:r>
      <w:proofErr w:type="spellEnd"/>
      <w:r w:rsidRPr="00C6274F">
        <w:t>, Harry G. "CORPORATE TAX INTEGRATION: THE EUROPEAN EXPERIENCE." </w:t>
      </w:r>
      <w:r w:rsidRPr="00C6274F">
        <w:rPr>
          <w:i/>
          <w:iCs/>
        </w:rPr>
        <w:t>The Tax Lawyer</w:t>
      </w:r>
      <w:r w:rsidRPr="00C6274F">
        <w:t> 31, no. 1 (1977): 65-112. Accessed April 27, 2020. www.jstor.org/stable/20767795.</w:t>
      </w:r>
    </w:p>
  </w:footnote>
  <w:footnote w:id="63">
    <w:p w:rsidR="004732AF" w:rsidRPr="008C426C" w:rsidRDefault="004732AF" w:rsidP="00B80E70">
      <w:pPr>
        <w:pStyle w:val="FootnoteText"/>
      </w:pPr>
      <w:r>
        <w:rPr>
          <w:rStyle w:val="FootnoteReference"/>
        </w:rPr>
        <w:footnoteRef/>
      </w:r>
      <w:r>
        <w:t xml:space="preserve"> </w:t>
      </w:r>
      <w:r w:rsidRPr="008C426C">
        <w:t>Jane G. Gravelle</w:t>
      </w:r>
      <w:r>
        <w:t>,</w:t>
      </w:r>
      <w:r w:rsidRPr="008C426C">
        <w:t xml:space="preserve"> </w:t>
      </w:r>
      <w:r>
        <w:t>“</w:t>
      </w:r>
      <w:r w:rsidRPr="008C426C">
        <w:t>Corporate Tax Integration: In Brief</w:t>
      </w:r>
      <w:r>
        <w:t>,”</w:t>
      </w:r>
      <w:r w:rsidRPr="008C426C">
        <w:t xml:space="preserve"> </w:t>
      </w:r>
      <w:r w:rsidRPr="0012408B">
        <w:rPr>
          <w:i/>
        </w:rPr>
        <w:t>Congressional Research Service</w:t>
      </w:r>
      <w:r>
        <w:t>,</w:t>
      </w:r>
      <w:r w:rsidRPr="008C426C">
        <w:t xml:space="preserve"> October 31, 2016. </w:t>
      </w:r>
      <w:r w:rsidRPr="0012408B">
        <w:t>https://fas.org/sgp/crs/misc/R44671.pdf</w:t>
      </w:r>
      <w:r>
        <w:t>.</w:t>
      </w:r>
    </w:p>
  </w:footnote>
  <w:footnote w:id="64">
    <w:p w:rsidR="004732AF" w:rsidRDefault="004732AF" w:rsidP="00B80E70">
      <w:pPr>
        <w:pStyle w:val="FootnoteText"/>
      </w:pPr>
      <w:r>
        <w:rPr>
          <w:rStyle w:val="FootnoteReference"/>
        </w:rPr>
        <w:footnoteRef/>
      </w:r>
      <w:r>
        <w:t xml:space="preserve"> </w:t>
      </w:r>
      <w:proofErr w:type="spellStart"/>
      <w:r w:rsidRPr="00555287">
        <w:t>Gourevitch</w:t>
      </w:r>
      <w:proofErr w:type="spellEnd"/>
      <w:r w:rsidRPr="00555287">
        <w:t>, Harry G. "CORPORATE TAX INTEGRATION: THE EUROPEAN EXPERIENCE." </w:t>
      </w:r>
      <w:r w:rsidRPr="00555287">
        <w:rPr>
          <w:i/>
          <w:iCs/>
        </w:rPr>
        <w:t>The Tax Lawyer</w:t>
      </w:r>
      <w:r w:rsidRPr="00555287">
        <w:t> 31, no. 1 (1977): 65-112. Accessed April 27, 2020. www.jstor.org/stable/20767795.</w:t>
      </w:r>
    </w:p>
  </w:footnote>
  <w:footnote w:id="65">
    <w:p w:rsidR="004732AF" w:rsidRDefault="004732AF" w:rsidP="00B80E70">
      <w:pPr>
        <w:pStyle w:val="FootnoteText"/>
      </w:pPr>
      <w:r>
        <w:rPr>
          <w:rStyle w:val="FootnoteReference"/>
        </w:rPr>
        <w:footnoteRef/>
      </w:r>
      <w:r>
        <w:t xml:space="preserve"> Christopher Ingraham, “For the first time in history, U.S. billionaires paid a lower tax rate than the working class last year,” </w:t>
      </w:r>
      <w:r w:rsidRPr="0012408B">
        <w:rPr>
          <w:i/>
        </w:rPr>
        <w:t>The Washington Post</w:t>
      </w:r>
      <w:r>
        <w:t xml:space="preserve">, October 8, 2019. Accessed on December 15, 2019. </w:t>
      </w:r>
      <w:r w:rsidRPr="0012408B">
        <w:t>https://www-washingtonpost-com.ezp-prod1.hul.harvard.edu/business/2019/10/08/first-time-history-us-billionaires-paid-lower-tax-rate-than-working-class-last-year/</w:t>
      </w:r>
      <w:r>
        <w:t>.</w:t>
      </w:r>
    </w:p>
  </w:footnote>
  <w:footnote w:id="66">
    <w:p w:rsidR="004732AF" w:rsidRDefault="004732AF" w:rsidP="00B80E70">
      <w:pPr>
        <w:pStyle w:val="FootnoteText"/>
      </w:pPr>
      <w:r>
        <w:rPr>
          <w:rStyle w:val="FootnoteReference"/>
        </w:rPr>
        <w:footnoteRef/>
      </w:r>
      <w:r>
        <w:t xml:space="preserve"> Zucman, Triumph (2019) 143.</w:t>
      </w:r>
    </w:p>
  </w:footnote>
  <w:footnote w:id="67">
    <w:p w:rsidR="004732AF" w:rsidRDefault="004732AF" w:rsidP="00B80E70">
      <w:pPr>
        <w:pStyle w:val="FootnoteText"/>
      </w:pPr>
      <w:r>
        <w:rPr>
          <w:rStyle w:val="FootnoteReference"/>
        </w:rPr>
        <w:footnoteRef/>
      </w:r>
      <w:r>
        <w:t xml:space="preserve"> Sonya </w:t>
      </w:r>
      <w:proofErr w:type="spellStart"/>
      <w:r>
        <w:t>Hoo</w:t>
      </w:r>
      <w:proofErr w:type="spellEnd"/>
      <w:r>
        <w:t xml:space="preserve"> and Eric </w:t>
      </w:r>
      <w:proofErr w:type="spellStart"/>
      <w:r>
        <w:t>Toder</w:t>
      </w:r>
      <w:proofErr w:type="spellEnd"/>
      <w:r>
        <w:t xml:space="preserve">, “The U.S. tax burden is low relative to other OECD countries.” </w:t>
      </w:r>
      <w:r w:rsidRPr="008B301D">
        <w:rPr>
          <w:i/>
          <w:iCs/>
        </w:rPr>
        <w:t>Tax Policy Center</w:t>
      </w:r>
      <w:r>
        <w:t xml:space="preserve">, May 8, 2006. </w:t>
      </w:r>
      <w:r w:rsidRPr="00FF2FF2">
        <w:t>https://www.taxpolicycenter.org/publications/us-tax-</w:t>
      </w:r>
      <w:r w:rsidRPr="00FF2FF2">
        <w:t>b</w:t>
      </w:r>
      <w:r w:rsidRPr="00FF2FF2">
        <w:t>urden-low-relative-other-oecd-countries/full</w:t>
      </w:r>
      <w:r>
        <w:t>.</w:t>
      </w:r>
    </w:p>
  </w:footnote>
  <w:footnote w:id="68">
    <w:p w:rsidR="004732AF" w:rsidRDefault="004732AF" w:rsidP="00B80E70">
      <w:pPr>
        <w:pStyle w:val="FootnoteText"/>
      </w:pPr>
      <w:r>
        <w:rPr>
          <w:rStyle w:val="FootnoteReference"/>
        </w:rPr>
        <w:footnoteRef/>
      </w:r>
      <w:r>
        <w:t xml:space="preserve"> “Historical Highest Marginal Income Tax Rates</w:t>
      </w:r>
      <w:r w:rsidRPr="00735E21">
        <w:rPr>
          <w:i/>
          <w:iCs/>
        </w:rPr>
        <w:t>,” Tax Policy Center</w:t>
      </w:r>
      <w:r>
        <w:t xml:space="preserve">, February 4, 2020, </w:t>
      </w:r>
      <w:r w:rsidRPr="008B301D">
        <w:t>https://www.taxpolicycenter.org/statistics/historical-highest-marginal-income-tax-rates</w:t>
      </w:r>
      <w:r>
        <w:t>.</w:t>
      </w:r>
    </w:p>
  </w:footnote>
  <w:footnote w:id="69">
    <w:p w:rsidR="004732AF" w:rsidRDefault="004732AF">
      <w:pPr>
        <w:pStyle w:val="FootnoteText"/>
      </w:pPr>
      <w:r>
        <w:rPr>
          <w:rStyle w:val="FootnoteReference"/>
        </w:rPr>
        <w:footnoteRef/>
      </w:r>
      <w:r>
        <w:t xml:space="preserve"> Jacob Lundberg and Gustav </w:t>
      </w:r>
      <w:proofErr w:type="spellStart"/>
      <w:r>
        <w:t>Fritzon</w:t>
      </w:r>
      <w:proofErr w:type="spellEnd"/>
      <w:r>
        <w:t xml:space="preserve">, “Taxing high incomes: A comparison of 41 countries,” </w:t>
      </w:r>
      <w:r w:rsidRPr="00183EFB">
        <w:rPr>
          <w:i/>
          <w:iCs/>
        </w:rPr>
        <w:t>Tax Foundation</w:t>
      </w:r>
      <w:r>
        <w:t xml:space="preserve">, October 23, 2019, </w:t>
      </w:r>
      <w:r w:rsidRPr="00183EFB">
        <w:t>https://taxfoundation.org/taxing-high-income-2019/</w:t>
      </w:r>
    </w:p>
  </w:footnote>
  <w:footnote w:id="70">
    <w:p w:rsidR="004732AF" w:rsidRDefault="004732AF">
      <w:pPr>
        <w:pStyle w:val="FootnoteText"/>
      </w:pPr>
      <w:r>
        <w:rPr>
          <w:rStyle w:val="FootnoteReference"/>
        </w:rPr>
        <w:footnoteRef/>
      </w:r>
      <w:r>
        <w:t xml:space="preserve"> “GINI index (World Bank estimate) – country ranking,” </w:t>
      </w:r>
      <w:proofErr w:type="spellStart"/>
      <w:r w:rsidRPr="000177B3">
        <w:rPr>
          <w:i/>
          <w:iCs/>
        </w:rPr>
        <w:t>IndexMundi</w:t>
      </w:r>
      <w:proofErr w:type="spellEnd"/>
      <w:r>
        <w:t xml:space="preserve">, Accessed May 5, 2020, </w:t>
      </w:r>
      <w:r w:rsidRPr="000177B3">
        <w:t>https://www.indexmundi.com/facts/indicators/SI.POV.GINI/rankings</w:t>
      </w:r>
    </w:p>
  </w:footnote>
  <w:footnote w:id="71">
    <w:p w:rsidR="004732AF" w:rsidRDefault="004732AF" w:rsidP="00B80E70">
      <w:pPr>
        <w:pStyle w:val="FootnoteText"/>
      </w:pPr>
      <w:r>
        <w:rPr>
          <w:rStyle w:val="FootnoteReference"/>
        </w:rPr>
        <w:footnoteRef/>
      </w:r>
      <w:r>
        <w:t xml:space="preserve"> Peter Diamond and Emmanuel </w:t>
      </w:r>
      <w:proofErr w:type="spellStart"/>
      <w:r>
        <w:t>Saez</w:t>
      </w:r>
      <w:proofErr w:type="spellEnd"/>
      <w:r>
        <w:t xml:space="preserve">, “The case for a progressive tax: From basic research to policy recommendations,” </w:t>
      </w:r>
      <w:r w:rsidRPr="00735E21">
        <w:rPr>
          <w:i/>
          <w:iCs/>
        </w:rPr>
        <w:t>Journal of Economic Perspectives</w:t>
      </w:r>
      <w:r>
        <w:t xml:space="preserve">, vol 25 (4), 165-190, </w:t>
      </w:r>
    </w:p>
  </w:footnote>
  <w:footnote w:id="72">
    <w:p w:rsidR="004732AF" w:rsidRDefault="004732AF">
      <w:pPr>
        <w:pStyle w:val="FootnoteText"/>
      </w:pPr>
      <w:r>
        <w:rPr>
          <w:rStyle w:val="FootnoteReference"/>
        </w:rPr>
        <w:footnoteRef/>
      </w:r>
      <w:r>
        <w:t xml:space="preserve"> “Income inequality and </w:t>
      </w:r>
      <w:proofErr w:type="spellStart"/>
      <w:r>
        <w:t>labour</w:t>
      </w:r>
      <w:proofErr w:type="spellEnd"/>
      <w:r>
        <w:t xml:space="preserve"> income share in G20 countries: Trends, impacts, and causes,” OECD, September 2015, </w:t>
      </w:r>
      <w:r w:rsidRPr="001917D3">
        <w:t>https://www.oecd.org/g20/topics/employment-and-social-policy/Income-inequality-labour-income-share.pdf</w:t>
      </w:r>
    </w:p>
  </w:footnote>
  <w:footnote w:id="73">
    <w:p w:rsidR="004732AF" w:rsidRDefault="004732AF" w:rsidP="00B80E70">
      <w:pPr>
        <w:pStyle w:val="FootnoteText"/>
      </w:pPr>
      <w:r>
        <w:rPr>
          <w:rStyle w:val="FootnoteReference"/>
        </w:rPr>
        <w:footnoteRef/>
      </w:r>
      <w:r>
        <w:t xml:space="preserve"> Peter Diamond and Emmanuel </w:t>
      </w:r>
      <w:proofErr w:type="spellStart"/>
      <w:r>
        <w:t>Saez</w:t>
      </w:r>
      <w:proofErr w:type="spellEnd"/>
      <w:r>
        <w:t xml:space="preserve">, “The case for a progressive tax: From basic research to policy recommendations,” </w:t>
      </w:r>
      <w:r w:rsidRPr="00735E21">
        <w:rPr>
          <w:i/>
          <w:iCs/>
        </w:rPr>
        <w:t>Journal of Economic Perspectives</w:t>
      </w:r>
      <w:r>
        <w:t>, vol 25 (4), 165-190,</w:t>
      </w:r>
    </w:p>
  </w:footnote>
  <w:footnote w:id="74">
    <w:p w:rsidR="004732AF" w:rsidRDefault="004732AF" w:rsidP="00B80E70">
      <w:pPr>
        <w:pStyle w:val="FootnoteText"/>
      </w:pPr>
      <w:r>
        <w:rPr>
          <w:rStyle w:val="FootnoteReference"/>
        </w:rPr>
        <w:footnoteRef/>
      </w:r>
      <w:r>
        <w:t xml:space="preserve"> Emmanuel </w:t>
      </w:r>
      <w:proofErr w:type="spellStart"/>
      <w:r>
        <w:t>Saez</w:t>
      </w:r>
      <w:proofErr w:type="spellEnd"/>
      <w:r>
        <w:t xml:space="preserve"> and Gabriel Zucman, “How would a progressive wealth tax work? Evidence from the economics literature,” February 5, 2019, Accessed from </w:t>
      </w:r>
      <w:r w:rsidRPr="00F574EF">
        <w:t>http://gabriel-zucman.eu/files/saez-zucman-wealthtaxobjections.pdf</w:t>
      </w:r>
      <w:r>
        <w:t xml:space="preserve">. </w:t>
      </w:r>
    </w:p>
  </w:footnote>
  <w:footnote w:id="75">
    <w:p w:rsidR="004732AF" w:rsidRDefault="004732AF" w:rsidP="00B80E70">
      <w:pPr>
        <w:pStyle w:val="FootnoteText"/>
      </w:pPr>
      <w:r>
        <w:rPr>
          <w:rStyle w:val="FootnoteReference"/>
        </w:rPr>
        <w:footnoteRef/>
      </w:r>
      <w:r>
        <w:t xml:space="preserve"> See </w:t>
      </w:r>
      <w:r w:rsidRPr="00E1717D">
        <w:rPr>
          <w:i/>
        </w:rPr>
        <w:t>Table 1</w:t>
      </w:r>
      <w:r>
        <w:t>.</w:t>
      </w:r>
    </w:p>
  </w:footnote>
  <w:footnote w:id="76">
    <w:p w:rsidR="004732AF" w:rsidRDefault="004732AF" w:rsidP="00B80E70">
      <w:pPr>
        <w:pStyle w:val="FootnoteText"/>
      </w:pPr>
      <w:r>
        <w:rPr>
          <w:rStyle w:val="FootnoteReference"/>
        </w:rPr>
        <w:footnoteRef/>
      </w:r>
      <w:r>
        <w:t xml:space="preserve"> Emmanuel </w:t>
      </w:r>
      <w:proofErr w:type="spellStart"/>
      <w:r>
        <w:t>Saez</w:t>
      </w:r>
      <w:proofErr w:type="spellEnd"/>
      <w:r>
        <w:t xml:space="preserve"> and Gabriel Zucman, “How would a wealth tax work? Evidence from the economics literature,” </w:t>
      </w:r>
      <w:r w:rsidRPr="0012408B">
        <w:rPr>
          <w:i/>
        </w:rPr>
        <w:t>Gabriel-Zucman</w:t>
      </w:r>
      <w:r>
        <w:t xml:space="preserve">, February 5, 2019. </w:t>
      </w:r>
      <w:r w:rsidRPr="0012408B">
        <w:t>http://gabriel-zucman.eu/files/saez-zucman-wealthtaxobjections.pdf</w:t>
      </w:r>
      <w:r>
        <w:t>.</w:t>
      </w:r>
    </w:p>
  </w:footnote>
  <w:footnote w:id="77">
    <w:p w:rsidR="004732AF" w:rsidRDefault="004732AF" w:rsidP="00B80E70">
      <w:pPr>
        <w:pStyle w:val="FootnoteText"/>
      </w:pPr>
      <w:r>
        <w:rPr>
          <w:rStyle w:val="FootnoteReference"/>
        </w:rPr>
        <w:footnoteRef/>
      </w:r>
      <w:r>
        <w:t xml:space="preserve"> David </w:t>
      </w:r>
      <w:proofErr w:type="spellStart"/>
      <w:r>
        <w:t>Seim</w:t>
      </w:r>
      <w:proofErr w:type="spellEnd"/>
      <w:r>
        <w:t xml:space="preserve">, “Behavioral responses to an annual wealth tax: evidence from Sweden,” </w:t>
      </w:r>
      <w:r w:rsidRPr="00C9422B">
        <w:rPr>
          <w:i/>
          <w:iCs/>
        </w:rPr>
        <w:t>American Economic Journal: Economic Policy</w:t>
      </w:r>
      <w:r>
        <w:t xml:space="preserve">, vol 9 (4), 395-421, Accessed from </w:t>
      </w:r>
      <w:r w:rsidRPr="00C9422B">
        <w:t>https://www8.gsb.columbia.edu/programs/sites/programs/files/finance/Applied%20Microeconomics/David%20Seim.pdf</w:t>
      </w:r>
    </w:p>
  </w:footnote>
  <w:footnote w:id="78">
    <w:p w:rsidR="004732AF" w:rsidRDefault="004732AF" w:rsidP="00B80E70">
      <w:pPr>
        <w:pStyle w:val="FootnoteText"/>
      </w:pPr>
      <w:r>
        <w:rPr>
          <w:rStyle w:val="FootnoteReference"/>
        </w:rPr>
        <w:footnoteRef/>
      </w:r>
      <w:r>
        <w:t xml:space="preserve"> Kristian Jakobsen, Katrine Jakobsen, Henrik </w:t>
      </w:r>
      <w:proofErr w:type="spellStart"/>
      <w:r>
        <w:t>Kleven</w:t>
      </w:r>
      <w:proofErr w:type="spellEnd"/>
      <w:r>
        <w:t xml:space="preserve">, and Gabriel Zucman, “Wealth taxation and wealth accumulation: theory and evidence from Denmark,” </w:t>
      </w:r>
      <w:r w:rsidRPr="00735E21">
        <w:rPr>
          <w:i/>
          <w:iCs/>
        </w:rPr>
        <w:t>NBER</w:t>
      </w:r>
      <w:r>
        <w:t xml:space="preserve"> working paper No. 24371, March 2018, Accessed from </w:t>
      </w:r>
      <w:r w:rsidRPr="00C9422B">
        <w:t>https://www.nber.org/papers/w24371.pdf</w:t>
      </w:r>
    </w:p>
  </w:footnote>
  <w:footnote w:id="79">
    <w:p w:rsidR="004732AF" w:rsidRDefault="004732AF" w:rsidP="00B80E70">
      <w:pPr>
        <w:pStyle w:val="FootnoteText"/>
      </w:pPr>
      <w:r>
        <w:rPr>
          <w:rStyle w:val="FootnoteReference"/>
        </w:rPr>
        <w:footnoteRef/>
      </w:r>
      <w:r>
        <w:t xml:space="preserve"> Marius </w:t>
      </w:r>
      <w:proofErr w:type="spellStart"/>
      <w:r>
        <w:t>Brülhart</w:t>
      </w:r>
      <w:proofErr w:type="spellEnd"/>
      <w:r>
        <w:t xml:space="preserve">, Jonathan Gruber, Matthias </w:t>
      </w:r>
      <w:proofErr w:type="spellStart"/>
      <w:r>
        <w:t>Krapf</w:t>
      </w:r>
      <w:proofErr w:type="spellEnd"/>
      <w:r>
        <w:t xml:space="preserve">, and Kurt </w:t>
      </w:r>
      <w:proofErr w:type="spellStart"/>
      <w:r>
        <w:t>Schmidheiny</w:t>
      </w:r>
      <w:proofErr w:type="spellEnd"/>
      <w:r>
        <w:t xml:space="preserve">, “Taxing wealth: evidence from Switzerland,” NBER working paper No. 22376, June 2016, Accessed from </w:t>
      </w:r>
      <w:r w:rsidRPr="00821121">
        <w:t>https://www.nber.org/papers/w22376.pdf</w:t>
      </w:r>
    </w:p>
  </w:footnote>
  <w:footnote w:id="80">
    <w:p w:rsidR="004732AF" w:rsidRDefault="004732AF" w:rsidP="00B80E70">
      <w:pPr>
        <w:pStyle w:val="FootnoteText"/>
      </w:pPr>
      <w:r>
        <w:rPr>
          <w:rStyle w:val="FootnoteReference"/>
        </w:rPr>
        <w:footnoteRef/>
      </w:r>
      <w:r>
        <w:t xml:space="preserve"> David </w:t>
      </w:r>
      <w:proofErr w:type="spellStart"/>
      <w:r>
        <w:t>Seim</w:t>
      </w:r>
      <w:proofErr w:type="spellEnd"/>
      <w:r>
        <w:t xml:space="preserve">, “Behavioral responses to an annual wealth tax: evidence from Sweden,” </w:t>
      </w:r>
      <w:r w:rsidRPr="00C9422B">
        <w:rPr>
          <w:i/>
          <w:iCs/>
        </w:rPr>
        <w:t>American Economic Journal: Economic Policy</w:t>
      </w:r>
      <w:r>
        <w:t>, vol 9 (4), 395-421,</w:t>
      </w:r>
    </w:p>
  </w:footnote>
  <w:footnote w:id="81">
    <w:p w:rsidR="004732AF" w:rsidRDefault="004732AF" w:rsidP="00B80E70">
      <w:pPr>
        <w:pStyle w:val="FootnoteText"/>
      </w:pPr>
      <w:r>
        <w:rPr>
          <w:rStyle w:val="FootnoteReference"/>
        </w:rPr>
        <w:footnoteRef/>
      </w:r>
      <w:r>
        <w:t xml:space="preserve"> Emmanuel </w:t>
      </w:r>
      <w:proofErr w:type="spellStart"/>
      <w:r>
        <w:t>Saez</w:t>
      </w:r>
      <w:proofErr w:type="spellEnd"/>
      <w:r>
        <w:t xml:space="preserve"> and Gabriel Zucman, “How would a wealth tax work? Evidence from the economics literature,” </w:t>
      </w:r>
      <w:r w:rsidRPr="0012408B">
        <w:rPr>
          <w:i/>
        </w:rPr>
        <w:t>Gabriel-Zucman</w:t>
      </w:r>
      <w:r>
        <w:t>, February 5, 2019</w:t>
      </w:r>
    </w:p>
  </w:footnote>
  <w:footnote w:id="82">
    <w:p w:rsidR="004732AF" w:rsidRDefault="004732AF" w:rsidP="00B80E70">
      <w:pPr>
        <w:pStyle w:val="FootnoteText"/>
      </w:pPr>
      <w:r>
        <w:rPr>
          <w:rStyle w:val="FootnoteReference"/>
        </w:rPr>
        <w:footnoteRef/>
      </w:r>
      <w:r>
        <w:t xml:space="preserve"> </w:t>
      </w:r>
      <w:r w:rsidRPr="00A52C21">
        <w:t>Gabriel</w:t>
      </w:r>
      <w:r>
        <w:t xml:space="preserve"> Zucman, </w:t>
      </w:r>
      <w:r w:rsidRPr="00A52C21">
        <w:t>"Taxing across Borders: Tracking Personal Wealth and Corporate Profits." </w:t>
      </w:r>
      <w:r w:rsidRPr="00A52C21">
        <w:rPr>
          <w:i/>
          <w:iCs/>
        </w:rPr>
        <w:t>Journal of Economic Perspectives</w:t>
      </w:r>
      <w:r>
        <w:rPr>
          <w:i/>
          <w:iCs/>
        </w:rPr>
        <w:t xml:space="preserve"> 28</w:t>
      </w:r>
      <w:r w:rsidRPr="00A52C21">
        <w:t>, </w:t>
      </w:r>
      <w:r>
        <w:t>no. 4 (2014)</w:t>
      </w:r>
      <w:r w:rsidRPr="00A52C21">
        <w:t>: 121-48.</w:t>
      </w:r>
      <w:r>
        <w:t xml:space="preserve"> </w:t>
      </w:r>
      <w:r w:rsidRPr="00A52C21">
        <w:t>DOI: 10.1257/jep.28.4.121</w:t>
      </w:r>
      <w:r>
        <w:t>.</w:t>
      </w:r>
    </w:p>
  </w:footnote>
  <w:footnote w:id="83">
    <w:p w:rsidR="004732AF" w:rsidRDefault="004732AF" w:rsidP="00B80E70">
      <w:pPr>
        <w:pStyle w:val="FootnoteText"/>
      </w:pPr>
      <w:r>
        <w:rPr>
          <w:rStyle w:val="FootnoteReference"/>
        </w:rPr>
        <w:footnoteRef/>
      </w:r>
      <w:r>
        <w:t xml:space="preserve"> Sebastian Beer, Ruud A. de </w:t>
      </w:r>
      <w:proofErr w:type="spellStart"/>
      <w:r>
        <w:t>Mooij</w:t>
      </w:r>
      <w:proofErr w:type="spellEnd"/>
      <w:r>
        <w:t xml:space="preserve">, and Li Liu, “International Corporate Tax Avoidance: A Review of the Channels, Magnitudes, and Blind Spots,” </w:t>
      </w:r>
      <w:r w:rsidRPr="0012408B">
        <w:rPr>
          <w:i/>
        </w:rPr>
        <w:t>International Monetary Fund</w:t>
      </w:r>
      <w:r>
        <w:t xml:space="preserve">, July 23, 2018. </w:t>
      </w:r>
      <w:r w:rsidRPr="0012408B">
        <w:t>https://www.imf.org/en/Publications/WP/Issues/2018/07/23/International-Corporate-Tax-Avoidance-A-Review-of-the-Channels-Effect-Size-and-Blind-Spots-45999</w:t>
      </w:r>
      <w:r>
        <w:t>.</w:t>
      </w:r>
    </w:p>
  </w:footnote>
  <w:footnote w:id="84">
    <w:p w:rsidR="004732AF" w:rsidRDefault="004732AF" w:rsidP="00B80E70">
      <w:pPr>
        <w:pStyle w:val="FootnoteText"/>
      </w:pPr>
      <w:r>
        <w:rPr>
          <w:rStyle w:val="FootnoteReference"/>
        </w:rPr>
        <w:footnoteRef/>
      </w:r>
      <w:r>
        <w:t xml:space="preserve"> Zucman, Triumph (2019) 117.</w:t>
      </w:r>
    </w:p>
  </w:footnote>
  <w:footnote w:id="85">
    <w:p w:rsidR="004732AF" w:rsidRDefault="004732AF">
      <w:pPr>
        <w:pStyle w:val="FootnoteText"/>
      </w:pPr>
      <w:r>
        <w:rPr>
          <w:rStyle w:val="FootnoteReference"/>
        </w:rPr>
        <w:footnoteRef/>
      </w:r>
      <w:r>
        <w:t xml:space="preserve"> See Table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8872186"/>
      <w:docPartObj>
        <w:docPartGallery w:val="Page Numbers (Top of Page)"/>
        <w:docPartUnique/>
      </w:docPartObj>
    </w:sdtPr>
    <w:sdtContent>
      <w:p w:rsidR="004732AF" w:rsidRDefault="004732AF" w:rsidP="0079124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71069673"/>
      <w:docPartObj>
        <w:docPartGallery w:val="Page Numbers (Top of Page)"/>
        <w:docPartUnique/>
      </w:docPartObj>
    </w:sdtPr>
    <w:sdtContent>
      <w:p w:rsidR="004732AF" w:rsidRDefault="004732AF" w:rsidP="00303F7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844594437"/>
      <w:docPartObj>
        <w:docPartGallery w:val="Page Numbers (Top of Page)"/>
        <w:docPartUnique/>
      </w:docPartObj>
    </w:sdtPr>
    <w:sdtContent>
      <w:p w:rsidR="004732AF" w:rsidRDefault="004732AF" w:rsidP="00303F7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78091911"/>
      <w:docPartObj>
        <w:docPartGallery w:val="Page Numbers (Top of Page)"/>
        <w:docPartUnique/>
      </w:docPartObj>
    </w:sdtPr>
    <w:sdtContent>
      <w:p w:rsidR="004732AF" w:rsidRDefault="004732AF" w:rsidP="00303F7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60812123"/>
      <w:docPartObj>
        <w:docPartGallery w:val="Page Numbers (Top of Page)"/>
        <w:docPartUnique/>
      </w:docPartObj>
    </w:sdtPr>
    <w:sdtContent>
      <w:p w:rsidR="004732AF" w:rsidRDefault="004732AF" w:rsidP="00303F77">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732AF" w:rsidRDefault="004732AF" w:rsidP="00303F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2AF" w:rsidRDefault="004732AF" w:rsidP="00303F77">
    <w:pPr>
      <w:pStyle w:val="Header"/>
      <w:tabs>
        <w:tab w:val="clear" w:pos="4680"/>
        <w:tab w:val="clear" w:pos="9360"/>
        <w:tab w:val="left" w:pos="8657"/>
      </w:tabs>
      <w:ind w:right="36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90992794"/>
      <w:docPartObj>
        <w:docPartGallery w:val="Page Numbers (Top of Page)"/>
        <w:docPartUnique/>
      </w:docPartObj>
    </w:sdtPr>
    <w:sdtContent>
      <w:p w:rsidR="004732AF" w:rsidRDefault="004732AF" w:rsidP="0079124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732AF" w:rsidRDefault="004732AF" w:rsidP="00303F77">
    <w:pPr>
      <w:pStyle w:val="Header"/>
      <w:tabs>
        <w:tab w:val="clear" w:pos="4680"/>
        <w:tab w:val="clear" w:pos="9360"/>
        <w:tab w:val="left" w:pos="8657"/>
      </w:tabs>
      <w:ind w:right="360"/>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2282091"/>
      <w:docPartObj>
        <w:docPartGallery w:val="Page Numbers (Top of Page)"/>
        <w:docPartUnique/>
      </w:docPartObj>
    </w:sdtPr>
    <w:sdtContent>
      <w:p w:rsidR="004732AF" w:rsidRDefault="004732AF" w:rsidP="0079124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732AF" w:rsidRDefault="004732AF" w:rsidP="00303F77">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D4C8E"/>
    <w:multiLevelType w:val="hybridMultilevel"/>
    <w:tmpl w:val="80EAEE18"/>
    <w:lvl w:ilvl="0" w:tplc="F97C8D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10CD5"/>
    <w:multiLevelType w:val="hybridMultilevel"/>
    <w:tmpl w:val="D8E441F6"/>
    <w:lvl w:ilvl="0" w:tplc="49AEFF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A51388"/>
    <w:multiLevelType w:val="hybridMultilevel"/>
    <w:tmpl w:val="87C28CE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EEF16D9"/>
    <w:multiLevelType w:val="hybridMultilevel"/>
    <w:tmpl w:val="40BE118A"/>
    <w:lvl w:ilvl="0" w:tplc="BCC8F8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015F2D"/>
    <w:multiLevelType w:val="hybridMultilevel"/>
    <w:tmpl w:val="EA88E7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D15EC8"/>
    <w:multiLevelType w:val="hybridMultilevel"/>
    <w:tmpl w:val="1E6A2F14"/>
    <w:lvl w:ilvl="0" w:tplc="39307A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BA6CDE"/>
    <w:multiLevelType w:val="hybridMultilevel"/>
    <w:tmpl w:val="61FECCAA"/>
    <w:lvl w:ilvl="0" w:tplc="7EBC6BF0">
      <w:numFmt w:val="bullet"/>
      <w:lvlText w:val="-"/>
      <w:lvlJc w:val="left"/>
      <w:pPr>
        <w:ind w:left="720" w:hanging="360"/>
      </w:pPr>
      <w:rPr>
        <w:rFonts w:ascii="Garamond" w:eastAsiaTheme="minorHAnsi" w:hAnsi="Garamond" w:cs="Times New Roman (Body C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515"/>
    <w:rsid w:val="000177B3"/>
    <w:rsid w:val="000F3336"/>
    <w:rsid w:val="00122515"/>
    <w:rsid w:val="00127E55"/>
    <w:rsid w:val="00142D14"/>
    <w:rsid w:val="00144B55"/>
    <w:rsid w:val="00145A9D"/>
    <w:rsid w:val="0016336E"/>
    <w:rsid w:val="00183EFB"/>
    <w:rsid w:val="001917D3"/>
    <w:rsid w:val="001921A5"/>
    <w:rsid w:val="001A3D89"/>
    <w:rsid w:val="001B7600"/>
    <w:rsid w:val="001F719E"/>
    <w:rsid w:val="0025105D"/>
    <w:rsid w:val="002D7EC1"/>
    <w:rsid w:val="00303F77"/>
    <w:rsid w:val="003C1F7F"/>
    <w:rsid w:val="003C67A8"/>
    <w:rsid w:val="00471103"/>
    <w:rsid w:val="004729FC"/>
    <w:rsid w:val="004732AF"/>
    <w:rsid w:val="004D26E6"/>
    <w:rsid w:val="00601768"/>
    <w:rsid w:val="0060567E"/>
    <w:rsid w:val="00646A3B"/>
    <w:rsid w:val="0065561B"/>
    <w:rsid w:val="0072175E"/>
    <w:rsid w:val="00735E21"/>
    <w:rsid w:val="00791242"/>
    <w:rsid w:val="007D1B4B"/>
    <w:rsid w:val="00871C1C"/>
    <w:rsid w:val="00873A3B"/>
    <w:rsid w:val="008F3800"/>
    <w:rsid w:val="0091526C"/>
    <w:rsid w:val="00937BD8"/>
    <w:rsid w:val="00953081"/>
    <w:rsid w:val="009B475C"/>
    <w:rsid w:val="00AC3F78"/>
    <w:rsid w:val="00AD59C2"/>
    <w:rsid w:val="00AF0EED"/>
    <w:rsid w:val="00B11D40"/>
    <w:rsid w:val="00B539E3"/>
    <w:rsid w:val="00B80E70"/>
    <w:rsid w:val="00BF06A1"/>
    <w:rsid w:val="00CA4559"/>
    <w:rsid w:val="00CC0E73"/>
    <w:rsid w:val="00CC4588"/>
    <w:rsid w:val="00D2397B"/>
    <w:rsid w:val="00DF0368"/>
    <w:rsid w:val="00E2689A"/>
    <w:rsid w:val="00EA3242"/>
    <w:rsid w:val="00EB0A91"/>
    <w:rsid w:val="00ED1A41"/>
    <w:rsid w:val="00ED352F"/>
    <w:rsid w:val="00F320A9"/>
    <w:rsid w:val="00F65293"/>
    <w:rsid w:val="00FA6C1B"/>
    <w:rsid w:val="00FC0820"/>
    <w:rsid w:val="00FD4E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A1E79"/>
  <w14:defaultImageDpi w14:val="32767"/>
  <w15:chartTrackingRefBased/>
  <w15:docId w15:val="{6D32EE65-0660-154C-9780-56CCF2FF2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11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7110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110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559"/>
    <w:pPr>
      <w:ind w:left="720"/>
      <w:contextualSpacing/>
    </w:pPr>
  </w:style>
  <w:style w:type="paragraph" w:styleId="FootnoteText">
    <w:name w:val="footnote text"/>
    <w:basedOn w:val="Normal"/>
    <w:link w:val="FootnoteTextChar"/>
    <w:uiPriority w:val="99"/>
    <w:unhideWhenUsed/>
    <w:rsid w:val="00CA4559"/>
    <w:rPr>
      <w:sz w:val="20"/>
      <w:szCs w:val="20"/>
    </w:rPr>
  </w:style>
  <w:style w:type="character" w:customStyle="1" w:styleId="FootnoteTextChar">
    <w:name w:val="Footnote Text Char"/>
    <w:basedOn w:val="DefaultParagraphFont"/>
    <w:link w:val="FootnoteText"/>
    <w:uiPriority w:val="99"/>
    <w:rsid w:val="00CA4559"/>
    <w:rPr>
      <w:sz w:val="20"/>
      <w:szCs w:val="20"/>
    </w:rPr>
  </w:style>
  <w:style w:type="character" w:styleId="FootnoteReference">
    <w:name w:val="footnote reference"/>
    <w:basedOn w:val="DefaultParagraphFont"/>
    <w:uiPriority w:val="99"/>
    <w:semiHidden/>
    <w:unhideWhenUsed/>
    <w:rsid w:val="00CA4559"/>
    <w:rPr>
      <w:vertAlign w:val="superscript"/>
    </w:rPr>
  </w:style>
  <w:style w:type="character" w:styleId="Hyperlink">
    <w:name w:val="Hyperlink"/>
    <w:basedOn w:val="DefaultParagraphFont"/>
    <w:uiPriority w:val="99"/>
    <w:unhideWhenUsed/>
    <w:rsid w:val="00CA4559"/>
    <w:rPr>
      <w:color w:val="0563C1" w:themeColor="hyperlink"/>
      <w:u w:val="single"/>
    </w:rPr>
  </w:style>
  <w:style w:type="character" w:customStyle="1" w:styleId="Heading1Char">
    <w:name w:val="Heading 1 Char"/>
    <w:basedOn w:val="DefaultParagraphFont"/>
    <w:link w:val="Heading1"/>
    <w:uiPriority w:val="9"/>
    <w:rsid w:val="0047110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1103"/>
    <w:pPr>
      <w:spacing w:before="480" w:line="276" w:lineRule="auto"/>
      <w:outlineLvl w:val="9"/>
    </w:pPr>
    <w:rPr>
      <w:b/>
      <w:bCs/>
      <w:sz w:val="28"/>
      <w:szCs w:val="28"/>
    </w:rPr>
  </w:style>
  <w:style w:type="paragraph" w:styleId="TOC1">
    <w:name w:val="toc 1"/>
    <w:basedOn w:val="Normal"/>
    <w:next w:val="Normal"/>
    <w:autoRedefine/>
    <w:uiPriority w:val="39"/>
    <w:unhideWhenUsed/>
    <w:rsid w:val="00471103"/>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71103"/>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47110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7110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7110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7110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7110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7110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71103"/>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semiHidden/>
    <w:rsid w:val="004711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71103"/>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303F77"/>
    <w:pPr>
      <w:tabs>
        <w:tab w:val="center" w:pos="4680"/>
        <w:tab w:val="right" w:pos="9360"/>
      </w:tabs>
    </w:pPr>
  </w:style>
  <w:style w:type="character" w:customStyle="1" w:styleId="HeaderChar">
    <w:name w:val="Header Char"/>
    <w:basedOn w:val="DefaultParagraphFont"/>
    <w:link w:val="Header"/>
    <w:uiPriority w:val="99"/>
    <w:rsid w:val="00303F77"/>
  </w:style>
  <w:style w:type="paragraph" w:styleId="Footer">
    <w:name w:val="footer"/>
    <w:basedOn w:val="Normal"/>
    <w:link w:val="FooterChar"/>
    <w:uiPriority w:val="99"/>
    <w:unhideWhenUsed/>
    <w:rsid w:val="00303F77"/>
    <w:pPr>
      <w:tabs>
        <w:tab w:val="center" w:pos="4680"/>
        <w:tab w:val="right" w:pos="9360"/>
      </w:tabs>
    </w:pPr>
  </w:style>
  <w:style w:type="character" w:customStyle="1" w:styleId="FooterChar">
    <w:name w:val="Footer Char"/>
    <w:basedOn w:val="DefaultParagraphFont"/>
    <w:link w:val="Footer"/>
    <w:uiPriority w:val="99"/>
    <w:rsid w:val="00303F77"/>
  </w:style>
  <w:style w:type="character" w:styleId="PageNumber">
    <w:name w:val="page number"/>
    <w:basedOn w:val="DefaultParagraphFont"/>
    <w:uiPriority w:val="99"/>
    <w:semiHidden/>
    <w:unhideWhenUsed/>
    <w:rsid w:val="00303F77"/>
  </w:style>
  <w:style w:type="character" w:styleId="UnresolvedMention">
    <w:name w:val="Unresolved Mention"/>
    <w:basedOn w:val="DefaultParagraphFont"/>
    <w:uiPriority w:val="99"/>
    <w:rsid w:val="00791242"/>
    <w:rPr>
      <w:color w:val="605E5C"/>
      <w:shd w:val="clear" w:color="auto" w:fill="E1DFDD"/>
    </w:rPr>
  </w:style>
  <w:style w:type="table" w:styleId="TableGrid">
    <w:name w:val="Table Grid"/>
    <w:basedOn w:val="TableNormal"/>
    <w:uiPriority w:val="39"/>
    <w:rsid w:val="00AC3F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760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6809">
      <w:bodyDiv w:val="1"/>
      <w:marLeft w:val="0"/>
      <w:marRight w:val="0"/>
      <w:marTop w:val="0"/>
      <w:marBottom w:val="0"/>
      <w:divBdr>
        <w:top w:val="none" w:sz="0" w:space="0" w:color="auto"/>
        <w:left w:val="none" w:sz="0" w:space="0" w:color="auto"/>
        <w:bottom w:val="none" w:sz="0" w:space="0" w:color="auto"/>
        <w:right w:val="none" w:sz="0" w:space="0" w:color="auto"/>
      </w:divBdr>
    </w:div>
    <w:div w:id="236793414">
      <w:bodyDiv w:val="1"/>
      <w:marLeft w:val="0"/>
      <w:marRight w:val="0"/>
      <w:marTop w:val="0"/>
      <w:marBottom w:val="0"/>
      <w:divBdr>
        <w:top w:val="none" w:sz="0" w:space="0" w:color="auto"/>
        <w:left w:val="none" w:sz="0" w:space="0" w:color="auto"/>
        <w:bottom w:val="none" w:sz="0" w:space="0" w:color="auto"/>
        <w:right w:val="none" w:sz="0" w:space="0" w:color="auto"/>
      </w:divBdr>
    </w:div>
    <w:div w:id="274950129">
      <w:bodyDiv w:val="1"/>
      <w:marLeft w:val="0"/>
      <w:marRight w:val="0"/>
      <w:marTop w:val="0"/>
      <w:marBottom w:val="0"/>
      <w:divBdr>
        <w:top w:val="none" w:sz="0" w:space="0" w:color="auto"/>
        <w:left w:val="none" w:sz="0" w:space="0" w:color="auto"/>
        <w:bottom w:val="none" w:sz="0" w:space="0" w:color="auto"/>
        <w:right w:val="none" w:sz="0" w:space="0" w:color="auto"/>
      </w:divBdr>
    </w:div>
    <w:div w:id="590546078">
      <w:bodyDiv w:val="1"/>
      <w:marLeft w:val="0"/>
      <w:marRight w:val="0"/>
      <w:marTop w:val="0"/>
      <w:marBottom w:val="0"/>
      <w:divBdr>
        <w:top w:val="none" w:sz="0" w:space="0" w:color="auto"/>
        <w:left w:val="none" w:sz="0" w:space="0" w:color="auto"/>
        <w:bottom w:val="none" w:sz="0" w:space="0" w:color="auto"/>
        <w:right w:val="none" w:sz="0" w:space="0" w:color="auto"/>
      </w:divBdr>
    </w:div>
    <w:div w:id="729042664">
      <w:bodyDiv w:val="1"/>
      <w:marLeft w:val="0"/>
      <w:marRight w:val="0"/>
      <w:marTop w:val="0"/>
      <w:marBottom w:val="0"/>
      <w:divBdr>
        <w:top w:val="none" w:sz="0" w:space="0" w:color="auto"/>
        <w:left w:val="none" w:sz="0" w:space="0" w:color="auto"/>
        <w:bottom w:val="none" w:sz="0" w:space="0" w:color="auto"/>
        <w:right w:val="none" w:sz="0" w:space="0" w:color="auto"/>
      </w:divBdr>
    </w:div>
    <w:div w:id="903954937">
      <w:bodyDiv w:val="1"/>
      <w:marLeft w:val="0"/>
      <w:marRight w:val="0"/>
      <w:marTop w:val="0"/>
      <w:marBottom w:val="0"/>
      <w:divBdr>
        <w:top w:val="none" w:sz="0" w:space="0" w:color="auto"/>
        <w:left w:val="none" w:sz="0" w:space="0" w:color="auto"/>
        <w:bottom w:val="none" w:sz="0" w:space="0" w:color="auto"/>
        <w:right w:val="none" w:sz="0" w:space="0" w:color="auto"/>
      </w:divBdr>
    </w:div>
    <w:div w:id="1111390341">
      <w:bodyDiv w:val="1"/>
      <w:marLeft w:val="0"/>
      <w:marRight w:val="0"/>
      <w:marTop w:val="0"/>
      <w:marBottom w:val="0"/>
      <w:divBdr>
        <w:top w:val="none" w:sz="0" w:space="0" w:color="auto"/>
        <w:left w:val="none" w:sz="0" w:space="0" w:color="auto"/>
        <w:bottom w:val="none" w:sz="0" w:space="0" w:color="auto"/>
        <w:right w:val="none" w:sz="0" w:space="0" w:color="auto"/>
      </w:divBdr>
    </w:div>
    <w:div w:id="1258370284">
      <w:bodyDiv w:val="1"/>
      <w:marLeft w:val="0"/>
      <w:marRight w:val="0"/>
      <w:marTop w:val="0"/>
      <w:marBottom w:val="0"/>
      <w:divBdr>
        <w:top w:val="none" w:sz="0" w:space="0" w:color="auto"/>
        <w:left w:val="none" w:sz="0" w:space="0" w:color="auto"/>
        <w:bottom w:val="none" w:sz="0" w:space="0" w:color="auto"/>
        <w:right w:val="none" w:sz="0" w:space="0" w:color="auto"/>
      </w:divBdr>
    </w:div>
    <w:div w:id="1516338360">
      <w:bodyDiv w:val="1"/>
      <w:marLeft w:val="0"/>
      <w:marRight w:val="0"/>
      <w:marTop w:val="0"/>
      <w:marBottom w:val="0"/>
      <w:divBdr>
        <w:top w:val="none" w:sz="0" w:space="0" w:color="auto"/>
        <w:left w:val="none" w:sz="0" w:space="0" w:color="auto"/>
        <w:bottom w:val="none" w:sz="0" w:space="0" w:color="auto"/>
        <w:right w:val="none" w:sz="0" w:space="0" w:color="auto"/>
      </w:divBdr>
    </w:div>
    <w:div w:id="1975981898">
      <w:bodyDiv w:val="1"/>
      <w:marLeft w:val="0"/>
      <w:marRight w:val="0"/>
      <w:marTop w:val="0"/>
      <w:marBottom w:val="0"/>
      <w:divBdr>
        <w:top w:val="none" w:sz="0" w:space="0" w:color="auto"/>
        <w:left w:val="none" w:sz="0" w:space="0" w:color="auto"/>
        <w:bottom w:val="none" w:sz="0" w:space="0" w:color="auto"/>
        <w:right w:val="none" w:sz="0" w:space="0" w:color="auto"/>
      </w:divBdr>
    </w:div>
    <w:div w:id="1983122092">
      <w:bodyDiv w:val="1"/>
      <w:marLeft w:val="0"/>
      <w:marRight w:val="0"/>
      <w:marTop w:val="0"/>
      <w:marBottom w:val="0"/>
      <w:divBdr>
        <w:top w:val="none" w:sz="0" w:space="0" w:color="auto"/>
        <w:left w:val="none" w:sz="0" w:space="0" w:color="auto"/>
        <w:bottom w:val="none" w:sz="0" w:space="0" w:color="auto"/>
        <w:right w:val="none" w:sz="0" w:space="0" w:color="auto"/>
      </w:divBdr>
    </w:div>
    <w:div w:id="205797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08A610D-0F68-E248-9306-9865FC5C7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47</Pages>
  <Words>10259</Words>
  <Characters>54991</Characters>
  <Application>Microsoft Office Word</Application>
  <DocSecurity>0</DocSecurity>
  <Lines>743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Joaquin Dominguez</dc:creator>
  <cp:keywords/>
  <dc:description/>
  <cp:lastModifiedBy>Joaquin Dominguez</cp:lastModifiedBy>
  <cp:revision>6</cp:revision>
  <dcterms:created xsi:type="dcterms:W3CDTF">2020-05-05T21:13:00Z</dcterms:created>
  <dcterms:modified xsi:type="dcterms:W3CDTF">2020-05-10T23:12:00Z</dcterms:modified>
</cp:coreProperties>
</file>