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592"/>
        <w:gridCol w:w="2160"/>
        <w:gridCol w:w="605"/>
        <w:gridCol w:w="605"/>
        <w:gridCol w:w="605"/>
        <w:gridCol w:w="605"/>
        <w:gridCol w:w="605"/>
        <w:gridCol w:w="1152"/>
        <w:gridCol w:w="504"/>
        <w:gridCol w:w="576"/>
        <w:gridCol w:w="504"/>
        <w:gridCol w:w="605"/>
        <w:gridCol w:w="605"/>
        <w:gridCol w:w="605"/>
        <w:gridCol w:w="605"/>
        <w:gridCol w:w="605"/>
        <w:gridCol w:w="605"/>
        <w:gridCol w:w="605"/>
      </w:tblGrid>
      <w:tr>
        <w:trPr>
          <w:trHeight w:val="366" w:hRule="auto"/>
          <w:tblHeader/>
        </w:trPr>
        <w:tc>
          <w:tcPr>
            <w:gridSpan w:val="1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Table 2</w:t>
            </w:r>
          </w:p>
        </w:tc>
      </w:tr>
      <w:tr>
        <w:trPr>
          <w:trHeight w:val="366" w:hRule="auto"/>
          <w:tblHeader/>
        </w:trPr>
        <w:tc>
          <w:tcPr>
            <w:gridSpan w:val="1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Main Results</w:t>
            </w:r>
          </w:p>
        </w:tc>
      </w:tr>
      <w:tr>
        <w:trPr>
          <w:trHeight w:val="366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Role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</w:t>
            </w:r>
          </w:p>
        </w:tc>
        <w:tc>
          <w:tcPr>
            <w:gridSpan w:val="9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Summary Effect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k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Test of Moderation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1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bscript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b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OVL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CL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Sex Drive Indicators</w:t>
              <w:br/>
              <w:t xml:space="preserve">(Adjusted Global Summary Effect)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Indicators (Adjusted)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Sex Drive Indicators</w:t>
              <w:br/>
              <w:t xml:space="preserve">(Global Summary Effect)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87.59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Indicators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[0.58, 0.81]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Bias Indicators</w:t>
              <w:br/>
              <w:t xml:space="preserve">(Global Summary Effect)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92.70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Bias Indicators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[0.03, 0.24]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Primary Sex Drive Indicators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91.03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Affect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[0.49, 0.66]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Behavior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[0.66, 0.84]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Cognition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138.72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[0.71, 0.80]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Secondary Sex Drive Indicators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94.71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Affect Intensity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45.42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[0.33, 0.44]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Self Rated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[0.33, 0.84]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Bias Indicators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26.52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78.26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Intercourse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[-0.10,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Partners in Last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8.03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[0.11, 0.19]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One Night Stand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[0.18, 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16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Sex Partners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2.59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7.15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.035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[0.02, 0.35]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<w:tc>
          <w:tcPr>
            <w:gridSpan w:val="1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Global and group-wise summary results for gender differences in primary sex drive indicators, secondary sex drive indicators, and bias indicators.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standard error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degrees-of-freedom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CI95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95% confidence interval.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Cohen's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effect size of non-overlap.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OVL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overlap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CL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Common-language effect size, or probability of superiority.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number of studies per subgroup/total.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number of effect sizes per subgroup/total.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HTZ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Hotelling-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-approximated test statistic.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small sample 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-value associated with the test statistic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proportion of the variation in observed effects that is due to variation in true effects.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= estimated standard deviation of the true effects.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2020-12-18T17:44:55Z</dcterms:modified>
  <cp:category/>
</cp:coreProperties>
</file>