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2160"/>
        <w:gridCol w:w="605"/>
        <w:gridCol w:w="605"/>
        <w:gridCol w:w="605"/>
        <w:gridCol w:w="605"/>
        <w:gridCol w:w="605"/>
        <w:gridCol w:w="1152"/>
        <w:gridCol w:w="504"/>
        <w:gridCol w:w="576"/>
        <w:gridCol w:w="504"/>
        <w:gridCol w:w="605"/>
        <w:gridCol w:w="605"/>
        <w:gridCol w:w="605"/>
        <w:gridCol w:w="605"/>
        <w:gridCol w:w="605"/>
        <w:gridCol w:w="605"/>
        <w:gridCol w:w="605"/>
      </w:tblGrid>
      <w:tr w:rsidR="00682EA1" w:rsidRPr="00537616">
        <w:trPr>
          <w:tblHeader/>
          <w:jc w:val="center"/>
        </w:trPr>
        <w:tc>
          <w:tcPr>
            <w:tcW w:w="14748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 w:line="480" w:lineRule="auto"/>
              <w:ind w:left="60" w:right="60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b/>
                <w:color w:val="000000"/>
                <w:sz w:val="16"/>
                <w:szCs w:val="16"/>
              </w:rPr>
              <w:t>Table 2</w:t>
            </w:r>
          </w:p>
        </w:tc>
      </w:tr>
      <w:tr w:rsidR="00682EA1" w:rsidRPr="00537616">
        <w:trPr>
          <w:tblHeader/>
          <w:jc w:val="center"/>
        </w:trPr>
        <w:tc>
          <w:tcPr>
            <w:tcW w:w="14748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 w:line="480" w:lineRule="auto"/>
              <w:ind w:left="60" w:right="60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Main Results</w:t>
            </w:r>
          </w:p>
        </w:tc>
      </w:tr>
      <w:tr w:rsidR="00682EA1" w:rsidRPr="00537616">
        <w:trPr>
          <w:tblHeader/>
          <w:jc w:val="center"/>
        </w:trPr>
        <w:tc>
          <w:tcPr>
            <w:tcW w:w="2592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Role</w:t>
            </w:r>
          </w:p>
        </w:tc>
        <w:tc>
          <w:tcPr>
            <w:tcW w:w="2160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Indicator</w:t>
            </w:r>
          </w:p>
        </w:tc>
        <w:tc>
          <w:tcPr>
            <w:tcW w:w="5761" w:type="dxa"/>
            <w:gridSpan w:val="9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Summary Effect</w:t>
            </w:r>
          </w:p>
        </w:tc>
        <w:tc>
          <w:tcPr>
            <w:tcW w:w="605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k</w:t>
            </w:r>
          </w:p>
        </w:tc>
        <w:tc>
          <w:tcPr>
            <w:tcW w:w="605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m</w:t>
            </w:r>
          </w:p>
        </w:tc>
        <w:tc>
          <w:tcPr>
            <w:tcW w:w="1815" w:type="dxa"/>
            <w:gridSpan w:val="3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Test of Moderation</w:t>
            </w:r>
          </w:p>
        </w:tc>
        <w:tc>
          <w:tcPr>
            <w:tcW w:w="605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537616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ymbol" w:eastAsia="Symbol" w:hAnsi="Symbol" w:cs="Symbol"/>
                <w:i/>
                <w:color w:val="000000"/>
                <w:sz w:val="16"/>
                <w:szCs w:val="16"/>
              </w:rPr>
              <w:t></w:t>
            </w:r>
            <w:bookmarkStart w:id="0" w:name="_GoBack"/>
            <w:bookmarkEnd w:id="0"/>
          </w:p>
        </w:tc>
        <w:tc>
          <w:tcPr>
            <w:tcW w:w="605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I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  <w:vertAlign w:val="superscript"/>
              </w:rPr>
              <w:t>2</w:t>
            </w:r>
          </w:p>
        </w:tc>
      </w:tr>
      <w:tr w:rsidR="00682EA1" w:rsidRPr="00537616">
        <w:trPr>
          <w:tblHeader/>
          <w:jc w:val="center"/>
        </w:trPr>
        <w:tc>
          <w:tcPr>
            <w:tcW w:w="2592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SE</w:t>
            </w: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t</w:t>
            </w: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df</w:t>
            </w: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p</w:t>
            </w:r>
          </w:p>
        </w:tc>
        <w:tc>
          <w:tcPr>
            <w:tcW w:w="115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CI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  <w:vertAlign w:val="subscript"/>
              </w:rPr>
              <w:t>95</w:t>
            </w:r>
          </w:p>
        </w:tc>
        <w:tc>
          <w:tcPr>
            <w:tcW w:w="50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U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OVL</w:t>
            </w:r>
          </w:p>
        </w:tc>
        <w:tc>
          <w:tcPr>
            <w:tcW w:w="504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CL</w:t>
            </w:r>
          </w:p>
        </w:tc>
        <w:tc>
          <w:tcPr>
            <w:tcW w:w="605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HTZ</w:t>
            </w: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df</w:t>
            </w:r>
          </w:p>
        </w:tc>
        <w:tc>
          <w:tcPr>
            <w:tcW w:w="605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p</w:t>
            </w:r>
          </w:p>
        </w:tc>
        <w:tc>
          <w:tcPr>
            <w:tcW w:w="605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spacing w:before="60" w:after="60"/>
              <w:ind w:left="60" w:right="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432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Primary Sex Drive Indicators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br/>
              <w:t>(Global Summary Effect)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87.59</w:t>
            </w: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Primary Indicators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12.10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[0.58, 0.81]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432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Primary Sex Drive Indicators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br/>
              <w:t>(Adjusted Global Summary Effect)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Primary Indicators (Adjusted)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432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Bias Indicators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br/>
              <w:t>(Global Summary Effect)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92.70</w:t>
            </w: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Bias Indicators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2.56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.011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[0.03, 0.24]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432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Primary Sex Drive Indicators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7.26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68.53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.001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91.03</w:t>
            </w: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Affect Frequency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13.24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42.09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[0.49, 0.66]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Behavior Frequency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17.99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30.17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[0.66, 0.84]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Cognition Frequency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35.69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138.72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[0.71, 0.80]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432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Secondary Sex Drive Indicators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15.90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.120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94.71</w:t>
            </w: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Affect Intensity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14.76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45.42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[0.33, 0.44]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proofErr w:type="spellStart"/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Self Rated</w:t>
            </w:r>
            <w:proofErr w:type="spellEnd"/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Sex Drive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5.02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10.46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[0.33, 0.84]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432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Bias Indicators</w:t>
            </w: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13.57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26.52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78.26</w:t>
            </w: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Intercourse Frequency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-0.01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-0.36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12.97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.723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[-0.10, 0.07]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Sex Partners in Last Year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8.03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95.72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[0.11, 0.19]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Total One Night Stand Partners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11.88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94.00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&lt; .001</w:t>
            </w:r>
          </w:p>
        </w:tc>
        <w:tc>
          <w:tcPr>
            <w:tcW w:w="115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[0.18, 0.25]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trHeight w:hRule="exact" w:val="216"/>
          <w:jc w:val="center"/>
        </w:trPr>
        <w:tc>
          <w:tcPr>
            <w:tcW w:w="259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Total Sex Partners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7.15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.035</w:t>
            </w:r>
          </w:p>
        </w:tc>
        <w:tc>
          <w:tcPr>
            <w:tcW w:w="115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[0.02, 0.35]</w:t>
            </w: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7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50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jc w:val="right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682EA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82EA1" w:rsidRPr="00537616">
        <w:trPr>
          <w:jc w:val="center"/>
        </w:trPr>
        <w:tc>
          <w:tcPr>
            <w:tcW w:w="14748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2EA1" w:rsidRPr="00537616" w:rsidRDefault="00A13FF8">
            <w:pPr>
              <w:spacing w:before="60" w:after="60"/>
              <w:ind w:left="60" w:right="60"/>
              <w:rPr>
                <w:rFonts w:ascii="Times New Roman" w:hAnsi="Times New Roman" w:cs="Times New Roman"/>
              </w:rPr>
            </w:pP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 xml:space="preserve">Note. 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Global and group-wise summary results for gender differences in primary sex drive indicators, secondary sex drive indicators, and bias indicators.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Hedges'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effect size.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SE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standard error associated with the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-value in the same row.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t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t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-value assoc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iated with the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-value in the same row.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df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degrees-of-freedom associated with the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-value in the same row.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p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p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-value associated with the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g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-value in the same row.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CI95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95% confidence interval.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U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Cohen's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U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  <w:vertAlign w:val="subscript"/>
              </w:rPr>
              <w:t>3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effect size of non-overlap.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OVL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overlap 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effect size.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CL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Common-language effect size, or probability of superiority.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k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number of studies per subgroup/total.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m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number of effect sizes per subgroup/total.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HTZ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Hotelling-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T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-approximated test statistic.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df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small sample corrected degrees of freedom.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p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p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-value associated with the test statistic and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df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in the same row. </w:t>
            </w:r>
            <w:r w:rsidRPr="00537616">
              <w:rPr>
                <w:rFonts w:ascii="Times New Roman" w:eastAsia="Arial" w:hAnsi="Times New Roman" w:cs="Times New Roman"/>
                <w:i/>
                <w:color w:val="000000"/>
                <w:sz w:val="16"/>
                <w:szCs w:val="16"/>
              </w:rPr>
              <w:t>I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  <w:vertAlign w:val="superscript"/>
              </w:rPr>
              <w:t>2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proportion of the variation in observed effects that is due to variation in true effects. </w:t>
            </w:r>
            <w:r w:rsidRPr="00537616">
              <w:rPr>
                <w:rFonts w:ascii="Times New Roman" w:eastAsia="Symbol" w:hAnsi="Times New Roman" w:cs="Times New Roman"/>
                <w:i/>
                <w:color w:val="000000"/>
                <w:sz w:val="12"/>
                <w:szCs w:val="12"/>
              </w:rPr>
              <w:t>t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= estimated standard deviation of the true</w:t>
            </w:r>
            <w:r w:rsidRPr="0053761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 xml:space="preserve"> effects. </w:t>
            </w:r>
          </w:p>
        </w:tc>
      </w:tr>
    </w:tbl>
    <w:p w:rsidR="00682EA1" w:rsidRDefault="00682EA1">
      <w:pPr>
        <w:sectPr w:rsidR="00682EA1">
          <w:type w:val="oddPage"/>
          <w:pgSz w:w="16838" w:h="11906" w:orient="landscape"/>
          <w:pgMar w:top="1417" w:right="1417" w:bottom="1134" w:left="1417" w:header="720" w:footer="720" w:gutter="0"/>
          <w:cols w:space="720"/>
        </w:sectPr>
      </w:pPr>
    </w:p>
    <w:p w:rsidR="00A13FF8" w:rsidRDefault="00A13FF8"/>
    <w:sectPr w:rsidR="00A13FF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37616"/>
    <w:rsid w:val="00682EA1"/>
    <w:rsid w:val="00747CCE"/>
    <w:rsid w:val="007B3E96"/>
    <w:rsid w:val="008F1F48"/>
    <w:rsid w:val="00901463"/>
    <w:rsid w:val="00946CB3"/>
    <w:rsid w:val="00A13FF8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Julius Frankenbach</cp:lastModifiedBy>
  <cp:revision>10</cp:revision>
  <dcterms:created xsi:type="dcterms:W3CDTF">2017-02-28T11:18:00Z</dcterms:created>
  <dcterms:modified xsi:type="dcterms:W3CDTF">2020-12-21T17:07:00Z</dcterms:modified>
  <cp:category/>
</cp:coreProperties>
</file>