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56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188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148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.323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.013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.500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Self 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.845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.515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.259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.377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.206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.548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.362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.361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.015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.745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Slope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.698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primary sex drive indicators.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results are statistically controlled for item content (extra-pair partner vs. any partner/not specified).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 sample 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degrees-of-freedom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2020-12-16T12:40:25Z</dcterms:modified>
  <cp:category/>
</cp:coreProperties>
</file>