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656"/>
      </w:tblGrid>
      <w:tr>
        <w:trPr>
          <w:cantSplit/>
          <w:trHeight w:val="360" w:hRule="auto"/>
          <w:tblHeader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48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Table 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Regression Tables for Moderation Analyses (Primary Indicators)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/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2448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  <w:gridCol w:w="144"/>
        <w:gridCol w:w="432"/>
        <w:gridCol w:w="432"/>
        <w:gridCol w:w="288"/>
        <w:gridCol w:w="288"/>
        <w:gridCol w:w="360"/>
        <w:gridCol w:w="360"/>
        <w:gridCol w:w="432"/>
      </w:tblGrid>
      <w:tr>
        <w:trPr>
          <w:trHeight w:val="366" w:hRule="auto"/>
          <w:tblHeader/>
        </w:trPr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Moderator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Cognition Frequency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Affect Frequency</w:t>
            </w:r>
          </w:p>
        </w:tc>
        <w:tc>
          <w:tcPr>
            <w:vMerge w:val="restart"/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Behavior Frequency</w:t>
            </w:r>
          </w:p>
        </w:tc>
      </w:tr>
      <w:tr>
        <w:trPr>
          <w:trHeight w:val="323" w:hRule="auto"/>
          <w:tblHeader/>
        </w:trPr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  <w:tc>
          <w:tcPr>
            <w:vMerge/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Outcome-level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Aggregation Span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.323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A partner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Context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Alone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Not specified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Type of Response Scale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Scale Range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50.95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.500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Item Wording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Daydreams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Fantasies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Other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Thoughts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Desire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Masturbation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Self stimulation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Publication-level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Aim to Find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Anonymity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 in Sex Drive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Focus on Gender Differences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Gender of First Author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Female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Author 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-3.04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.845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Publication Status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38.90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Unpublished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Journal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Sample-level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Mean 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.533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White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.515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Development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.259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.377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Gender Inequality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34.77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.925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.206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Heterosexual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Average Partnership Duration in Weeks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Parents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Country-Level Sex Ratio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-1.44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.548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.221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.489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.362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Study Restricted to Sexually Active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Single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Percent University Students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.015</w:t>
            </w:r>
          </w:p>
        </w:tc>
      </w:tr>
      <w:tr>
        <w:trPr>
          <w:trHeight w:val="432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>Study-level Moderators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Anonymity Reassurance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Participant Compensation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Coursecredit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27.41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Material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6.54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None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Electronic Data Collection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1.85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Group Assessment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41.61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35.81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22.64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Personal Contact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7.82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N/A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48.20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13.75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Sexuality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No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21.37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11.46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Yes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8.60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19.45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16.59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20.62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&lt; .001</w:t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Year of Study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</w:tr>
      <w:tr>
        <w:trPr>
          <w:trHeight w:val="173" w:hRule="exact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9.65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10.64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266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18.27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-4.04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12.16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.745</w:t>
            </w:r>
          </w:p>
        </w:tc>
      </w:tr>
      <w:tr>
        <w:trPr>
          <w:trHeight w:val="173" w:hRule="exact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   Slope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-0.85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46.47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.397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0.32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15.91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.755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0.01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0.40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14.27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0" w:before="0" w:line="24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.698</w:t>
            </w:r>
          </w:p>
        </w:tc>
      </w:tr>
      <w:tr>
        <w:trPr>
          <w:trHeight w:val="360" w:hRule="auto"/>
        </w:trPr>
        <w:tc>
          <w:tcPr>
            <w:gridSpan w:val="25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60" w:before="60" w:line="240"/>
              <w:ind w:firstLine="0" w:left="60" w:right="6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Note.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Meta-regression tables for moderation of the primary sex drive indicators.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categorical moderators, point estimates for subgroups and corresponding significance tests are presented.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continuous moderators, values are presented for the intercept and slope.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For cognition frequency, results are statistically controlled for item content (extra-pair partner vs. any partner/not specified).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Results for the control variable are not reported.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Some models could not be fitted because the number of available codings was insufficient. These are left blank.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Standard error for Hedges'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g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effect size.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k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studies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m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number of effect sizes per subgroup.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from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-test testing the parameter against zero.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small sample corrected degrees of freedom.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=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associated with the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 and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df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 in the same row.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Note that if degrees-of-freedom fall below 4, significance tests are unreliable.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/>
                <w:sz w:val="12"/>
                <w:szCs w:val="12"/>
                <w:color w:val="000000"/>
              </w:rPr>
              <w:t xml:space="preserve">p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12"/>
                <w:szCs w:val="12"/>
                <w:color w:val="000000"/>
              </w:rPr>
              <w:t xml:space="preserve">-values for unreliable tests are not reported (N/A).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2020-12-18T18:44:53Z</dcterms:modified>
  <cp:category/>
</cp:coreProperties>
</file>