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656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S4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Regression Tables for Moderation Analyses (Secondary Indicators)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</w:tblGrid>
      <w:tr>
        <w:trPr>
          <w:trHeight w:val="366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 (uncontrolled)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Intensity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Self-Rated Sex Drive</w:t>
            </w:r>
          </w:p>
        </w:tc>
      </w:tr>
      <w:tr>
        <w:trPr>
          <w:trHeight w:val="323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Extra pair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Masturbation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Own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First seeing an attractive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Romantic situation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While having sexual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While spending time with an attractive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Daydreams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Fantasies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Desire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125.98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Coursecredit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.672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42.40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.660</w:t>
            </w:r>
          </w:p>
        </w:tc>
      </w:tr>
      <w:tr>
        <w:trPr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Meta-regression tables for moderation of the secondary sex drive indicators and cognition frequency (not controlled for item content).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categorical moderators, point estimates for subgroups and corresponding significance tests are presented.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continuous moderators, values are presented for the intercept and slope.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Standard Error for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studies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effect sizes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from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-test testing the parameter against zero.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small-sample-corrected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 of freedom fall below 4, significance tests are unreliable.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2020-12-18T19:21:19Z</dcterms:modified>
  <cp:category/>
</cp:coreProperties>
</file>