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656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48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Table S5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Regression Tables for Moderation Analyses (Indicators of Latent Sex Drive)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</w:tblGrid>
      <w:tr>
        <w:trPr>
          <w:trHeight w:val="473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Moderator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Cognition Frequency (uncontrolled)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Affect Intensity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Self-Rated Sex Drive</w:t>
            </w:r>
          </w:p>
        </w:tc>
      </w:tr>
      <w:tr>
        <w:trPr>
          <w:trHeight w:val="430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Outcome-level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Aggregation Span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Extra pair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98.63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Not 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Unspecified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Masturbation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Own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First seeing an attractive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Not 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Romantic situation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While having sexual thoughts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While spending time with an attractive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Type of Response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149.22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Scale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Wording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Daydreams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Fantasies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Thoughts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Desire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Publication-level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Aim to Find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Anonymity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Gender of First Author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Author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Publication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126.95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Unpublished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Sample-level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-36.52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Heterosexual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Average Partnership Duration in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Parents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Sex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Study Restricted to Sexually 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University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Study-level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Anonymity Reassurance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Participant Compensation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Coursecredit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Electronic Data Collection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Group Assessment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Personal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Year of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.395</w:t>
            </w:r>
          </w:p>
        </w:tc>
      </w:tr>
      <w:tr>
        <w:trPr>
          <w:trHeight w:val="173" w:hRule="exact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42.54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.388</w:t>
            </w:r>
          </w:p>
        </w:tc>
      </w:tr>
      <w:tr>
        <w:trPr>
          <w:trHeight w:val="360" w:hRule="auto"/>
        </w:trPr>
        <w:tc>
          <w:tcPr>
            <w:gridSpan w:val="2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Note.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Meta-regression tables for moderation of the indicators of latent sex drive and cognition frequency (not controlled for item content).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categorical moderators, point estimates for subgroups and corresponding significance tests are presented.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continuous moderators, values are presented for the intercept and slope.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Some models could not be fitted because the number of available codings was insufficient. These are left blank.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Hedges'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Standard Error for Hedges'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studies per subgroup.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effect sizes per subgroup.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from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-test testing the parameter against zero.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small-sample-corrected degrees of freedom.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associated with the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and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in the same row.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Note that if degrees of freedom fall below 4, significance tests are unreliable.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-values for unreliable tests are not reported (N/A).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2022-04-20T16:57:01Z</dcterms:modified>
  <cp:category/>
</cp:coreProperties>
</file>