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Look w:val="0420" w:firstRow="1" w:lastRow="0" w:firstColumn="0" w:lastColumn="0" w:noHBand="0" w:noVBand="1"/>
      </w:tblPr>
      <w:tblGrid>
        <w:gridCol w:w="10656"/>
      </w:tblGrid>
      <w:tr w:rsidR="008A214B">
        <w:trPr>
          <w:cantSplit/>
          <w:tblHeader/>
          <w:jc w:val="center"/>
        </w:trPr>
        <w:tc>
          <w:tcPr>
            <w:tcW w:w="10656" w:type="dxa"/>
            <w:shd w:val="clear" w:color="auto" w:fill="FFFFFF"/>
            <w:tcMar>
              <w:top w:w="0" w:type="dxa"/>
              <w:left w:w="0" w:type="dxa"/>
              <w:bottom w:w="0" w:type="dxa"/>
              <w:right w:w="0" w:type="dxa"/>
            </w:tcMar>
            <w:vAlign w:val="center"/>
          </w:tcPr>
          <w:p w:rsidR="008A214B" w:rsidRDefault="00C835BD">
            <w:pPr>
              <w:spacing w:before="60" w:after="60" w:line="480" w:lineRule="auto"/>
              <w:ind w:left="60" w:right="60"/>
            </w:pPr>
            <w:r>
              <w:rPr>
                <w:rFonts w:ascii="Arial" w:eastAsia="Arial" w:hAnsi="Arial" w:cs="Arial"/>
                <w:b/>
                <w:color w:val="000000"/>
                <w:sz w:val="12"/>
                <w:szCs w:val="12"/>
              </w:rPr>
              <w:t>Table S</w:t>
            </w:r>
            <w:r w:rsidR="007F6F0E">
              <w:rPr>
                <w:rFonts w:ascii="Arial" w:eastAsia="Arial" w:hAnsi="Arial" w:cs="Arial"/>
                <w:b/>
                <w:color w:val="000000"/>
                <w:sz w:val="12"/>
                <w:szCs w:val="12"/>
              </w:rPr>
              <w:t>5</w:t>
            </w:r>
            <w:bookmarkStart w:id="0" w:name="_GoBack"/>
            <w:bookmarkEnd w:id="0"/>
          </w:p>
        </w:tc>
      </w:tr>
      <w:tr w:rsidR="008A214B">
        <w:trPr>
          <w:cantSplit/>
          <w:jc w:val="center"/>
        </w:trPr>
        <w:tc>
          <w:tcPr>
            <w:tcW w:w="10656" w:type="dxa"/>
            <w:shd w:val="clear" w:color="auto" w:fill="FFFFFF"/>
            <w:tcMar>
              <w:top w:w="0" w:type="dxa"/>
              <w:left w:w="0" w:type="dxa"/>
              <w:bottom w:w="0" w:type="dxa"/>
              <w:right w:w="0" w:type="dxa"/>
            </w:tcMar>
            <w:vAlign w:val="center"/>
          </w:tcPr>
          <w:p w:rsidR="008A214B" w:rsidRDefault="00C835BD">
            <w:pPr>
              <w:spacing w:before="60" w:after="60"/>
              <w:ind w:left="60" w:right="60"/>
            </w:pPr>
            <w:r>
              <w:rPr>
                <w:rFonts w:ascii="Arial" w:eastAsia="Arial" w:hAnsi="Arial" w:cs="Arial"/>
                <w:i/>
                <w:color w:val="000000"/>
                <w:sz w:val="12"/>
                <w:szCs w:val="12"/>
              </w:rPr>
              <w:t>Regression Tables for Moderation Analyses (Indicators of Latent Sex Drive)</w:t>
            </w:r>
          </w:p>
        </w:tc>
      </w:tr>
    </w:tbl>
    <w:p w:rsidR="008A214B" w:rsidRDefault="008A214B"/>
    <w:tbl>
      <w:tblPr>
        <w:tblW w:w="0" w:type="auto"/>
        <w:jc w:val="center"/>
        <w:tblLayout w:type="fixed"/>
        <w:tblLook w:val="0420" w:firstRow="1" w:lastRow="0" w:firstColumn="0" w:lastColumn="0" w:noHBand="0" w:noVBand="1"/>
      </w:tblPr>
      <w:tblGrid>
        <w:gridCol w:w="2448"/>
        <w:gridCol w:w="144"/>
        <w:gridCol w:w="432"/>
        <w:gridCol w:w="432"/>
        <w:gridCol w:w="288"/>
        <w:gridCol w:w="288"/>
        <w:gridCol w:w="360"/>
        <w:gridCol w:w="360"/>
        <w:gridCol w:w="432"/>
        <w:gridCol w:w="144"/>
        <w:gridCol w:w="432"/>
        <w:gridCol w:w="432"/>
        <w:gridCol w:w="288"/>
        <w:gridCol w:w="288"/>
        <w:gridCol w:w="360"/>
        <w:gridCol w:w="360"/>
        <w:gridCol w:w="432"/>
        <w:gridCol w:w="144"/>
        <w:gridCol w:w="432"/>
        <w:gridCol w:w="432"/>
        <w:gridCol w:w="288"/>
        <w:gridCol w:w="288"/>
        <w:gridCol w:w="360"/>
        <w:gridCol w:w="360"/>
        <w:gridCol w:w="432"/>
      </w:tblGrid>
      <w:tr w:rsidR="008A214B">
        <w:trPr>
          <w:tblHeader/>
          <w:jc w:val="center"/>
        </w:trPr>
        <w:tc>
          <w:tcPr>
            <w:tcW w:w="2448"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pPr>
            <w:r>
              <w:rPr>
                <w:rFonts w:ascii="Arial" w:eastAsia="Arial" w:hAnsi="Arial" w:cs="Arial"/>
                <w:color w:val="000000"/>
                <w:sz w:val="12"/>
                <w:szCs w:val="12"/>
              </w:rPr>
              <w:t>Moderator</w:t>
            </w:r>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214B" w:rsidRDefault="008A214B">
            <w:pPr>
              <w:spacing w:before="60" w:after="60"/>
              <w:ind w:left="60" w:right="60"/>
              <w:jc w:val="center"/>
            </w:pPr>
          </w:p>
        </w:tc>
        <w:tc>
          <w:tcPr>
            <w:tcW w:w="2592" w:type="dxa"/>
            <w:gridSpan w:val="7"/>
            <w:tcBorders>
              <w:top w:val="single" w:sz="16" w:space="0" w:color="000000"/>
              <w:bottom w:val="single" w:sz="8"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color w:val="000000"/>
                <w:sz w:val="12"/>
                <w:szCs w:val="12"/>
              </w:rPr>
              <w:t>Cognition Frequency (uncontrolled)</w:t>
            </w:r>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214B" w:rsidRDefault="008A214B">
            <w:pPr>
              <w:spacing w:before="60" w:after="60"/>
              <w:ind w:left="60" w:right="60"/>
              <w:jc w:val="center"/>
            </w:pPr>
          </w:p>
        </w:tc>
        <w:tc>
          <w:tcPr>
            <w:tcW w:w="2592" w:type="dxa"/>
            <w:gridSpan w:val="7"/>
            <w:tcBorders>
              <w:top w:val="single" w:sz="16" w:space="0" w:color="000000"/>
              <w:bottom w:val="single" w:sz="8"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color w:val="000000"/>
                <w:sz w:val="12"/>
                <w:szCs w:val="12"/>
              </w:rPr>
              <w:t>Affect Intensity</w:t>
            </w:r>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214B" w:rsidRDefault="008A214B">
            <w:pPr>
              <w:spacing w:before="60" w:after="60"/>
              <w:ind w:left="60" w:right="60"/>
              <w:jc w:val="center"/>
            </w:pPr>
          </w:p>
        </w:tc>
        <w:tc>
          <w:tcPr>
            <w:tcW w:w="2592" w:type="dxa"/>
            <w:gridSpan w:val="7"/>
            <w:tcBorders>
              <w:top w:val="single" w:sz="16" w:space="0" w:color="000000"/>
              <w:bottom w:val="single" w:sz="8"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color w:val="000000"/>
                <w:sz w:val="12"/>
                <w:szCs w:val="12"/>
              </w:rPr>
              <w:t>Self-Rated Sex Drive</w:t>
            </w:r>
          </w:p>
        </w:tc>
      </w:tr>
      <w:tr w:rsidR="008A214B">
        <w:trPr>
          <w:tblHeader/>
          <w:jc w:val="center"/>
        </w:trPr>
        <w:tc>
          <w:tcPr>
            <w:tcW w:w="2448"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8A214B">
            <w:pPr>
              <w:spacing w:before="60" w:after="60"/>
              <w:ind w:left="60" w:right="60"/>
            </w:pP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8A214B">
            <w:pPr>
              <w:spacing w:before="60" w:after="60"/>
              <w:ind w:left="60" w:right="60"/>
              <w:jc w:val="center"/>
            </w:pP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i/>
                <w:color w:val="000000"/>
                <w:sz w:val="12"/>
                <w:szCs w:val="12"/>
              </w:rPr>
              <w:t>g</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i/>
                <w:color w:val="000000"/>
                <w:sz w:val="12"/>
                <w:szCs w:val="12"/>
              </w:rPr>
              <w:t>SE</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i/>
                <w:color w:val="000000"/>
                <w:sz w:val="12"/>
                <w:szCs w:val="12"/>
              </w:rPr>
              <w:t>k</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i/>
                <w:color w:val="000000"/>
                <w:sz w:val="12"/>
                <w:szCs w:val="12"/>
              </w:rPr>
              <w:t>m</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i/>
                <w:color w:val="000000"/>
                <w:sz w:val="12"/>
                <w:szCs w:val="12"/>
              </w:rPr>
              <w:t>t</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i/>
                <w:color w:val="000000"/>
                <w:sz w:val="12"/>
                <w:szCs w:val="12"/>
              </w:rPr>
              <w:t>df</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i/>
                <w:color w:val="000000"/>
                <w:sz w:val="12"/>
                <w:szCs w:val="12"/>
              </w:rPr>
              <w:t>p</w:t>
            </w: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8A214B">
            <w:pPr>
              <w:spacing w:before="60" w:after="60"/>
              <w:ind w:left="60" w:right="60"/>
              <w:jc w:val="center"/>
            </w:pP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i/>
                <w:color w:val="000000"/>
                <w:sz w:val="12"/>
                <w:szCs w:val="12"/>
              </w:rPr>
              <w:t>g</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i/>
                <w:color w:val="000000"/>
                <w:sz w:val="12"/>
                <w:szCs w:val="12"/>
              </w:rPr>
              <w:t>SE</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i/>
                <w:color w:val="000000"/>
                <w:sz w:val="12"/>
                <w:szCs w:val="12"/>
              </w:rPr>
              <w:t>k</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i/>
                <w:color w:val="000000"/>
                <w:sz w:val="12"/>
                <w:szCs w:val="12"/>
              </w:rPr>
              <w:t>m</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i/>
                <w:color w:val="000000"/>
                <w:sz w:val="12"/>
                <w:szCs w:val="12"/>
              </w:rPr>
              <w:t>t</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i/>
                <w:color w:val="000000"/>
                <w:sz w:val="12"/>
                <w:szCs w:val="12"/>
              </w:rPr>
              <w:t>df</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i/>
                <w:color w:val="000000"/>
                <w:sz w:val="12"/>
                <w:szCs w:val="12"/>
              </w:rPr>
              <w:t>p</w:t>
            </w: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8A214B">
            <w:pPr>
              <w:spacing w:before="60" w:after="60"/>
              <w:ind w:left="60" w:right="60"/>
              <w:jc w:val="center"/>
            </w:pP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i/>
                <w:color w:val="000000"/>
                <w:sz w:val="12"/>
                <w:szCs w:val="12"/>
              </w:rPr>
              <w:t>g</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i/>
                <w:color w:val="000000"/>
                <w:sz w:val="12"/>
                <w:szCs w:val="12"/>
              </w:rPr>
              <w:t>SE</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i/>
                <w:color w:val="000000"/>
                <w:sz w:val="12"/>
                <w:szCs w:val="12"/>
              </w:rPr>
              <w:t>k</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i/>
                <w:color w:val="000000"/>
                <w:sz w:val="12"/>
                <w:szCs w:val="12"/>
              </w:rPr>
              <w:t>m</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i/>
                <w:color w:val="000000"/>
                <w:sz w:val="12"/>
                <w:szCs w:val="12"/>
              </w:rPr>
              <w:t>t</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i/>
                <w:color w:val="000000"/>
                <w:sz w:val="12"/>
                <w:szCs w:val="12"/>
              </w:rPr>
              <w:t>df</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8A214B" w:rsidRDefault="00C835BD">
            <w:pPr>
              <w:spacing w:before="60" w:after="60"/>
              <w:ind w:left="60" w:right="60"/>
              <w:jc w:val="center"/>
            </w:pPr>
            <w:r>
              <w:rPr>
                <w:rFonts w:ascii="Arial" w:eastAsia="Arial" w:hAnsi="Arial" w:cs="Arial"/>
                <w:i/>
                <w:color w:val="000000"/>
                <w:sz w:val="12"/>
                <w:szCs w:val="12"/>
              </w:rPr>
              <w:t>p</w:t>
            </w:r>
          </w:p>
        </w:tc>
      </w:tr>
      <w:tr w:rsidR="008A214B">
        <w:trPr>
          <w:trHeight w:hRule="exact" w:val="432"/>
          <w:jc w:val="center"/>
        </w:trPr>
        <w:tc>
          <w:tcPr>
            <w:tcW w:w="2448" w:type="dxa"/>
            <w:shd w:val="clear" w:color="auto" w:fill="FFFFFF"/>
            <w:tcMar>
              <w:top w:w="0" w:type="dxa"/>
              <w:left w:w="0" w:type="dxa"/>
              <w:bottom w:w="0" w:type="dxa"/>
              <w:right w:w="0" w:type="dxa"/>
            </w:tcMar>
            <w:vAlign w:val="center"/>
          </w:tcPr>
          <w:p w:rsidR="008A214B" w:rsidRDefault="00C835BD">
            <w:pPr>
              <w:jc w:val="center"/>
            </w:pPr>
            <w:r>
              <w:rPr>
                <w:rFonts w:ascii="Arial" w:eastAsia="Arial" w:hAnsi="Arial" w:cs="Arial"/>
                <w:b/>
                <w:color w:val="000000"/>
                <w:sz w:val="12"/>
                <w:szCs w:val="12"/>
              </w:rPr>
              <w:t>Outcome-level Moderators</w:t>
            </w:r>
          </w:p>
        </w:tc>
        <w:tc>
          <w:tcPr>
            <w:tcW w:w="144"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144"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144"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Aggregation Span</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Intercept</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0.09</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30</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3.87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4.91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.012</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0.18</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0.07</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2.72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5.72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.036</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Slope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2.01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7.26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.083</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2.66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11.37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Item Content</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Extra pair partner</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0.82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168</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36.77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98.63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Not specified</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0.57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14.85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36.36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39</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88</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13.34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29.95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Unspecified partner</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0.58</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11.74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19.20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0.27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20</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8.51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16.49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Masturbation</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19</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11.94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16.22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Own partner</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0.27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6.81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10.01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Item Context</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First seeing an attractive person</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0.67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19</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15.21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14.92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Not specified</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47</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12.80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31.17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Romantic situation</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20</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2.51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15.43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.024</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While having sexual thoughts</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0.23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20</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6.25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15.43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While spending time with an attractive person</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0.50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20</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13.46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15.43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Type of Response Scale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No</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157</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268</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36.61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149.22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0.10</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4.23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6.03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.005</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Scale Range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Intercept</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0.08</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265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5.52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41.91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0.52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0.12</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49</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165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4.36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20.88</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2.34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2.60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Slope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0.01</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3.59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55.53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28.19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.243</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0.08</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-0.80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2.75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Item Wording</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Daydreams</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0.12</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3.11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.036</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Fantasies</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0.81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120</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189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35.24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111.37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Other</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0.24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1.98</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0.09</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4.44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2.14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Thoughts</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0.57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20.89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39.17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Desire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48</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15.27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40.42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432"/>
          <w:jc w:val="center"/>
        </w:trPr>
        <w:tc>
          <w:tcPr>
            <w:tcW w:w="2448" w:type="dxa"/>
            <w:shd w:val="clear" w:color="auto" w:fill="FFFFFF"/>
            <w:tcMar>
              <w:top w:w="0" w:type="dxa"/>
              <w:left w:w="0" w:type="dxa"/>
              <w:bottom w:w="0" w:type="dxa"/>
              <w:right w:w="0" w:type="dxa"/>
            </w:tcMar>
            <w:vAlign w:val="center"/>
          </w:tcPr>
          <w:p w:rsidR="008A214B" w:rsidRDefault="00C835BD">
            <w:pPr>
              <w:jc w:val="center"/>
            </w:pPr>
            <w:r>
              <w:rPr>
                <w:rFonts w:ascii="Arial" w:eastAsia="Arial" w:hAnsi="Arial" w:cs="Arial"/>
                <w:b/>
                <w:color w:val="000000"/>
                <w:sz w:val="12"/>
                <w:szCs w:val="12"/>
              </w:rPr>
              <w:t>Publication-level Moderators</w:t>
            </w:r>
          </w:p>
        </w:tc>
        <w:tc>
          <w:tcPr>
            <w:tcW w:w="144"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144"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144"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Aim to Find Gender Differences in Sex Drive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No</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127</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215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33.40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120.96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124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12.06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31.34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0.50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28</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8.09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9.75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9.93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9.63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Focus on Anonymity</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No</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136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26.37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70.99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11.13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22.31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70</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118</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21.27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65.60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20</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10.84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17.36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Focus on Gender Differences in Sex Drive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No</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118</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201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32.50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111.74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31</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11.36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26.63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0.60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20</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10.72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18.24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10.84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13.14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Focus on Gender Differences</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No</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0.78</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21.07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51.79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7.31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12.36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25.92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78.77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31</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13.77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26.90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Gender of First Author</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Female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57</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22.08</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54.00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39</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122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12.53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33.86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Male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100</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173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27.91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95.14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11.51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9.13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Mean Author Gender</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Intercept</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0.66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157</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275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18.33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51.38</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50</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166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11.00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25.32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0.82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5.18</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2.21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Slope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2.05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67.90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.044</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0.07</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-1.21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15.68</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.244</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-0.27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0.17</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3.25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Publication Status</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Published</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133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222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33.24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126.95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15.32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39.56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Unpublished</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0.66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28</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14.57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25.58</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0.12</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2.94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2.95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Sexuality Journal</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No</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117</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196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30.82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111.54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0.38</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32</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11.02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27.55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0.64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20.63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41.50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18</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10.25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16.19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432"/>
          <w:jc w:val="center"/>
        </w:trPr>
        <w:tc>
          <w:tcPr>
            <w:tcW w:w="2448" w:type="dxa"/>
            <w:shd w:val="clear" w:color="auto" w:fill="FFFFFF"/>
            <w:tcMar>
              <w:top w:w="0" w:type="dxa"/>
              <w:left w:w="0" w:type="dxa"/>
              <w:bottom w:w="0" w:type="dxa"/>
              <w:right w:w="0" w:type="dxa"/>
            </w:tcMar>
            <w:vAlign w:val="center"/>
          </w:tcPr>
          <w:p w:rsidR="008A214B" w:rsidRDefault="00C835BD">
            <w:pPr>
              <w:jc w:val="center"/>
            </w:pPr>
            <w:r>
              <w:rPr>
                <w:rFonts w:ascii="Arial" w:eastAsia="Arial" w:hAnsi="Arial" w:cs="Arial"/>
                <w:b/>
                <w:color w:val="000000"/>
                <w:sz w:val="12"/>
                <w:szCs w:val="12"/>
              </w:rPr>
              <w:t>Sample-level Moderators</w:t>
            </w:r>
          </w:p>
        </w:tc>
        <w:tc>
          <w:tcPr>
            <w:tcW w:w="144"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144"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144"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Mean Age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Intercept</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0.83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0.09</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137</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234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9.22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48.29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0.24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0.10</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48</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164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2.35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10.10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0.64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0.50</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1.30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1.80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Slope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-0.94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33.02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.356</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1.64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6.36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.148</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2.47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Percent White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Intercept</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0.84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47</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6.43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9.92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0.29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0.11</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27</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98</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2.56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6.26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0.51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0.18</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2.77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1.76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Slope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11.91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.683</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0.88</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9.06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.402</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0.92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2.02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Country-Level Gender Development</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Intercept</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-2.39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1.66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143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253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-1.44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39.93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.157</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3.52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1.76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48</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2.00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7.01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.085</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36.92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53.99</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0.68</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2.31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Slope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3.19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1.68</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1.90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40.58</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.065</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-3.16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1.78</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-1.78</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7.05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.118</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-36.52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54.52</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-0.67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2.30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Country-Level Gender Inequality</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Intercept</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0.07</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146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256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10.48</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32.25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0.08</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48</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5.05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27.57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0.25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4.15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1.24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Slope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0.25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0.35</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18.89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.479</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0.41</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35.90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.644</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-1.60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1.29</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-1.24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2.05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Percent Heterosexual</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lastRenderedPageBreak/>
              <w:t xml:space="preserve">    Intercept</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0.48</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0.17</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81</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2.86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9.18</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.018</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129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1.44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4.21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.219</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0.83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0.27</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3.09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Slope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1.31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10.29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.220</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4.78</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.175</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1.18</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Average Partnership Duration in Weeks</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Intercept</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31</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12.50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19.13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6.09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18.30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Slope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7.58</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.308</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0.08</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1.66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Percent Parents</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Intercept</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0.80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0.12</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21</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6.49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13.45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0.26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3.14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Slope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5.17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.685</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0.85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3.05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Country-Level Sex Ratio</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Intercept</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0.92</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146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256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21.06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.915</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0.55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1.89</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48</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0.29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8.52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.779</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2.36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5.66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1.49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Slope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0.01</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21.38</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.494</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-0.08</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8.64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.937</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-0.29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Study Restricted to Sexually Active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No</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0.78</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97</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172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32.40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89.47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29</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11.41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25.83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0.59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10.23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14.16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6.59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8.25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Percent Single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Intercept</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0.61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88</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158</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17.24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40.77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39</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130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9.43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27.16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0.83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6.16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Slope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3.59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31.11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7.74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.974</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-2.73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Percent University Students</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Intercept</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0.10</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80</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132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7.05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8.84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0.09</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20</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3.49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2.87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Slope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0.85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11.58</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.414</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0.81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4.44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.459</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432"/>
          <w:jc w:val="center"/>
        </w:trPr>
        <w:tc>
          <w:tcPr>
            <w:tcW w:w="2448" w:type="dxa"/>
            <w:shd w:val="clear" w:color="auto" w:fill="FFFFFF"/>
            <w:tcMar>
              <w:top w:w="0" w:type="dxa"/>
              <w:left w:w="0" w:type="dxa"/>
              <w:bottom w:w="0" w:type="dxa"/>
              <w:right w:w="0" w:type="dxa"/>
            </w:tcMar>
            <w:vAlign w:val="center"/>
          </w:tcPr>
          <w:p w:rsidR="008A214B" w:rsidRDefault="00C835BD">
            <w:pPr>
              <w:jc w:val="center"/>
            </w:pPr>
            <w:r>
              <w:rPr>
                <w:rFonts w:ascii="Arial" w:eastAsia="Arial" w:hAnsi="Arial" w:cs="Arial"/>
                <w:b/>
                <w:color w:val="000000"/>
                <w:sz w:val="12"/>
                <w:szCs w:val="12"/>
              </w:rPr>
              <w:t>Study-level Moderators</w:t>
            </w:r>
          </w:p>
        </w:tc>
        <w:tc>
          <w:tcPr>
            <w:tcW w:w="144"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144"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144"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288"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360" w:type="dxa"/>
            <w:shd w:val="clear" w:color="auto" w:fill="FFFFFF"/>
            <w:tcMar>
              <w:top w:w="0" w:type="dxa"/>
              <w:left w:w="0" w:type="dxa"/>
              <w:bottom w:w="0" w:type="dxa"/>
              <w:right w:w="0" w:type="dxa"/>
            </w:tcMar>
            <w:vAlign w:val="center"/>
          </w:tcPr>
          <w:p w:rsidR="008A214B" w:rsidRDefault="008A214B">
            <w:pPr>
              <w:jc w:val="center"/>
            </w:pPr>
          </w:p>
        </w:tc>
        <w:tc>
          <w:tcPr>
            <w:tcW w:w="432" w:type="dxa"/>
            <w:shd w:val="clear" w:color="auto" w:fill="FFFFFF"/>
            <w:tcMar>
              <w:top w:w="0" w:type="dxa"/>
              <w:left w:w="0" w:type="dxa"/>
              <w:bottom w:w="0" w:type="dxa"/>
              <w:right w:w="0" w:type="dxa"/>
            </w:tcMar>
            <w:vAlign w:val="center"/>
          </w:tcPr>
          <w:p w:rsidR="008A214B" w:rsidRDefault="008A214B">
            <w:pPr>
              <w:jc w:val="center"/>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Anonymity Reassurance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No</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92</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164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28.82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88.65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12.73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31.20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0.69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49</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17.20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45.39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13.47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7.19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Participant Compensation</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w:t>
            </w:r>
            <w:proofErr w:type="spellStart"/>
            <w:r>
              <w:rPr>
                <w:rFonts w:ascii="Arial" w:eastAsia="Arial" w:hAnsi="Arial" w:cs="Arial"/>
                <w:color w:val="000000"/>
                <w:sz w:val="12"/>
                <w:szCs w:val="12"/>
              </w:rPr>
              <w:t>Coursecredit</w:t>
            </w:r>
            <w:proofErr w:type="spellEnd"/>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0.80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29</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15.68</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27.46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11.20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2.91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Material</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0.66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13.13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32.95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18</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58</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7.20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16.83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Mixed</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18</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19.79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16.61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5.51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5.93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.002</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None</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18</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12.92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16.36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18</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3.44</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Electronic Data Collection</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No</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14.06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33.40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8.37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8.24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181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29.21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91.98</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12.86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28.82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Mixed</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3.61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1.69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Group Assessment</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Mixed</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0.52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8.78</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8.66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11.70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2.65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No</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180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30.09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97.61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36</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12.85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31.30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0.07</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19</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11.39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17.45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Personal Contact</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Mixed</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0.62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13.17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3.84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8.97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2.69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No</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27.45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80.36</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11.96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21.29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0.75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57</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97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19.63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53.81</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0.37</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18</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53</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8.42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15.09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Sexuality Study</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No</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0.80</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18.31</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21.98</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0.10</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3.52</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3.94</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0.65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87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18.69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40.93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68</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10.69</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22.82</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Year of Study</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288"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360" w:type="dxa"/>
            <w:shd w:val="clear" w:color="auto" w:fill="FFFFFF"/>
            <w:tcMar>
              <w:top w:w="0" w:type="dxa"/>
              <w:left w:w="0" w:type="dxa"/>
              <w:bottom w:w="0" w:type="dxa"/>
              <w:right w:w="0" w:type="dxa"/>
            </w:tcMar>
            <w:vAlign w:val="center"/>
          </w:tcPr>
          <w:p w:rsidR="008A214B" w:rsidRDefault="008A214B">
            <w:pPr>
              <w:jc w:val="right"/>
            </w:pPr>
          </w:p>
        </w:tc>
        <w:tc>
          <w:tcPr>
            <w:tcW w:w="432" w:type="dxa"/>
            <w:shd w:val="clear" w:color="auto" w:fill="FFFFFF"/>
            <w:tcMar>
              <w:top w:w="0" w:type="dxa"/>
              <w:left w:w="0" w:type="dxa"/>
              <w:bottom w:w="0" w:type="dxa"/>
              <w:right w:w="0" w:type="dxa"/>
            </w:tcMar>
            <w:vAlign w:val="center"/>
          </w:tcPr>
          <w:p w:rsidR="008A214B" w:rsidRDefault="008A214B">
            <w:pPr>
              <w:jc w:val="right"/>
            </w:pPr>
          </w:p>
        </w:tc>
      </w:tr>
      <w:tr w:rsidR="008A214B">
        <w:trPr>
          <w:trHeight w:hRule="exact" w:val="173"/>
          <w:jc w:val="center"/>
        </w:trPr>
        <w:tc>
          <w:tcPr>
            <w:tcW w:w="2448" w:type="dxa"/>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Intercept</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-4.29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11.95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152</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266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42.48</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.722</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5.29</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14.82</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49</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160</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0.36</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13.53</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.727</w:t>
            </w:r>
          </w:p>
        </w:tc>
        <w:tc>
          <w:tcPr>
            <w:tcW w:w="144"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-39.65</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41.85</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w:t>
            </w:r>
          </w:p>
        </w:tc>
        <w:tc>
          <w:tcPr>
            <w:tcW w:w="288"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-0.95</w:t>
            </w:r>
          </w:p>
        </w:tc>
        <w:tc>
          <w:tcPr>
            <w:tcW w:w="360"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4.18</w:t>
            </w:r>
          </w:p>
        </w:tc>
        <w:tc>
          <w:tcPr>
            <w:tcW w:w="432" w:type="dxa"/>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.395</w:t>
            </w:r>
          </w:p>
        </w:tc>
      </w:tr>
      <w:tr w:rsidR="008A214B">
        <w:trPr>
          <w:trHeight w:hRule="exact" w:val="173"/>
          <w:jc w:val="center"/>
        </w:trPr>
        <w:tc>
          <w:tcPr>
            <w:tcW w:w="2448" w:type="dxa"/>
            <w:tcBorders>
              <w:bottom w:val="single" w:sz="16" w:space="0" w:color="000000"/>
            </w:tcBorders>
            <w:shd w:val="clear" w:color="auto" w:fill="FFFFFF"/>
            <w:tcMar>
              <w:top w:w="0" w:type="dxa"/>
              <w:left w:w="0" w:type="dxa"/>
              <w:bottom w:w="0" w:type="dxa"/>
              <w:right w:w="0" w:type="dxa"/>
            </w:tcMar>
            <w:vAlign w:val="center"/>
          </w:tcPr>
          <w:p w:rsidR="008A214B" w:rsidRDefault="00C835BD">
            <w:r>
              <w:rPr>
                <w:rFonts w:ascii="Arial" w:eastAsia="Arial" w:hAnsi="Arial" w:cs="Arial"/>
                <w:color w:val="000000"/>
                <w:sz w:val="12"/>
                <w:szCs w:val="12"/>
              </w:rPr>
              <w:t xml:space="preserve">    Slope</w:t>
            </w:r>
          </w:p>
        </w:tc>
        <w:tc>
          <w:tcPr>
            <w:tcW w:w="144" w:type="dxa"/>
            <w:tcBorders>
              <w:bottom w:val="single" w:sz="16" w:space="0" w:color="000000"/>
            </w:tcBorders>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tcBorders>
              <w:bottom w:val="single" w:sz="16" w:space="0" w:color="000000"/>
            </w:tcBorders>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432" w:type="dxa"/>
            <w:tcBorders>
              <w:bottom w:val="single" w:sz="16" w:space="0" w:color="000000"/>
            </w:tcBorders>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0.01</w:t>
            </w:r>
          </w:p>
        </w:tc>
        <w:tc>
          <w:tcPr>
            <w:tcW w:w="288" w:type="dxa"/>
            <w:tcBorders>
              <w:bottom w:val="single" w:sz="16" w:space="0" w:color="000000"/>
            </w:tcBorders>
            <w:shd w:val="clear" w:color="auto" w:fill="FFFFFF"/>
            <w:tcMar>
              <w:top w:w="0" w:type="dxa"/>
              <w:left w:w="0" w:type="dxa"/>
              <w:bottom w:w="0" w:type="dxa"/>
              <w:right w:w="0" w:type="dxa"/>
            </w:tcMar>
            <w:vAlign w:val="center"/>
          </w:tcPr>
          <w:p w:rsidR="008A214B" w:rsidRDefault="008A214B">
            <w:pPr>
              <w:jc w:val="right"/>
            </w:pPr>
          </w:p>
        </w:tc>
        <w:tc>
          <w:tcPr>
            <w:tcW w:w="288" w:type="dxa"/>
            <w:tcBorders>
              <w:bottom w:val="single" w:sz="16" w:space="0" w:color="000000"/>
            </w:tcBorders>
            <w:shd w:val="clear" w:color="auto" w:fill="FFFFFF"/>
            <w:tcMar>
              <w:top w:w="0" w:type="dxa"/>
              <w:left w:w="0" w:type="dxa"/>
              <w:bottom w:w="0" w:type="dxa"/>
              <w:right w:w="0" w:type="dxa"/>
            </w:tcMar>
            <w:vAlign w:val="center"/>
          </w:tcPr>
          <w:p w:rsidR="008A214B" w:rsidRDefault="008A214B">
            <w:pPr>
              <w:jc w:val="right"/>
            </w:pPr>
          </w:p>
        </w:tc>
        <w:tc>
          <w:tcPr>
            <w:tcW w:w="360" w:type="dxa"/>
            <w:tcBorders>
              <w:bottom w:val="single" w:sz="16" w:space="0" w:color="000000"/>
            </w:tcBorders>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0.42</w:t>
            </w:r>
          </w:p>
        </w:tc>
        <w:tc>
          <w:tcPr>
            <w:tcW w:w="360" w:type="dxa"/>
            <w:tcBorders>
              <w:bottom w:val="single" w:sz="16" w:space="0" w:color="000000"/>
            </w:tcBorders>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42.54</w:t>
            </w:r>
          </w:p>
        </w:tc>
        <w:tc>
          <w:tcPr>
            <w:tcW w:w="432" w:type="dxa"/>
            <w:tcBorders>
              <w:bottom w:val="single" w:sz="16" w:space="0" w:color="000000"/>
            </w:tcBorders>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.676</w:t>
            </w:r>
          </w:p>
        </w:tc>
        <w:tc>
          <w:tcPr>
            <w:tcW w:w="144" w:type="dxa"/>
            <w:tcBorders>
              <w:bottom w:val="single" w:sz="16" w:space="0" w:color="000000"/>
            </w:tcBorders>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tcBorders>
              <w:bottom w:val="single" w:sz="16" w:space="0" w:color="000000"/>
            </w:tcBorders>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-0.00</w:t>
            </w:r>
          </w:p>
        </w:tc>
        <w:tc>
          <w:tcPr>
            <w:tcW w:w="432" w:type="dxa"/>
            <w:tcBorders>
              <w:bottom w:val="single" w:sz="16" w:space="0" w:color="000000"/>
            </w:tcBorders>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0.01</w:t>
            </w:r>
          </w:p>
        </w:tc>
        <w:tc>
          <w:tcPr>
            <w:tcW w:w="288" w:type="dxa"/>
            <w:tcBorders>
              <w:bottom w:val="single" w:sz="16" w:space="0" w:color="000000"/>
            </w:tcBorders>
            <w:shd w:val="clear" w:color="auto" w:fill="FFFFFF"/>
            <w:tcMar>
              <w:top w:w="0" w:type="dxa"/>
              <w:left w:w="0" w:type="dxa"/>
              <w:bottom w:w="0" w:type="dxa"/>
              <w:right w:w="0" w:type="dxa"/>
            </w:tcMar>
            <w:vAlign w:val="center"/>
          </w:tcPr>
          <w:p w:rsidR="008A214B" w:rsidRDefault="008A214B">
            <w:pPr>
              <w:jc w:val="right"/>
            </w:pPr>
          </w:p>
        </w:tc>
        <w:tc>
          <w:tcPr>
            <w:tcW w:w="288" w:type="dxa"/>
            <w:tcBorders>
              <w:bottom w:val="single" w:sz="16" w:space="0" w:color="000000"/>
            </w:tcBorders>
            <w:shd w:val="clear" w:color="auto" w:fill="FFFFFF"/>
            <w:tcMar>
              <w:top w:w="0" w:type="dxa"/>
              <w:left w:w="0" w:type="dxa"/>
              <w:bottom w:w="0" w:type="dxa"/>
              <w:right w:w="0" w:type="dxa"/>
            </w:tcMar>
            <w:vAlign w:val="center"/>
          </w:tcPr>
          <w:p w:rsidR="008A214B" w:rsidRDefault="008A214B">
            <w:pPr>
              <w:jc w:val="right"/>
            </w:pPr>
          </w:p>
        </w:tc>
        <w:tc>
          <w:tcPr>
            <w:tcW w:w="360" w:type="dxa"/>
            <w:tcBorders>
              <w:bottom w:val="single" w:sz="16" w:space="0" w:color="000000"/>
            </w:tcBorders>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-0.33</w:t>
            </w:r>
          </w:p>
        </w:tc>
        <w:tc>
          <w:tcPr>
            <w:tcW w:w="360" w:type="dxa"/>
            <w:tcBorders>
              <w:bottom w:val="single" w:sz="16" w:space="0" w:color="000000"/>
            </w:tcBorders>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13.56</w:t>
            </w:r>
          </w:p>
        </w:tc>
        <w:tc>
          <w:tcPr>
            <w:tcW w:w="432" w:type="dxa"/>
            <w:tcBorders>
              <w:bottom w:val="single" w:sz="16" w:space="0" w:color="000000"/>
            </w:tcBorders>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.747</w:t>
            </w:r>
          </w:p>
        </w:tc>
        <w:tc>
          <w:tcPr>
            <w:tcW w:w="144" w:type="dxa"/>
            <w:tcBorders>
              <w:bottom w:val="single" w:sz="16" w:space="0" w:color="000000"/>
            </w:tcBorders>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 xml:space="preserve"> </w:t>
            </w:r>
          </w:p>
        </w:tc>
        <w:tc>
          <w:tcPr>
            <w:tcW w:w="432" w:type="dxa"/>
            <w:tcBorders>
              <w:bottom w:val="single" w:sz="16" w:space="0" w:color="000000"/>
            </w:tcBorders>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0.02</w:t>
            </w:r>
          </w:p>
        </w:tc>
        <w:tc>
          <w:tcPr>
            <w:tcW w:w="432" w:type="dxa"/>
            <w:tcBorders>
              <w:bottom w:val="single" w:sz="16" w:space="0" w:color="000000"/>
            </w:tcBorders>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0.02</w:t>
            </w:r>
          </w:p>
        </w:tc>
        <w:tc>
          <w:tcPr>
            <w:tcW w:w="288" w:type="dxa"/>
            <w:tcBorders>
              <w:bottom w:val="single" w:sz="16" w:space="0" w:color="000000"/>
            </w:tcBorders>
            <w:shd w:val="clear" w:color="auto" w:fill="FFFFFF"/>
            <w:tcMar>
              <w:top w:w="0" w:type="dxa"/>
              <w:left w:w="0" w:type="dxa"/>
              <w:bottom w:w="0" w:type="dxa"/>
              <w:right w:w="0" w:type="dxa"/>
            </w:tcMar>
            <w:vAlign w:val="center"/>
          </w:tcPr>
          <w:p w:rsidR="008A214B" w:rsidRDefault="008A214B">
            <w:pPr>
              <w:jc w:val="right"/>
            </w:pPr>
          </w:p>
        </w:tc>
        <w:tc>
          <w:tcPr>
            <w:tcW w:w="288" w:type="dxa"/>
            <w:tcBorders>
              <w:bottom w:val="single" w:sz="16" w:space="0" w:color="000000"/>
            </w:tcBorders>
            <w:shd w:val="clear" w:color="auto" w:fill="FFFFFF"/>
            <w:tcMar>
              <w:top w:w="0" w:type="dxa"/>
              <w:left w:w="0" w:type="dxa"/>
              <w:bottom w:w="0" w:type="dxa"/>
              <w:right w:w="0" w:type="dxa"/>
            </w:tcMar>
            <w:vAlign w:val="center"/>
          </w:tcPr>
          <w:p w:rsidR="008A214B" w:rsidRDefault="008A214B">
            <w:pPr>
              <w:jc w:val="right"/>
            </w:pPr>
          </w:p>
        </w:tc>
        <w:tc>
          <w:tcPr>
            <w:tcW w:w="360" w:type="dxa"/>
            <w:tcBorders>
              <w:bottom w:val="single" w:sz="16" w:space="0" w:color="000000"/>
            </w:tcBorders>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0.96</w:t>
            </w:r>
          </w:p>
        </w:tc>
        <w:tc>
          <w:tcPr>
            <w:tcW w:w="360" w:type="dxa"/>
            <w:tcBorders>
              <w:bottom w:val="single" w:sz="16" w:space="0" w:color="000000"/>
            </w:tcBorders>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4.18</w:t>
            </w:r>
          </w:p>
        </w:tc>
        <w:tc>
          <w:tcPr>
            <w:tcW w:w="432" w:type="dxa"/>
            <w:tcBorders>
              <w:bottom w:val="single" w:sz="16" w:space="0" w:color="000000"/>
            </w:tcBorders>
            <w:shd w:val="clear" w:color="auto" w:fill="FFFFFF"/>
            <w:tcMar>
              <w:top w:w="0" w:type="dxa"/>
              <w:left w:w="0" w:type="dxa"/>
              <w:bottom w:w="0" w:type="dxa"/>
              <w:right w:w="0" w:type="dxa"/>
            </w:tcMar>
            <w:vAlign w:val="center"/>
          </w:tcPr>
          <w:p w:rsidR="008A214B" w:rsidRDefault="00C835BD">
            <w:pPr>
              <w:jc w:val="right"/>
            </w:pPr>
            <w:r>
              <w:rPr>
                <w:rFonts w:ascii="Arial" w:eastAsia="Arial" w:hAnsi="Arial" w:cs="Arial"/>
                <w:color w:val="000000"/>
                <w:sz w:val="12"/>
                <w:szCs w:val="12"/>
              </w:rPr>
              <w:t>.388</w:t>
            </w:r>
          </w:p>
        </w:tc>
      </w:tr>
      <w:tr w:rsidR="008A214B">
        <w:trPr>
          <w:jc w:val="center"/>
        </w:trPr>
        <w:tc>
          <w:tcPr>
            <w:tcW w:w="10656" w:type="dxa"/>
            <w:gridSpan w:val="25"/>
            <w:shd w:val="clear" w:color="auto" w:fill="FFFFFF"/>
            <w:tcMar>
              <w:top w:w="0" w:type="dxa"/>
              <w:left w:w="0" w:type="dxa"/>
              <w:bottom w:w="0" w:type="dxa"/>
              <w:right w:w="0" w:type="dxa"/>
            </w:tcMar>
            <w:vAlign w:val="center"/>
          </w:tcPr>
          <w:p w:rsidR="008A214B" w:rsidRDefault="00C835BD">
            <w:pPr>
              <w:spacing w:before="60" w:after="60"/>
              <w:ind w:left="60" w:right="60"/>
            </w:pPr>
            <w:r>
              <w:rPr>
                <w:rFonts w:ascii="Arial" w:eastAsia="Arial" w:hAnsi="Arial" w:cs="Arial"/>
                <w:i/>
                <w:color w:val="000000"/>
                <w:sz w:val="12"/>
                <w:szCs w:val="12"/>
              </w:rPr>
              <w:t xml:space="preserve">Note. </w:t>
            </w:r>
            <w:r>
              <w:rPr>
                <w:rFonts w:ascii="Arial" w:eastAsia="Arial" w:hAnsi="Arial" w:cs="Arial"/>
                <w:color w:val="000000"/>
                <w:sz w:val="12"/>
                <w:szCs w:val="12"/>
              </w:rPr>
              <w:t xml:space="preserve">Meta-regression tables for moderation of the indicators of latent sex drive and cognition frequency (not controlled for item content). </w:t>
            </w:r>
            <w:r>
              <w:rPr>
                <w:rFonts w:ascii="Arial" w:eastAsia="Arial" w:hAnsi="Arial" w:cs="Arial"/>
                <w:color w:val="000000"/>
                <w:sz w:val="12"/>
                <w:szCs w:val="12"/>
              </w:rPr>
              <w:t xml:space="preserve">For categorical moderators, point estimates for subgroups and corresponding significance tests are presented. For continuous moderators, values are presented for the intercept and slope. Some models could not be fitted because the number of available </w:t>
            </w:r>
            <w:proofErr w:type="spellStart"/>
            <w:r>
              <w:rPr>
                <w:rFonts w:ascii="Arial" w:eastAsia="Arial" w:hAnsi="Arial" w:cs="Arial"/>
                <w:color w:val="000000"/>
                <w:sz w:val="12"/>
                <w:szCs w:val="12"/>
              </w:rPr>
              <w:t>codin</w:t>
            </w:r>
            <w:r>
              <w:rPr>
                <w:rFonts w:ascii="Arial" w:eastAsia="Arial" w:hAnsi="Arial" w:cs="Arial"/>
                <w:color w:val="000000"/>
                <w:sz w:val="12"/>
                <w:szCs w:val="12"/>
              </w:rPr>
              <w:t>gs</w:t>
            </w:r>
            <w:proofErr w:type="spellEnd"/>
            <w:r>
              <w:rPr>
                <w:rFonts w:ascii="Arial" w:eastAsia="Arial" w:hAnsi="Arial" w:cs="Arial"/>
                <w:color w:val="000000"/>
                <w:sz w:val="12"/>
                <w:szCs w:val="12"/>
              </w:rPr>
              <w:t xml:space="preserve"> was insufficient. These are left blank. </w:t>
            </w:r>
            <w:r>
              <w:rPr>
                <w:rFonts w:ascii="Arial" w:eastAsia="Arial" w:hAnsi="Arial" w:cs="Arial"/>
                <w:i/>
                <w:color w:val="000000"/>
                <w:sz w:val="12"/>
                <w:szCs w:val="12"/>
              </w:rPr>
              <w:t>g</w:t>
            </w:r>
            <w:r>
              <w:rPr>
                <w:rFonts w:ascii="Arial" w:eastAsia="Arial" w:hAnsi="Arial" w:cs="Arial"/>
                <w:color w:val="000000"/>
                <w:sz w:val="12"/>
                <w:szCs w:val="12"/>
              </w:rPr>
              <w:t xml:space="preserve"> = Hedges' </w:t>
            </w:r>
            <w:r>
              <w:rPr>
                <w:rFonts w:ascii="Arial" w:eastAsia="Arial" w:hAnsi="Arial" w:cs="Arial"/>
                <w:i/>
                <w:color w:val="000000"/>
                <w:sz w:val="12"/>
                <w:szCs w:val="12"/>
              </w:rPr>
              <w:t>g</w:t>
            </w:r>
            <w:r>
              <w:rPr>
                <w:rFonts w:ascii="Arial" w:eastAsia="Arial" w:hAnsi="Arial" w:cs="Arial"/>
                <w:color w:val="000000"/>
                <w:sz w:val="12"/>
                <w:szCs w:val="12"/>
              </w:rPr>
              <w:t xml:space="preserve"> effect size. </w:t>
            </w:r>
            <w:r>
              <w:rPr>
                <w:rFonts w:ascii="Arial" w:eastAsia="Arial" w:hAnsi="Arial" w:cs="Arial"/>
                <w:i/>
                <w:color w:val="000000"/>
                <w:sz w:val="12"/>
                <w:szCs w:val="12"/>
              </w:rPr>
              <w:t>SE</w:t>
            </w:r>
            <w:r>
              <w:rPr>
                <w:rFonts w:ascii="Arial" w:eastAsia="Arial" w:hAnsi="Arial" w:cs="Arial"/>
                <w:color w:val="000000"/>
                <w:sz w:val="12"/>
                <w:szCs w:val="12"/>
              </w:rPr>
              <w:t xml:space="preserve"> = Standard Error for Hedges' </w:t>
            </w:r>
            <w:r>
              <w:rPr>
                <w:rFonts w:ascii="Arial" w:eastAsia="Arial" w:hAnsi="Arial" w:cs="Arial"/>
                <w:i/>
                <w:color w:val="000000"/>
                <w:sz w:val="12"/>
                <w:szCs w:val="12"/>
              </w:rPr>
              <w:t>g</w:t>
            </w:r>
            <w:r>
              <w:rPr>
                <w:rFonts w:ascii="Arial" w:eastAsia="Arial" w:hAnsi="Arial" w:cs="Arial"/>
                <w:color w:val="000000"/>
                <w:sz w:val="12"/>
                <w:szCs w:val="12"/>
              </w:rPr>
              <w:t xml:space="preserve"> effect size. </w:t>
            </w:r>
            <w:r>
              <w:rPr>
                <w:rFonts w:ascii="Arial" w:eastAsia="Arial" w:hAnsi="Arial" w:cs="Arial"/>
                <w:i/>
                <w:color w:val="000000"/>
                <w:sz w:val="12"/>
                <w:szCs w:val="12"/>
              </w:rPr>
              <w:t>k</w:t>
            </w:r>
            <w:r>
              <w:rPr>
                <w:rFonts w:ascii="Arial" w:eastAsia="Arial" w:hAnsi="Arial" w:cs="Arial"/>
                <w:color w:val="000000"/>
                <w:sz w:val="12"/>
                <w:szCs w:val="12"/>
              </w:rPr>
              <w:t xml:space="preserve"> = number of studies per subgroup. </w:t>
            </w:r>
            <w:r>
              <w:rPr>
                <w:rFonts w:ascii="Arial" w:eastAsia="Arial" w:hAnsi="Arial" w:cs="Arial"/>
                <w:i/>
                <w:color w:val="000000"/>
                <w:sz w:val="12"/>
                <w:szCs w:val="12"/>
              </w:rPr>
              <w:t>m</w:t>
            </w:r>
            <w:r>
              <w:rPr>
                <w:rFonts w:ascii="Arial" w:eastAsia="Arial" w:hAnsi="Arial" w:cs="Arial"/>
                <w:color w:val="000000"/>
                <w:sz w:val="12"/>
                <w:szCs w:val="12"/>
              </w:rPr>
              <w:t xml:space="preserve"> = number of effect sizes per subgroup. </w:t>
            </w:r>
            <w:r>
              <w:rPr>
                <w:rFonts w:ascii="Arial" w:eastAsia="Arial" w:hAnsi="Arial" w:cs="Arial"/>
                <w:i/>
                <w:color w:val="000000"/>
                <w:sz w:val="12"/>
                <w:szCs w:val="12"/>
              </w:rPr>
              <w:t>t</w:t>
            </w:r>
            <w:r>
              <w:rPr>
                <w:rFonts w:ascii="Arial" w:eastAsia="Arial" w:hAnsi="Arial" w:cs="Arial"/>
                <w:color w:val="000000"/>
                <w:sz w:val="12"/>
                <w:szCs w:val="12"/>
              </w:rPr>
              <w:t xml:space="preserve">-value from </w:t>
            </w:r>
            <w:r>
              <w:rPr>
                <w:rFonts w:ascii="Arial" w:eastAsia="Arial" w:hAnsi="Arial" w:cs="Arial"/>
                <w:i/>
                <w:color w:val="000000"/>
                <w:sz w:val="12"/>
                <w:szCs w:val="12"/>
              </w:rPr>
              <w:t>t</w:t>
            </w:r>
            <w:r>
              <w:rPr>
                <w:rFonts w:ascii="Arial" w:eastAsia="Arial" w:hAnsi="Arial" w:cs="Arial"/>
                <w:color w:val="000000"/>
                <w:sz w:val="12"/>
                <w:szCs w:val="12"/>
              </w:rPr>
              <w:t xml:space="preserve">-test testing the parameter against zero. </w:t>
            </w:r>
            <w:r>
              <w:rPr>
                <w:rFonts w:ascii="Arial" w:eastAsia="Arial" w:hAnsi="Arial" w:cs="Arial"/>
                <w:i/>
                <w:color w:val="000000"/>
                <w:sz w:val="12"/>
                <w:szCs w:val="12"/>
              </w:rPr>
              <w:t>df</w:t>
            </w:r>
            <w:r>
              <w:rPr>
                <w:rFonts w:ascii="Arial" w:eastAsia="Arial" w:hAnsi="Arial" w:cs="Arial"/>
                <w:color w:val="000000"/>
                <w:sz w:val="12"/>
                <w:szCs w:val="12"/>
              </w:rPr>
              <w:t xml:space="preserve"> = s</w:t>
            </w:r>
            <w:r>
              <w:rPr>
                <w:rFonts w:ascii="Arial" w:eastAsia="Arial" w:hAnsi="Arial" w:cs="Arial"/>
                <w:color w:val="000000"/>
                <w:sz w:val="12"/>
                <w:szCs w:val="12"/>
              </w:rPr>
              <w:t xml:space="preserve">mall-sample-corrected degrees of freedom. </w:t>
            </w:r>
            <w:r>
              <w:rPr>
                <w:rFonts w:ascii="Arial" w:eastAsia="Arial" w:hAnsi="Arial" w:cs="Arial"/>
                <w:i/>
                <w:color w:val="000000"/>
                <w:sz w:val="12"/>
                <w:szCs w:val="12"/>
              </w:rPr>
              <w:t>p</w:t>
            </w:r>
            <w:r>
              <w:rPr>
                <w:rFonts w:ascii="Arial" w:eastAsia="Arial" w:hAnsi="Arial" w:cs="Arial"/>
                <w:color w:val="000000"/>
                <w:sz w:val="12"/>
                <w:szCs w:val="12"/>
              </w:rPr>
              <w:t xml:space="preserve"> = </w:t>
            </w:r>
            <w:r>
              <w:rPr>
                <w:rFonts w:ascii="Arial" w:eastAsia="Arial" w:hAnsi="Arial" w:cs="Arial"/>
                <w:i/>
                <w:color w:val="000000"/>
                <w:sz w:val="12"/>
                <w:szCs w:val="12"/>
              </w:rPr>
              <w:t>p</w:t>
            </w:r>
            <w:r>
              <w:rPr>
                <w:rFonts w:ascii="Arial" w:eastAsia="Arial" w:hAnsi="Arial" w:cs="Arial"/>
                <w:color w:val="000000"/>
                <w:sz w:val="12"/>
                <w:szCs w:val="12"/>
              </w:rPr>
              <w:t xml:space="preserve">-value associated with the </w:t>
            </w:r>
            <w:r>
              <w:rPr>
                <w:rFonts w:ascii="Arial" w:eastAsia="Arial" w:hAnsi="Arial" w:cs="Arial"/>
                <w:i/>
                <w:color w:val="000000"/>
                <w:sz w:val="12"/>
                <w:szCs w:val="12"/>
              </w:rPr>
              <w:t>t</w:t>
            </w:r>
            <w:r>
              <w:rPr>
                <w:rFonts w:ascii="Arial" w:eastAsia="Arial" w:hAnsi="Arial" w:cs="Arial"/>
                <w:color w:val="000000"/>
                <w:sz w:val="12"/>
                <w:szCs w:val="12"/>
              </w:rPr>
              <w:t xml:space="preserve">-value and </w:t>
            </w:r>
            <w:r>
              <w:rPr>
                <w:rFonts w:ascii="Arial" w:eastAsia="Arial" w:hAnsi="Arial" w:cs="Arial"/>
                <w:i/>
                <w:color w:val="000000"/>
                <w:sz w:val="12"/>
                <w:szCs w:val="12"/>
              </w:rPr>
              <w:t>df</w:t>
            </w:r>
            <w:r>
              <w:rPr>
                <w:rFonts w:ascii="Arial" w:eastAsia="Arial" w:hAnsi="Arial" w:cs="Arial"/>
                <w:color w:val="000000"/>
                <w:sz w:val="12"/>
                <w:szCs w:val="12"/>
              </w:rPr>
              <w:t xml:space="preserve"> in the same row. Note that if degrees of freedom fall below 4, significance tests are unreliable. </w:t>
            </w:r>
            <w:r>
              <w:rPr>
                <w:rFonts w:ascii="Arial" w:eastAsia="Arial" w:hAnsi="Arial" w:cs="Arial"/>
                <w:i/>
                <w:color w:val="000000"/>
                <w:sz w:val="12"/>
                <w:szCs w:val="12"/>
              </w:rPr>
              <w:t>p</w:t>
            </w:r>
            <w:r>
              <w:rPr>
                <w:rFonts w:ascii="Arial" w:eastAsia="Arial" w:hAnsi="Arial" w:cs="Arial"/>
                <w:color w:val="000000"/>
                <w:sz w:val="12"/>
                <w:szCs w:val="12"/>
              </w:rPr>
              <w:t xml:space="preserve">-values for unreliable tests are not reported (N/A). </w:t>
            </w:r>
          </w:p>
        </w:tc>
      </w:tr>
    </w:tbl>
    <w:p w:rsidR="00C835BD" w:rsidRDefault="00C835BD"/>
    <w:sectPr w:rsidR="00C835BD"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25FD"/>
    <w:multiLevelType w:val="multilevel"/>
    <w:tmpl w:val="88F45F08"/>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7F6F0E"/>
    <w:rsid w:val="008A214B"/>
    <w:rsid w:val="008F1F48"/>
    <w:rsid w:val="00901463"/>
    <w:rsid w:val="00946CB3"/>
    <w:rsid w:val="00AE18EF"/>
    <w:rsid w:val="00AE1BDD"/>
    <w:rsid w:val="00B3547C"/>
    <w:rsid w:val="00B4379D"/>
    <w:rsid w:val="00C27329"/>
    <w:rsid w:val="00C31EEB"/>
    <w:rsid w:val="00C835BD"/>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C0F6B"/>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berschrift2">
    <w:name w:val="heading 2"/>
    <w:basedOn w:val="Standard"/>
    <w:next w:val="Standard"/>
    <w:link w:val="berschrift2Zchn"/>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ett1">
    <w:name w:val="Fett1"/>
    <w:basedOn w:val="Absatz-Standardschriftart"/>
    <w:uiPriority w:val="1"/>
    <w:qFormat/>
    <w:rsid w:val="007B3E96"/>
    <w:rPr>
      <w:b/>
    </w:rPr>
  </w:style>
  <w:style w:type="paragraph" w:customStyle="1" w:styleId="centered">
    <w:name w:val="centered"/>
    <w:basedOn w:val="Standard"/>
    <w:qFormat/>
    <w:rsid w:val="001D75AB"/>
    <w:pPr>
      <w:jc w:val="center"/>
    </w:pPr>
  </w:style>
  <w:style w:type="table" w:customStyle="1" w:styleId="tabletemplate">
    <w:name w:val="table_template"/>
    <w:basedOn w:val="NormaleTabelle"/>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HelleListe-Akzent2">
    <w:name w:val="Light List Accent 2"/>
    <w:basedOn w:val="NormaleTabelle"/>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berschrift1Zchn">
    <w:name w:val="Überschrift 1 Zchn"/>
    <w:basedOn w:val="Absatz-Standardschriftart"/>
    <w:link w:val="berschrift1"/>
    <w:uiPriority w:val="9"/>
    <w:rsid w:val="00362E65"/>
    <w:rPr>
      <w:rFonts w:asciiTheme="majorHAnsi" w:eastAsiaTheme="majorEastAsia" w:hAnsiTheme="majorHAnsi" w:cstheme="majorBidi"/>
      <w:b/>
      <w:bCs/>
      <w:sz w:val="32"/>
      <w:szCs w:val="32"/>
    </w:rPr>
  </w:style>
  <w:style w:type="character" w:customStyle="1" w:styleId="berschrift2Zchn">
    <w:name w:val="Überschrift 2 Zchn"/>
    <w:basedOn w:val="Absatz-Standardschriftart"/>
    <w:link w:val="berschrift2"/>
    <w:uiPriority w:val="9"/>
    <w:semiHidden/>
    <w:rsid w:val="00362E65"/>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semiHidden/>
    <w:rsid w:val="00362E65"/>
    <w:rPr>
      <w:rFonts w:asciiTheme="majorHAnsi" w:eastAsiaTheme="majorEastAsia" w:hAnsiTheme="majorHAnsi" w:cstheme="majorBidi"/>
      <w:b/>
      <w:bCs/>
    </w:rPr>
  </w:style>
  <w:style w:type="paragraph" w:customStyle="1" w:styleId="ImageCaption">
    <w:name w:val="Image Caption"/>
    <w:basedOn w:val="Standard"/>
    <w:qFormat/>
    <w:rsid w:val="00AE18EF"/>
    <w:pPr>
      <w:jc w:val="center"/>
    </w:pPr>
    <w:rPr>
      <w:b/>
      <w:i/>
    </w:rPr>
  </w:style>
  <w:style w:type="paragraph" w:customStyle="1" w:styleId="TableCaption">
    <w:name w:val="Table Caption"/>
    <w:basedOn w:val="ImageCaption"/>
    <w:qFormat/>
    <w:rsid w:val="00AE18EF"/>
  </w:style>
  <w:style w:type="table" w:styleId="TabelleProfessionell">
    <w:name w:val="Table Professional"/>
    <w:basedOn w:val="NormaleTabelle"/>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Verzeichnis1">
    <w:name w:val="toc 1"/>
    <w:basedOn w:val="Standard"/>
    <w:next w:val="Standard"/>
    <w:autoRedefine/>
    <w:uiPriority w:val="39"/>
    <w:unhideWhenUsed/>
    <w:rsid w:val="00FB63E7"/>
    <w:pPr>
      <w:spacing w:after="100"/>
    </w:pPr>
  </w:style>
  <w:style w:type="paragraph" w:styleId="Verzeichnis2">
    <w:name w:val="toc 2"/>
    <w:basedOn w:val="Standard"/>
    <w:next w:val="Standard"/>
    <w:autoRedefine/>
    <w:uiPriority w:val="39"/>
    <w:unhideWhenUsed/>
    <w:rsid w:val="00FB63E7"/>
    <w:pPr>
      <w:spacing w:after="100"/>
      <w:ind w:left="240"/>
    </w:pPr>
  </w:style>
  <w:style w:type="paragraph" w:styleId="Sprechblasentext">
    <w:name w:val="Balloon Text"/>
    <w:basedOn w:val="Standard"/>
    <w:link w:val="SprechblasentextZchn"/>
    <w:uiPriority w:val="99"/>
    <w:semiHidden/>
    <w:unhideWhenUsed/>
    <w:rsid w:val="00FB63E7"/>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B63E7"/>
    <w:rPr>
      <w:rFonts w:ascii="Lucida Grande" w:hAnsi="Lucida Grande"/>
      <w:sz w:val="18"/>
      <w:szCs w:val="18"/>
    </w:rPr>
  </w:style>
  <w:style w:type="character" w:customStyle="1" w:styleId="referenceid">
    <w:name w:val="reference_id"/>
    <w:basedOn w:val="Absatz-Standardschriftart"/>
    <w:uiPriority w:val="1"/>
    <w:rsid w:val="00457CF1"/>
    <w:rPr>
      <w:vertAlign w:val="superscript"/>
    </w:rPr>
  </w:style>
  <w:style w:type="paragraph" w:customStyle="1" w:styleId="graphictitle">
    <w:name w:val="graphic title"/>
    <w:basedOn w:val="ImageCaption"/>
    <w:next w:val="Standard"/>
    <w:rsid w:val="0035500D"/>
  </w:style>
  <w:style w:type="paragraph" w:customStyle="1" w:styleId="tabletitle">
    <w:name w:val="table title"/>
    <w:basedOn w:val="TableCaption"/>
    <w:next w:val="Standard"/>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1390</Words>
  <Characters>8757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10127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Julius Frankenbach</cp:lastModifiedBy>
  <cp:revision>10</cp:revision>
  <dcterms:created xsi:type="dcterms:W3CDTF">2017-02-28T11:18:00Z</dcterms:created>
  <dcterms:modified xsi:type="dcterms:W3CDTF">2021-08-19T14:30:00Z</dcterms:modified>
  <cp:category/>
</cp:coreProperties>
</file>