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56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S5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Regression Tables for Moderation Analyses (Indicators of Latent Sex Drive)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473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 (uncontrolled)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Intensity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Self-Rated Sex Drive</w:t>
            </w:r>
          </w:p>
        </w:tc>
      </w:tr>
      <w:tr>
        <w:trPr>
          <w:trHeight w:val="43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Extra pair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 target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Unspecified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Own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First seeing an attractive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Romantic situation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While having sexual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While spending time with an attractive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126.95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-36.52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.395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42.54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.388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indicators of latent sex drive and cognition frequency (not controlled for item content).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2022-04-23T12:55:28Z</dcterms:modified>
  <cp:category/>
</cp:coreProperties>
</file>