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</w:tblGrid>
      <w:tr>
        <w:trPr>
          <w:trHeight w:val="366" w:hRule="auto"/>
          <w:tblHeader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3</w:t>
            </w:r>
          </w:p>
        </w:tc>
      </w:tr>
      <w:tr>
        <w:trPr>
          <w:trHeight w:val="366" w:hRule="auto"/>
          <w:tblHeader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Tests for Moderation (Sex Drive Manifestations)</w:t>
            </w:r>
          </w:p>
        </w:tc>
      </w:tr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361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Tests for moderation of the sex drive manifestations. The tests indicate significance of the slope for continuous moderators or differences between subgroups for categorical moderators.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the results are statistically controlled for item content (extra-pair partner vs. any partner/not specified).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Hotelling-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-approximated test statistic.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test statistic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2"/>
                <w:szCs w:val="1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proportion of the variation in observed effects that is due to variation in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estimated standard deviation of the true effects.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2021-08-19T16:25:45Z</dcterms:modified>
  <cp:category/>
</cp:coreProperties>
</file>