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92"/>
        <w:tblLook w:firstRow="1" w:lastRow="0" w:firstColumn="0" w:lastColumn="0" w:noHBand="0" w:noVBand="1"/>
      </w:tblPr>
      <w:tblGrid>
        <w:gridCol w:w="2448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</w:tblGrid>
      <w:tr>
        <w:trPr>
          <w:trHeight w:val="188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183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0.18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Year of Study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.397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.755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.698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94.99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0.20</w:t>
            </w:r>
          </w:p>
        </w:tc>
      </w:tr>
      <w:tr>
        <w:trPr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Tests for moderation of the primary sex drive indicators. The tests indicate significance of the slope for continuous moderators or differences between subgroups for categorical moderators.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the results are statistically controlled for item content (extra-pair partner vs. any partner/not specified).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Hotelling-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-approximated test statistic.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test statistic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proportion of the variation in observed effects that is due to variation in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estimated standard deviation of the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2020-12-16T12:40:25Z</dcterms:modified>
  <cp:category/>
</cp:coreProperties>
</file>