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</w:tblGrid>
      <w:tr>
        <w:trPr>
          <w:trHeight w:val="473" w:hRule="auto"/>
          <w:tblHeader/>
        </w:trPr>
        <w:tc>
          <w:tcPr>
            <w:gridSpan w:val="1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3</w:t>
            </w:r>
          </w:p>
        </w:tc>
      </w:tr>
      <w:tr>
        <w:trPr>
          <w:trHeight w:val="473" w:hRule="auto"/>
          <w:tblHeader/>
        </w:trPr>
        <w:tc>
          <w:tcPr>
            <w:gridSpan w:val="1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Tests for Moderation (Sex Drive Manifestations)</w:t>
            </w:r>
          </w:p>
        </w:tc>
      </w:tr>
      <w:tr>
        <w:trPr>
          <w:trHeight w:val="473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468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Tests for moderation of the sex drive manifestations. The tests indicate significance of the slope for continuous moderators or differences between subgroups for categorical moderators.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the results are statistically controlled for item content (extra-pair partner vs. any partner/not specified).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Hotelling-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-approximated test statistic.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test statistic and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vertAlign w:val="superscript"/>
                <w:sz w:val="12"/>
                <w:szCs w:val="1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proportion of the variation in observed effects that is due to variation in true effects. </w:t>
            </w: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estimated standard deviation of the true effects.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2022-04-20T16:57:00Z</dcterms:modified>
  <cp:category/>
</cp:coreProperties>
</file>