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  <w:gridCol w:w="144"/>
        <w:gridCol w:w="504"/>
        <w:gridCol w:w="504"/>
        <w:gridCol w:w="432"/>
        <w:gridCol w:w="432"/>
        <w:gridCol w:w="432"/>
      </w:tblGrid>
      <w:tr>
        <w:trPr>
          <w:trHeight w:val="473" w:hRule="auto"/>
          <w:tblHeader/>
        </w:trPr>
        <w:tc>
          <w:tcPr>
            <w:gridSpan w:val="1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3</w:t>
            </w:r>
          </w:p>
        </w:tc>
      </w:tr>
      <w:tr>
        <w:trPr>
          <w:trHeight w:val="473" w:hRule="auto"/>
          <w:tblHeader/>
        </w:trPr>
        <w:tc>
          <w:tcPr>
            <w:gridSpan w:val="1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Tests for Moderation (Sex Drive Manifestations)</w:t>
            </w:r>
          </w:p>
        </w:tc>
      </w:tr>
      <w:tr>
        <w:trPr>
          <w:trHeight w:val="473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468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i/>
                <w:vertAlign w:val="superscript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77.35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86.44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Tests for moderation of the sex drive manifestations. The tests indicate significance of the slope for continuous moderators or differences between subgroups for categorical moderators.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the results are statistically controlled for item content (extra-pair partner vs. any partner/no target).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HTZ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Hotelling-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-approximated test statistic.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small-sample-corrected degrees of freedom.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test statistic and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I</w:t>
            </w:r>
            <w:r>
              <w:rPr>
                <w:rFonts w:ascii="Arial" w:hAnsi="Arial" w:eastAsia="Arial" w:cs="Arial"/>
                <w:vertAlign w:val="superscript"/>
                <w:sz w:val="12"/>
                <w:szCs w:val="1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proportion of the variation in observed effects that is due to variation in true effects. </w:t>
            </w:r>
            <w:r>
              <w:rPr>
                <w:rFonts w:ascii="Symbol" w:hAnsi="Symbol" w:eastAsia="Symbol" w:cs="Symbo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estimated standard deviation of the true effects.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 of freedom fall below 4, significance tests are unreliable.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2022-04-23T12:55:54Z</dcterms:modified>
  <cp:category/>
</cp:coreProperties>
</file>