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Lines w:val="0"/>
        <w:spacing w:after="60" w:before="240" w:line="240" w:lineRule="auto"/>
        <w:ind w:left="566.9999999999999" w:firstLine="0"/>
        <w:rPr>
          <w:rFonts w:ascii="Calibri" w:cs="Calibri" w:eastAsia="Calibri" w:hAnsi="Calibri"/>
          <w:b w:val="1"/>
          <w:bCs w:val="1"/>
          <w:color w:val="548dd4"/>
          <w:sz w:val="26"/>
          <w:szCs w:val="26"/>
        </w:rPr>
      </w:pPr>
      <w:bookmarkStart w:colFirst="0" w:colLast="0" w:name="_d9iqoe5s5l2u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6"/>
          <w:szCs w:val="26"/>
          <w:rtl w:val="0"/>
        </w:rPr>
        <w:t xml:space="preserve">Acta de constitución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Proyecto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Pitagora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06/04/2026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Optimizar gestión de solicitudes a través de tickets.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Alcance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App web responsive, sistema de autenticación, tickets con estado (en proceso, terminado, no aplica), subida de fotos, notificaciones automatizadas, dashboard con estadísticas y exportación reportes (excel / PDF).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Constructora Pitagora S.A.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Jefe de Proyecto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Jorge Gálvez.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Duración estimada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10 semanas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Aprobado por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Jefe de Proyecto, Jorge Gálvez</w:t>
      </w:r>
    </w:p>
    <w:sectPr>
      <w:pgSz w:h="16838" w:w="11906" w:orient="portrait"/>
      <w:pgMar w:bottom="1955.905511811024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