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rph7d5xxvrs0"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3465lucoy56p"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5.png"/>
                  <a:graphic>
                    <a:graphicData uri="http://schemas.openxmlformats.org/drawingml/2006/picture">
                      <pic:pic>
                        <pic:nvPicPr>
                          <pic:cNvPr descr="Inteligencia artificial con relleno sólido" id="0" name="image5.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rPr>
      </w:pPr>
      <w:r w:rsidDel="00000000" w:rsidR="00000000" w:rsidRPr="00000000">
        <w:rPr>
          <w:rtl w:val="0"/>
        </w:rPr>
      </w:r>
    </w:p>
    <w:tbl>
      <w:tblPr>
        <w:tblStyle w:val="Table5"/>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19.310.618-8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Gálvez Román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de Documentación</w:t>
            </w:r>
          </w:p>
        </w:tc>
      </w:tr>
    </w:tbl>
    <w:p w:rsidR="00000000" w:rsidDel="00000000" w:rsidP="00000000" w:rsidRDefault="00000000" w:rsidRPr="00000000" w14:paraId="0000004E">
      <w:pPr>
        <w:spacing w:after="160" w:line="259" w:lineRule="auto"/>
        <w:rPr>
          <w:rFonts w:ascii="Calibri" w:cs="Calibri" w:eastAsia="Calibri" w:hAnsi="Calibri"/>
          <w:color w:val="000000"/>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Constructora Pitágoras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App de canalización de tickets de postventa.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El área de postventa opera bajo un sistema manual, sin</w:t>
            </w:r>
            <w:r w:rsidDel="00000000" w:rsidR="00000000" w:rsidRPr="00000000">
              <w:rPr>
                <w:rFonts w:ascii="Calibri" w:cs="Calibri" w:eastAsia="Calibri" w:hAnsi="Calibri"/>
                <w:sz w:val="20"/>
                <w:szCs w:val="20"/>
                <w:rtl w:val="0"/>
              </w:rPr>
              <w:t xml:space="preserve"> control en la gestión de las solicitudes y con múltiples canales de comunicación, haciendo compleja la trazabilidad de las solicitudes, provocando pérdidas de estas y causando problemas legales en el pasado.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rFonts w:ascii="Calibri" w:cs="Calibri" w:eastAsia="Calibri" w:hAnsi="Calibri"/>
                <w:sz w:val="20"/>
                <w:szCs w:val="20"/>
                <w:rtl w:val="0"/>
              </w:rPr>
              <w:t xml:space="preserve">lataforma web centralizada para la gestión de Postventa, que automatice el flujo de solicitudes y garantice la trazabilidad de las obras mediante un modelo de tickets y evidencias digitales.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Eliminar la descentralización de la información y generar un respaldo de esta con evidencia digital.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r w:rsidDel="00000000" w:rsidR="00000000" w:rsidRPr="00000000">
              <w:rPr>
                <w:rFonts w:ascii="Calibri" w:cs="Calibri" w:eastAsia="Calibri" w:hAnsi="Calibri"/>
                <w:sz w:val="20"/>
                <w:szCs w:val="20"/>
                <w:rtl w:val="0"/>
              </w:rPr>
              <w:t xml:space="preserve">estión de usuarios (sistema multiperfil), centralización de comunicación, automatización de correos, trazabilidad de la información, cierre formal, dashboard para mejora continua, exportación de documentación en formato pdf o excel.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 web responsive, sistema de autenticación, tickets con estado (en proceso, terminado, no aplica), subida de fotos, notificaciones automatizadas, dashboard con estadísticas y exportación reportes (excel / PDF).</w:t>
            </w:r>
            <w:r w:rsidDel="00000000" w:rsidR="00000000" w:rsidRPr="00000000">
              <w:rPr>
                <w:rtl w:val="0"/>
              </w:rPr>
            </w:r>
          </w:p>
        </w:tc>
      </w:tr>
    </w:tbl>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tbl>
      <w:tblPr>
        <w:tblStyle w:val="Table7"/>
        <w:tblW w:w="885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Antecedentes y Motivación:</w:t>
            </w:r>
            <w:r w:rsidDel="00000000" w:rsidR="00000000" w:rsidRPr="00000000">
              <w:rPr>
                <w:rFonts w:ascii="Calibri" w:cs="Calibri" w:eastAsia="Calibri" w:hAnsi="Calibri"/>
                <w:sz w:val="20"/>
                <w:szCs w:val="20"/>
                <w:rtl w:val="0"/>
              </w:rPr>
              <w:t xml:space="preserve"> La Constructora Pitágora S.A. Cuenta con más de 20 años de experiencia ejecutando obras de gran envergadura (hasta 858.000 UF) para clientes de alto perfil como Komatsu y la UC. Actualmente, por ley, deben responder a garantías de hasta 10 años en estructura. La falta de un acta de recepción digital y el uso de canales informales como WhatsApp los ha llevado a enfrentar juicios complejos donde debieron imprimir cientos de correos para demostrar la atención prestada. Por ello, la motivación principal es profesionalizar el servicio, garantizando la trazabilidad legal y optimizando la experiencia del cliente para asegurar la continuidad comercial.</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Público Objetivo: </w:t>
            </w:r>
            <w:r w:rsidDel="00000000" w:rsidR="00000000" w:rsidRPr="00000000">
              <w:rPr>
                <w:rFonts w:ascii="Calibri" w:cs="Calibri" w:eastAsia="Calibri" w:hAnsi="Calibri"/>
                <w:sz w:val="20"/>
                <w:szCs w:val="20"/>
                <w:rtl w:val="0"/>
              </w:rPr>
              <w:t xml:space="preserve">Francisco Castillo (Jefe de Postventa/Administrador), técnicos o jefes de obra en terreno, y representantes formales de los clientes.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 arte: </w:t>
            </w:r>
            <w:r w:rsidDel="00000000" w:rsidR="00000000" w:rsidRPr="00000000">
              <w:rPr>
                <w:rFonts w:ascii="Calibri" w:cs="Calibri" w:eastAsia="Calibri" w:hAnsi="Calibri"/>
                <w:sz w:val="20"/>
                <w:szCs w:val="20"/>
                <w:rtl w:val="0"/>
              </w:rPr>
              <w:t xml:space="preserve">PlanOK se orienta a grandes inmobiliarias como una solución robusta, pero compleja y costosa, enfocada en la gestión masiva con procesos rígidos. En cambio, EasyTicket ofrece una mesa de ayuda más ágil y accesible, aunque sin la estructura ni trazabilidad legal propias del sector construcción. Frente a ambas, la propuesta para Constructora Pitágora prioriza simplicidad, control total de los datos en su propia nube y flujos personalizados sin costos mensuales.</w:t>
            </w:r>
          </w:p>
          <w:p w:rsidR="00000000" w:rsidDel="00000000" w:rsidP="00000000" w:rsidRDefault="00000000" w:rsidRPr="00000000" w14:paraId="00000066">
            <w:pPr>
              <w:spacing w:line="276" w:lineRule="auto"/>
              <w:rPr>
                <w:rFonts w:ascii="Calibri" w:cs="Calibri" w:eastAsia="Calibri" w:hAnsi="Calibri"/>
                <w:sz w:val="20"/>
                <w:szCs w:val="20"/>
              </w:rPr>
            </w:pPr>
            <w:r w:rsidDel="00000000" w:rsidR="00000000" w:rsidRPr="00000000">
              <w:rPr>
                <w:rtl w:val="0"/>
              </w:rPr>
            </w:r>
          </w:p>
          <w:sdt>
            <w:sdtPr>
              <w:lock w:val="contentLocked"/>
              <w:id w:val="183881136"/>
              <w:tag w:val="goog_rdk_0"/>
            </w:sdtPr>
            <w:sdtContent>
              <w:tbl>
                <w:tblPr>
                  <w:tblStyle w:val="Table8"/>
                  <w:tblW w:w="8787.4015748031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2267.716535433071"/>
                  <w:gridCol w:w="2267.716535433071"/>
                  <w:gridCol w:w="2267.716535433071"/>
                  <w:tblGridChange w:id="0">
                    <w:tblGrid>
                      <w:gridCol w:w="1984.2519685039372"/>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B">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Doble nivel:</w:t>
                      </w:r>
                    </w:p>
                    <w:p w:rsidR="00000000" w:rsidDel="00000000" w:rsidP="00000000" w:rsidRDefault="00000000" w:rsidRPr="00000000" w14:paraId="0000007B">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Baja/Inmediata. Diseñada solo con los módulos que el cliente necesita.</w:t>
                      </w:r>
                    </w:p>
                  </w:tc>
                </w:tr>
              </w:tbl>
            </w:sdtContent>
          </w:sdt>
          <w:p w:rsidR="00000000" w:rsidDel="00000000" w:rsidP="00000000" w:rsidRDefault="00000000" w:rsidRPr="00000000" w14:paraId="0000008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Nota: Elaboración propia a partir  de información obtenida en sitios web oficiales de PlanOK (</w:t>
            </w:r>
            <w:hyperlink r:id="rId11">
              <w:r w:rsidDel="00000000" w:rsidR="00000000" w:rsidRPr="00000000">
                <w:rPr>
                  <w:rFonts w:ascii="Calibri" w:cs="Calibri" w:eastAsia="Calibri" w:hAnsi="Calibri"/>
                  <w:sz w:val="20"/>
                  <w:szCs w:val="20"/>
                  <w:u w:val="single"/>
                  <w:rtl w:val="0"/>
                </w:rPr>
                <w:t xml:space="preserve">https://www.planok.com/planok-postventa</w:t>
              </w:r>
            </w:hyperlink>
            <w:r w:rsidDel="00000000" w:rsidR="00000000" w:rsidRPr="00000000">
              <w:rPr>
                <w:rFonts w:ascii="Calibri" w:cs="Calibri" w:eastAsia="Calibri" w:hAnsi="Calibri"/>
                <w:sz w:val="20"/>
                <w:szCs w:val="20"/>
                <w:rtl w:val="0"/>
              </w:rPr>
              <w:t xml:space="preserve">) y EasyTicket (</w:t>
            </w:r>
            <w:hyperlink r:id="rId12">
              <w:r w:rsidDel="00000000" w:rsidR="00000000" w:rsidRPr="00000000">
                <w:rPr>
                  <w:rFonts w:ascii="Calibri" w:cs="Calibri" w:eastAsia="Calibri" w:hAnsi="Calibri"/>
                  <w:sz w:val="20"/>
                  <w:szCs w:val="20"/>
                  <w:u w:val="single"/>
                  <w:rtl w:val="0"/>
                </w:rPr>
                <w:t xml:space="preserve">https://easyticket.cl/</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Origen de la problemática: </w:t>
            </w:r>
            <w:r w:rsidDel="00000000" w:rsidR="00000000" w:rsidRPr="00000000">
              <w:rPr>
                <w:rFonts w:ascii="Calibri" w:cs="Calibri" w:eastAsia="Calibri" w:hAnsi="Calibri"/>
                <w:sz w:val="20"/>
                <w:szCs w:val="20"/>
                <w:rtl w:val="0"/>
              </w:rPr>
              <w:t xml:space="preserve">Al trabajar con clientes de gran alcance la postventa no es solo reparar fallas, sino que es una herramienta comercial para asegurar contratos futuros. Por otra parte, no existe una estructura intermedia, es decir, toda la información pasa por el teléfono y correo personal. También las solicitudes llegan por whatsapp, llamadas o correos con asuntos genéricos, provocando pérdida de información. Además por disputas legales la empresa debe demostrar qué hizo, cuándo lo hizo y por qué, actualmente esto implica buscar entre cientos de correos de hasta 10 años de antigüedad.</w:t>
              <w:br w:type="textWrapping"/>
              <w:br w:type="textWrapping"/>
            </w:r>
            <w:r w:rsidDel="00000000" w:rsidR="00000000" w:rsidRPr="00000000">
              <w:rPr>
                <w:rFonts w:ascii="Calibri" w:cs="Calibri" w:eastAsia="Calibri" w:hAnsi="Calibri"/>
                <w:b w:val="1"/>
                <w:bCs w:val="1"/>
                <w:sz w:val="20"/>
                <w:szCs w:val="20"/>
                <w:rtl w:val="0"/>
              </w:rPr>
              <w:t xml:space="preserve">Descripción del problema a resolver: </w:t>
            </w:r>
            <w:r w:rsidDel="00000000" w:rsidR="00000000" w:rsidRPr="00000000">
              <w:rPr>
                <w:rFonts w:ascii="Calibri" w:cs="Calibri" w:eastAsia="Calibri" w:hAnsi="Calibri"/>
                <w:sz w:val="20"/>
                <w:szCs w:val="20"/>
                <w:rtl w:val="0"/>
              </w:rPr>
              <w:t xml:space="preserve">La creación de un Sistema de Gestión de Post-venta que centralice la comunicación multicanal en una bitácora única por obra. El sistema debe asegurar el respaldo legal mediante evidencias digitales y transformar los reclamos en datos estadísticos que permitan la mejora continua de los procesos constructivos de la empresa.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8">
      <w:pPr>
        <w:spacing w:line="360" w:lineRule="auto"/>
        <w:jc w:val="both"/>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abordar este proyecto de título, se utilizará una metodología híbrida que combina la rigurosidad del levantamiento de requisitos tradicional con un desarrollo ágil basado en Scrum. Esta estrategia permite asegurar un respaldo documental sólido y, al mismo tiempo, entregas funcionales que el cliente pueda validar en periodos cortos de tiempo.</w:t>
            </w:r>
          </w:p>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se divide en tres fases que agrupan los documentos y entregables técnicos:</w:t>
            </w:r>
          </w:p>
          <w:sdt>
            <w:sdtPr>
              <w:lock w:val="contentLocked"/>
              <w:id w:val="-403010528"/>
              <w:tag w:val="goog_rdk_1"/>
            </w:sdtPr>
            <w:sdtContent>
              <w:tbl>
                <w:tblPr>
                  <w:tblStyle w:val="Table1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016.5"/>
                  <w:gridCol w:w="3016.5"/>
                  <w:tblGridChange w:id="0">
                    <w:tblGrid>
                      <w:gridCol w:w="2592"/>
                      <w:gridCol w:w="3016.5"/>
                      <w:gridCol w:w="3016.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Semanas 5 - 15</w:t>
                      </w:r>
                    </w:p>
                    <w:p w:rsidR="00000000" w:rsidDel="00000000" w:rsidP="00000000" w:rsidRDefault="00000000" w:rsidRPr="00000000" w14:paraId="0000009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 finales de calidad (QA), documentación de usuario y entrega del informe.</w:t>
                      </w:r>
                    </w:p>
                  </w:tc>
                </w:tr>
              </w:tbl>
            </w:sdtContent>
          </w:sdt>
          <w:p w:rsidR="00000000" w:rsidDel="00000000" w:rsidP="00000000" w:rsidRDefault="00000000" w:rsidRPr="00000000" w14:paraId="0000009B">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9D">
            <w:pPr>
              <w:spacing w:line="276" w:lineRule="auto"/>
              <w:rPr>
                <w:rFonts w:ascii="Calibri" w:cs="Calibri" w:eastAsia="Calibri" w:hAnsi="Calibri"/>
                <w:sz w:val="20"/>
                <w:szCs w:val="20"/>
              </w:rPr>
            </w:pPr>
            <w:r w:rsidDel="00000000" w:rsidR="00000000" w:rsidRPr="00000000">
              <w:rPr>
                <w:rtl w:val="0"/>
              </w:rPr>
            </w:r>
          </w:p>
          <w:tbl>
            <w:tblPr>
              <w:tblStyle w:val="Table11"/>
              <w:tblW w:w="862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08"/>
              <w:gridCol w:w="2539"/>
              <w:gridCol w:w="2539"/>
              <w:gridCol w:w="2539"/>
              <w:tblGridChange w:id="0">
                <w:tblGrid>
                  <w:gridCol w:w="1008"/>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9E">
                  <w:pPr>
                    <w:spacing w:line="259" w:lineRule="auto"/>
                    <w:jc w:val="center"/>
                    <w:rPr>
                      <w:rFonts w:ascii="Calibri" w:cs="Calibri" w:eastAsia="Calibri" w:hAnsi="Calibri"/>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9F">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1</w:t>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2</w:t>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A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3</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19.310.618-8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Gálvez Román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DBA y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normalización de la Base de Datos (modelo entidad-relación).</w:t>
                  </w:r>
                </w:p>
                <w:p w:rsidR="00000000" w:rsidDel="00000000" w:rsidP="00000000" w:rsidRDefault="00000000" w:rsidRPr="00000000" w14:paraId="000000B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Arquitectura del servidor y lógica de API.</w:t>
                  </w:r>
                </w:p>
                <w:p w:rsidR="00000000" w:rsidDel="00000000" w:rsidP="00000000" w:rsidRDefault="00000000" w:rsidRPr="00000000" w14:paraId="000000B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la seguridad y almacenamiento de archivos (fotos).</w:t>
                  </w:r>
                </w:p>
                <w:p w:rsidR="00000000" w:rsidDel="00000000" w:rsidP="00000000" w:rsidRDefault="00000000" w:rsidRPr="00000000" w14:paraId="000000B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la interfaz Web Responsive.</w:t>
                  </w:r>
                </w:p>
                <w:p w:rsidR="00000000" w:rsidDel="00000000" w:rsidP="00000000" w:rsidRDefault="00000000" w:rsidRPr="00000000" w14:paraId="000000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del Dashboard interactivo y gráficos de fallas.</w:t>
                  </w:r>
                </w:p>
                <w:p w:rsidR="00000000" w:rsidDel="00000000" w:rsidP="00000000" w:rsidRDefault="00000000" w:rsidRPr="00000000" w14:paraId="000000B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Programación de la lógica de cliente (validaciones, estados de formularios).</w:t>
                  </w:r>
                </w:p>
                <w:p w:rsidR="00000000" w:rsidDel="00000000" w:rsidP="00000000" w:rsidRDefault="00000000" w:rsidRPr="00000000" w14:paraId="000000B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y ejecución de planes de prueba (manuales y automatizados).</w:t>
                  </w:r>
                </w:p>
                <w:p w:rsidR="00000000" w:rsidDel="00000000" w:rsidP="00000000" w:rsidRDefault="00000000" w:rsidRPr="00000000" w14:paraId="000000C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componentes transversales (módulo de envío de correos o generación pdf o excel).</w:t>
                  </w:r>
                </w:p>
                <w:p w:rsidR="00000000" w:rsidDel="00000000" w:rsidP="00000000" w:rsidRDefault="00000000" w:rsidRPr="00000000" w14:paraId="000000C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de la base de datos y la interfaz (reporte de bugs).</w:t>
                  </w:r>
                </w:p>
                <w:p w:rsidR="00000000" w:rsidDel="00000000" w:rsidP="00000000" w:rsidRDefault="00000000" w:rsidRPr="00000000" w14:paraId="000000C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Diagramas de Ishikawa, Árbol de Problemas y Manuales de Usuario.</w:t>
                  </w:r>
                </w:p>
              </w:tc>
            </w:tr>
          </w:tbl>
          <w:p w:rsidR="00000000" w:rsidDel="00000000" w:rsidP="00000000" w:rsidRDefault="00000000" w:rsidRPr="00000000" w14:paraId="000000C3">
            <w:pPr>
              <w:pStyle w:val="Heading3"/>
              <w:spacing w:after="80" w:before="280" w:line="259" w:lineRule="auto"/>
              <w:jc w:val="both"/>
              <w:rPr>
                <w:rFonts w:ascii="Calibri" w:cs="Calibri" w:eastAsia="Calibri" w:hAnsi="Calibri"/>
                <w:b w:val="0"/>
                <w:bCs w:val="0"/>
                <w:sz w:val="20"/>
                <w:szCs w:val="20"/>
              </w:rPr>
            </w:pPr>
            <w:bookmarkStart w:colFirst="0" w:colLast="0" w:name="_heading=h.l59fd8mbm2qk" w:id="2"/>
            <w:bookmarkEnd w:id="2"/>
            <w:r w:rsidDel="00000000" w:rsidR="00000000" w:rsidRPr="00000000">
              <w:rPr>
                <w:rFonts w:ascii="Calibri" w:cs="Calibri" w:eastAsia="Calibri" w:hAnsi="Calibri"/>
                <w:b w:val="0"/>
                <w:bCs w:val="0"/>
                <w:sz w:val="20"/>
                <w:szCs w:val="20"/>
                <w:rtl w:val="0"/>
              </w:rPr>
              <w:t xml:space="preserve">Roles de Scrum:</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Jorge Alejandro Gálvez Román</w:t>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       Gissella Constanza Aguilar Galindo</w:t>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Desarrolladores:   Gissella Constanza Aguilar Galindo</w:t>
            </w:r>
          </w:p>
          <w:p w:rsidR="00000000" w:rsidDel="00000000" w:rsidP="00000000" w:rsidRDefault="00000000" w:rsidRPr="00000000" w14:paraId="000000C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Jorge Alejandro Gálvez Román</w:t>
            </w:r>
          </w:p>
          <w:p w:rsidR="00000000" w:rsidDel="00000000" w:rsidP="00000000" w:rsidRDefault="00000000" w:rsidRPr="00000000" w14:paraId="000000C8">
            <w:pPr>
              <w:widowControl w:val="0"/>
              <w:rPr>
                <w:rFonts w:ascii="Calibri" w:cs="Calibri" w:eastAsia="Calibri" w:hAnsi="Calibri"/>
                <w:b w:val="0"/>
                <w:bCs w:val="0"/>
                <w:sz w:val="20"/>
                <w:szCs w:val="20"/>
              </w:rPr>
            </w:pPr>
            <w:r w:rsidDel="00000000" w:rsidR="00000000" w:rsidRPr="00000000">
              <w:rPr>
                <w:rFonts w:ascii="Calibri" w:cs="Calibri" w:eastAsia="Calibri" w:hAnsi="Calibri"/>
                <w:sz w:val="20"/>
                <w:szCs w:val="20"/>
                <w:rtl w:val="0"/>
              </w:rPr>
              <w:t xml:space="preserve">                                 Gabriel Andres Miranda Rivera</w:t>
            </w:r>
            <w:r w:rsidDel="00000000" w:rsidR="00000000" w:rsidRPr="00000000">
              <w:rPr>
                <w:rtl w:val="0"/>
              </w:rPr>
            </w:r>
          </w:p>
          <w:p w:rsidR="00000000" w:rsidDel="00000000" w:rsidP="00000000" w:rsidRDefault="00000000" w:rsidRPr="00000000" w14:paraId="000000C9">
            <w:pPr>
              <w:pStyle w:val="Heading3"/>
              <w:spacing w:after="80" w:before="280" w:line="259" w:lineRule="auto"/>
              <w:jc w:val="both"/>
              <w:rPr>
                <w:rFonts w:ascii="Calibri" w:cs="Calibri" w:eastAsia="Calibri" w:hAnsi="Calibri"/>
                <w:b w:val="0"/>
                <w:bCs w:val="0"/>
                <w:sz w:val="20"/>
                <w:szCs w:val="20"/>
              </w:rPr>
            </w:pPr>
            <w:bookmarkStart w:colFirst="0" w:colLast="0" w:name="_heading=h.nchnf5koxcec" w:id="3"/>
            <w:bookmarkEnd w:id="3"/>
            <w:r w:rsidDel="00000000" w:rsidR="00000000" w:rsidRPr="00000000">
              <w:rPr>
                <w:rFonts w:ascii="Calibri" w:cs="Calibri" w:eastAsia="Calibri" w:hAnsi="Calibri"/>
                <w:b w:val="0"/>
                <w:bCs w:val="0"/>
                <w:sz w:val="20"/>
                <w:szCs w:val="20"/>
                <w:rtl w:val="0"/>
              </w:rPr>
              <w:t xml:space="preserve">Herramientas de Trabajo Sugeridas:</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realizar estas tareas hemos seleccionado las siguientes herramientas:</w:t>
            </w:r>
            <w:r w:rsidDel="00000000" w:rsidR="00000000" w:rsidRPr="00000000">
              <w:rPr>
                <w:rtl w:val="0"/>
              </w:rPr>
            </w:r>
          </w:p>
          <w:p w:rsidR="00000000" w:rsidDel="00000000" w:rsidP="00000000" w:rsidRDefault="00000000" w:rsidRPr="00000000" w14:paraId="000000CB">
            <w:pPr>
              <w:numPr>
                <w:ilvl w:val="0"/>
                <w:numId w:val="2"/>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Trello o Jira para el tablero Scrum.</w:t>
            </w:r>
          </w:p>
          <w:p w:rsidR="00000000" w:rsidDel="00000000" w:rsidP="00000000" w:rsidRDefault="00000000" w:rsidRPr="00000000" w14:paraId="000000CC">
            <w:pPr>
              <w:numPr>
                <w:ilvl w:val="0"/>
                <w:numId w:val="2"/>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Comunicación: Slack o Discord para centralizar dudas y no saturar el WhatsApp personal.</w:t>
            </w:r>
          </w:p>
          <w:p w:rsidR="00000000" w:rsidDel="00000000" w:rsidP="00000000" w:rsidRDefault="00000000" w:rsidRPr="00000000" w14:paraId="000000CD">
            <w:pPr>
              <w:numPr>
                <w:ilvl w:val="0"/>
                <w:numId w:val="2"/>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Repositorio:</w:t>
            </w:r>
            <w:r w:rsidDel="00000000" w:rsidR="00000000" w:rsidRPr="00000000">
              <w:rPr>
                <w:rFonts w:ascii="Calibri" w:cs="Calibri" w:eastAsia="Calibri" w:hAnsi="Calibri"/>
                <w:sz w:val="20"/>
                <w:szCs w:val="20"/>
                <w:rtl w:val="0"/>
              </w:rPr>
              <w:t xml:space="preserve"> GitHub o GitLab para el control de versiones del código.</w:t>
            </w:r>
          </w:p>
        </w:tc>
      </w:tr>
    </w:tbl>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i w:val="1"/>
                <w:iCs w:val="1"/>
                <w:color w:val="548dd4"/>
                <w:sz w:val="20"/>
                <w:szCs w:val="20"/>
              </w:rPr>
            </w:pPr>
            <w:r w:rsidDel="00000000" w:rsidR="00000000" w:rsidRPr="00000000">
              <w:rPr>
                <w:rtl w:val="0"/>
              </w:rPr>
            </w:r>
          </w:p>
          <w:sdt>
            <w:sdtPr>
              <w:lock w:val="contentLocked"/>
              <w:id w:val="1668818589"/>
              <w:tag w:val="goog_rdk_2"/>
            </w:sdtPr>
            <w:sdtContent>
              <w:tbl>
                <w:tblPr>
                  <w:tblStyle w:val="Table13"/>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50"/>
                  <w:gridCol w:w="2880"/>
                  <w:tblGridChange w:id="0">
                    <w:tblGrid>
                      <w:gridCol w:w="2865"/>
                      <w:gridCol w:w="2850"/>
                      <w:gridCol w:w="2880"/>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permite la creación de interfaces dinámicas y reutilizables. Bootstrap asegura que la app sea Web Responsive, permitiendo su uso en terreno (celulares y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 SpringBoot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Simplifica el desarrollo en Java mediante la autoconfiguración. Permite a los desarrolladores crear APIs y microservicios de forma rápida y escalable.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MySQL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Motor relacional robusto que garantiza la integridad de los datos para la trazabilidad legal de los tickets y el cumplimiento de las relaciones Obra-Cliente-Ticket.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JavaScript (ES6+)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usar JS tanto en Front como en Backend, se optimiza la curva de aprendizaje y la velocidad de desarrollo.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Repositorio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https://github.com/j-galvez/pitagora</w:t>
                      </w:r>
                    </w:p>
                  </w:tc>
                </w:tr>
              </w:tbl>
            </w:sdtContent>
          </w:sdt>
          <w:p w:rsidR="00000000" w:rsidDel="00000000" w:rsidP="00000000" w:rsidRDefault="00000000" w:rsidRPr="00000000" w14:paraId="000000E6">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tl w:val="0"/>
        </w:rPr>
      </w:r>
    </w:p>
    <w:tbl>
      <w:tblPr>
        <w:tblStyle w:val="Table14"/>
        <w:tblW w:w="8774.472440944883"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133.8582677165355"/>
        <w:gridCol w:w="1417.3228346456694"/>
        <w:gridCol w:w="1417.3228346456694"/>
        <w:gridCol w:w="1417.3228346456694"/>
        <w:gridCol w:w="1417.3228346456694"/>
        <w:gridCol w:w="1417.3228346456694"/>
        <w:tblGridChange w:id="0">
          <w:tblGrid>
            <w:gridCol w:w="554"/>
            <w:gridCol w:w="1133.8582677165355"/>
            <w:gridCol w:w="1417.3228346456694"/>
            <w:gridCol w:w="1417.3228346456694"/>
            <w:gridCol w:w="1417.3228346456694"/>
            <w:gridCol w:w="1417.3228346456694"/>
            <w:gridCol w:w="1417.3228346456694"/>
          </w:tblGrid>
        </w:tblGridChange>
      </w:tblGrid>
      <w:tr>
        <w:trPr>
          <w:cantSplit w:val="0"/>
          <w:trHeight w:val="300" w:hRule="atLeast"/>
          <w:tblHeader w:val="0"/>
        </w:trPr>
        <w:tc>
          <w:tcPr>
            <w:gridSpan w:val="7"/>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8">
            <w:pPr>
              <w:spacing w:line="259" w:lineRule="auto"/>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F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F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Inicial y Acta de Constitución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del acta, definición de atributos de calidad y elaboración de la carta gantt inicial.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word, transcripción de reunión.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(Analista Documentación),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el propósito y compromiso formal del equipo con 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Técnico y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diagrama de Ishikawa, estado del arte y definición de requerimientos (RF/RNF).</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PC, plantillas de análisis, MIRO/Draw.io/otros.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(Analista Funcional), apoyo: Jorge Gálvez,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para la tabla de homologación y el alcance legal del proyecto.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Arquitectura y Factibilidad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de diagramas de casos de uso, informe de factibilidad Cloud y definición del stack tecnológico.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StarUML, Documentación de GCP,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(Líder /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Crucial para la justificación del uso de Iaas, PaaS o SaaS en Google Cloud.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Entornos y Preparación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 Cloud, repositorios Git y entornos de desarrollo local.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GCP console, GitHub, VS 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(Líder),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la integración continua y el trabajo colaborativo en el repositorio.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Módulo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MER, normalización, creación de script 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MySql workbench, Cloud 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(DBA /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 la integridad de los datos para la trazabilidad legal solicitada.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Módulo Login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Firebase Auth, SDK, pantallas de login/recuperación y redirección basada en 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Firebase Console, React, Bootstrap.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(Frontend), apoyo: Jorge Gálvez,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acceso diferenciado es vital para la seguridad y gestión de sesiones por rol.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Evidencia y Notificaciones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Programación de carga de fotos, servicio de correos automatizados e interfaz de mensajería (chat).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Cloud Storage, API Gmail, React.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Cumple el requerimiento de evidencia digital y comunicación oportuna.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Obras y Proyectos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endpoints CRUD (backend) y creación de vistas para el registro y listado de proyecto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Springboot, MySQL.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organizar la información bajo la jerarquía de unidad/obra.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de endpoints de gestión, maquetación de bandeja de entrada, integración con API y lógica de transición de estados.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API REST, React, Bootstrap.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los estados personalizados: En proceso, No aplica, Terminado.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y Estadísticas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consultas SQL de agregación para KPIs, creación de endppoints de estadísticas e integración de gráficos interactivos con filtros.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SQL, </w:t>
            </w:r>
            <w:hyperlink r:id="rId13">
              <w:r w:rsidDel="00000000" w:rsidR="00000000" w:rsidRPr="00000000">
                <w:rPr>
                  <w:rFonts w:ascii="Calibri" w:cs="Calibri" w:eastAsia="Calibri" w:hAnsi="Calibri"/>
                  <w:color w:val="1155cc"/>
                  <w:sz w:val="20"/>
                  <w:szCs w:val="20"/>
                  <w:u w:val="single"/>
                  <w:rtl w:val="0"/>
                </w:rPr>
                <w:t xml:space="preserve">Chart.js</w:t>
              </w:r>
            </w:hyperlink>
            <w:r w:rsidDel="00000000" w:rsidR="00000000" w:rsidRPr="00000000">
              <w:rPr>
                <w:rFonts w:ascii="Calibri" w:cs="Calibri" w:eastAsia="Calibri" w:hAnsi="Calibri"/>
                <w:sz w:val="20"/>
                <w:szCs w:val="20"/>
                <w:rtl w:val="0"/>
              </w:rPr>
              <w:t xml:space="preserve">, API REST.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Transforma las solicitudes en datos estratégicos para la toma de decisiones.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conexión con API de IA, programación de autocategorización de fallas y desarrollo de búsqueda semántica.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API IA (OpenAI/Vertex).</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 la clasificación de reclamos y mejora la recuperación de historial antiguo.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Reportes y Respaldo Legal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librería PDf, desarrollo de plantilla para bitácora legal y función de exportación a excel/csv.</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Librería PDF, ExcelJS, GCP.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(frontend), Gabriel Miranda (Desarrollador apoyo), apoyo: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la trazabilidad y disponibilidad de evidencias ante disputas legales.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(QA) y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Ejecución de pruebas de caja negra, testeo de visualización responsive y correción de bugs críticos.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plan de pruebas, dispositivos móviles/tablets.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(QA y Testing),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 que la app sea funcional en terreno y cumpla los atributos de calidad.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Final y Cierre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de manuales de usuario, documentación técnica de código e informe de lecciones aprendidas.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word, código fuente.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(Analista documentación),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 final que incluye respaldo legal y técnico para el cliente.</w:t>
            </w:r>
          </w:p>
        </w:tc>
      </w:tr>
    </w:tbl>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895"/>
        <w:gridCol w:w="3195"/>
        <w:gridCol w:w="2205"/>
        <w:tblGridChange w:id="0">
          <w:tblGrid>
            <w:gridCol w:w="540"/>
            <w:gridCol w:w="2895"/>
            <w:gridCol w:w="3195"/>
            <w:gridCol w:w="2205"/>
          </w:tblGrid>
        </w:tblGridChange>
      </w:tblGrid>
      <w:tr>
        <w:trPr>
          <w:cantSplit w:val="0"/>
          <w:trHeight w:val="360" w:hRule="atLeast"/>
          <w:tblHeader w:val="0"/>
        </w:trPr>
        <w:tc>
          <w:tcPr>
            <w:gridSpan w:val="4"/>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A">
            <w:pPr>
              <w:spacing w:line="259" w:lineRule="auto"/>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6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Plano digital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el proyecto de software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tabs>
                <w:tab w:val="center" w:leader="none" w:pos="4419"/>
                <w:tab w:val="right" w:leader="none" w:pos="8838"/>
              </w:tabs>
              <w:jc w:val="both"/>
              <w:rPr>
                <w:rFonts w:ascii="Calibri" w:cs="Calibri" w:eastAsia="Calibri" w:hAnsi="Calibri"/>
                <w:color w:val="1f4e79"/>
                <w:sz w:val="22"/>
                <w:szCs w:val="22"/>
              </w:rPr>
            </w:pPr>
            <w:hyperlink r:id="rId14">
              <w:r w:rsidDel="00000000" w:rsidR="00000000" w:rsidRPr="00000000">
                <w:rPr>
                  <w:rFonts w:ascii="Calibri" w:cs="Calibri" w:eastAsia="Calibri" w:hAnsi="Calibri"/>
                  <w:color w:val="0000ee"/>
                  <w:sz w:val="22"/>
                  <w:szCs w:val="22"/>
                  <w:u w:val="single"/>
                  <w:rtl w:val="0"/>
                </w:rPr>
                <w:t xml:space="preserve">Plano_Digital.pdf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6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Plano digital v2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el proyecto de software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tabs>
                <w:tab w:val="center" w:leader="none" w:pos="4419"/>
                <w:tab w:val="right" w:leader="none" w:pos="8838"/>
              </w:tabs>
              <w:jc w:val="both"/>
              <w:rPr>
                <w:rFonts w:ascii="Calibri" w:cs="Calibri" w:eastAsia="Calibri" w:hAnsi="Calibri"/>
                <w:color w:val="1f4e79"/>
                <w:sz w:val="22"/>
                <w:szCs w:val="22"/>
              </w:rPr>
            </w:pPr>
            <w:hyperlink r:id="rId15">
              <w:r w:rsidDel="00000000" w:rsidR="00000000" w:rsidRPr="00000000">
                <w:rPr>
                  <w:rFonts w:ascii="Calibri" w:cs="Calibri" w:eastAsia="Calibri" w:hAnsi="Calibri"/>
                  <w:color w:val="0000ee"/>
                  <w:sz w:val="22"/>
                  <w:szCs w:val="22"/>
                  <w:u w:val="single"/>
                  <w:rtl w:val="0"/>
                </w:rPr>
                <w:t xml:space="preserve">Plano_Digital_v2.pdf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la vista del cliente de lo que busca como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tabs>
                <w:tab w:val="center" w:leader="none" w:pos="4419"/>
                <w:tab w:val="right" w:leader="none" w:pos="8838"/>
              </w:tabs>
              <w:jc w:val="both"/>
              <w:rPr>
                <w:rFonts w:ascii="Calibri" w:cs="Calibri" w:eastAsia="Calibri" w:hAnsi="Calibri"/>
                <w:color w:val="1f4e79"/>
                <w:sz w:val="22"/>
                <w:szCs w:val="22"/>
              </w:rPr>
            </w:pPr>
            <w:hyperlink r:id="rId16">
              <w:r w:rsidDel="00000000" w:rsidR="00000000" w:rsidRPr="00000000">
                <w:rPr>
                  <w:rFonts w:ascii="Calibri" w:cs="Calibri" w:eastAsia="Calibri" w:hAnsi="Calibri"/>
                  <w:color w:val="0000ee"/>
                  <w:sz w:val="22"/>
                  <w:szCs w:val="22"/>
                  <w:u w:val="single"/>
                  <w:rtl w:val="0"/>
                </w:rPr>
                <w:t xml:space="preserve">Presentacion_Proyecto_Automatizacion_Postventa.docx</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Blueprint_postventa_pitagora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Propuesta de un sistema de gestión de postventa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tabs>
                <w:tab w:val="center" w:leader="none" w:pos="4419"/>
                <w:tab w:val="right" w:leader="none" w:pos="8838"/>
              </w:tabs>
              <w:jc w:val="both"/>
              <w:rPr>
                <w:rFonts w:ascii="Calibri" w:cs="Calibri" w:eastAsia="Calibri" w:hAnsi="Calibri"/>
                <w:color w:val="1f4e79"/>
                <w:sz w:val="22"/>
                <w:szCs w:val="22"/>
              </w:rPr>
            </w:pPr>
            <w:hyperlink r:id="rId17">
              <w:r w:rsidDel="00000000" w:rsidR="00000000" w:rsidRPr="00000000">
                <w:rPr>
                  <w:rFonts w:ascii="Calibri" w:cs="Calibri" w:eastAsia="Calibri" w:hAnsi="Calibri"/>
                  <w:color w:val="0000ee"/>
                  <w:sz w:val="22"/>
                  <w:szCs w:val="22"/>
                  <w:u w:val="single"/>
                  <w:rtl w:val="0"/>
                </w:rPr>
                <w:t xml:space="preserve">Blueprint_Postventa_Pitágora.pdf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Carta gantt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la planificación, inicio y final de cada tarea del proyecto a lo largo del semestre.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tabs>
                <w:tab w:val="center" w:leader="none" w:pos="4419"/>
                <w:tab w:val="right" w:leader="none" w:pos="8838"/>
              </w:tabs>
              <w:jc w:val="both"/>
              <w:rPr>
                <w:rFonts w:ascii="Calibri" w:cs="Calibri" w:eastAsia="Calibri" w:hAnsi="Calibri"/>
                <w:color w:val="1f4e79"/>
                <w:sz w:val="22"/>
                <w:szCs w:val="22"/>
              </w:rPr>
            </w:pPr>
            <w:hyperlink r:id="rId18">
              <w:r w:rsidDel="00000000" w:rsidR="00000000" w:rsidRPr="00000000">
                <w:rPr>
                  <w:rFonts w:ascii="Calibri" w:cs="Calibri" w:eastAsia="Calibri" w:hAnsi="Calibri"/>
                  <w:color w:val="0000ee"/>
                  <w:sz w:val="22"/>
                  <w:szCs w:val="22"/>
                  <w:u w:val="single"/>
                  <w:rtl w:val="0"/>
                </w:rPr>
                <w:t xml:space="preserve">Carta_gantt_v1.pdf</w:t>
              </w:r>
            </w:hyperlink>
            <w:r w:rsidDel="00000000" w:rsidR="00000000" w:rsidRPr="00000000">
              <w:rPr>
                <w:rtl w:val="0"/>
              </w:rPr>
            </w:r>
          </w:p>
        </w:tc>
      </w:tr>
    </w:tbl>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17A">
      <w:pPr>
        <w:spacing w:line="259.20000000000005"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59.20000000000005"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La planificación del proyecto se estructuró en tres fases principales. Esta organización garantiza que el desarrollo avance desde la planificación técnica hasta la entrega de un producto funcional y documentado.</w:t>
      </w:r>
      <w:r w:rsidDel="00000000" w:rsidR="00000000" w:rsidRPr="00000000">
        <w:rPr>
          <w:rtl w:val="0"/>
        </w:rPr>
      </w:r>
    </w:p>
    <w:tbl>
      <w:tblPr>
        <w:tblStyle w:val="Table17"/>
        <w:tblW w:w="8844.094488188977"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07.0866141732284"/>
        <w:gridCol w:w="1984.2519685039372"/>
        <w:gridCol w:w="1984.2519685039372"/>
        <w:gridCol w:w="1984.2519685039372"/>
        <w:gridCol w:w="1984.2519685039372"/>
        <w:tblGridChange w:id="0">
          <w:tblGrid>
            <w:gridCol w:w="907.0866141732284"/>
            <w:gridCol w:w="1984.2519685039372"/>
            <w:gridCol w:w="1984.2519685039372"/>
            <w:gridCol w:w="1984.2519685039372"/>
            <w:gridCol w:w="1984.2519685039372"/>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C">
            <w:pPr>
              <w:spacing w:line="36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vAlign w:val="center"/>
          </w:tcPr>
          <w:p w:rsidR="00000000" w:rsidDel="00000000" w:rsidP="00000000" w:rsidRDefault="00000000" w:rsidRPr="00000000" w14:paraId="0000017D">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Fase 1</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2">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3">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4">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vAlign w:val="center"/>
          </w:tcPr>
          <w:p w:rsidR="00000000" w:rsidDel="00000000" w:rsidP="00000000" w:rsidRDefault="00000000" w:rsidRPr="00000000" w14:paraId="00000185">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4</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6">
            <w:pPr>
              <w:spacing w:line="360"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Inicial y Acta de Constitución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Técnico y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Arquitectura y Factibilidad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Entornos y Preparación</w:t>
            </w:r>
          </w:p>
        </w:tc>
      </w:tr>
    </w:tbl>
    <w:p w:rsidR="00000000" w:rsidDel="00000000" w:rsidP="00000000" w:rsidRDefault="00000000" w:rsidRPr="00000000" w14:paraId="0000018B">
      <w:pPr>
        <w:spacing w:line="360" w:lineRule="auto"/>
        <w:jc w:val="both"/>
        <w:rPr>
          <w:rFonts w:ascii="Calibri" w:cs="Calibri" w:eastAsia="Calibri" w:hAnsi="Calibri"/>
          <w:sz w:val="20"/>
          <w:szCs w:val="20"/>
        </w:rPr>
      </w:pPr>
      <w:r w:rsidDel="00000000" w:rsidR="00000000" w:rsidRPr="00000000">
        <w:rPr>
          <w:rtl w:val="0"/>
        </w:rPr>
      </w:r>
    </w:p>
    <w:tbl>
      <w:tblPr>
        <w:tblStyle w:val="Table18"/>
        <w:tblW w:w="8844.0944881889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gridCol w:w="1984.2519685039372"/>
        <w:gridCol w:w="1984.2519685039372"/>
        <w:gridCol w:w="1984.2519685039372"/>
        <w:gridCol w:w="1984.2519685039372"/>
        <w:tblGridChange w:id="0">
          <w:tblGrid>
            <w:gridCol w:w="907.0866141732284"/>
            <w:gridCol w:w="1984.2519685039372"/>
            <w:gridCol w:w="1984.2519685039372"/>
            <w:gridCol w:w="1984.2519685039372"/>
            <w:gridCol w:w="1984.2519685039372"/>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8C">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fe599" w:val="clear"/>
            <w:tcMar>
              <w:top w:w="0.0" w:type="dxa"/>
              <w:left w:w="100.0" w:type="dxa"/>
              <w:bottom w:w="0.0" w:type="dxa"/>
              <w:right w:w="100.0" w:type="dxa"/>
            </w:tcMar>
            <w:vAlign w:val="center"/>
          </w:tcPr>
          <w:p w:rsidR="00000000" w:rsidDel="00000000" w:rsidP="00000000" w:rsidRDefault="00000000" w:rsidRPr="00000000" w14:paraId="0000018D">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2</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1">
            <w:pPr>
              <w:spacing w:line="360" w:lineRule="auto"/>
              <w:jc w:val="both"/>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3">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6</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4">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7</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8</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6">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7">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Módulo de Base de Datos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8">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Módulo Login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9">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Módulo de Evidencia y Notificaciones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Obras y Proyectos</w:t>
            </w:r>
          </w:p>
        </w:tc>
      </w:tr>
    </w:tbl>
    <w:p w:rsidR="00000000" w:rsidDel="00000000" w:rsidP="00000000" w:rsidRDefault="00000000" w:rsidRPr="00000000" w14:paraId="0000019B">
      <w:pPr>
        <w:spacing w:line="360" w:lineRule="auto"/>
        <w:jc w:val="both"/>
        <w:rPr>
          <w:rFonts w:ascii="Calibri" w:cs="Calibri" w:eastAsia="Calibri" w:hAnsi="Calibri"/>
          <w:sz w:val="20"/>
          <w:szCs w:val="20"/>
        </w:rPr>
      </w:pPr>
      <w:r w:rsidDel="00000000" w:rsidR="00000000" w:rsidRPr="00000000">
        <w:rPr>
          <w:rtl w:val="0"/>
        </w:rPr>
      </w:r>
    </w:p>
    <w:sdt>
      <w:sdtPr>
        <w:lock w:val="contentLocked"/>
        <w:id w:val="1808359267"/>
        <w:tag w:val="goog_rdk_3"/>
      </w:sdtPr>
      <w:sdtContent>
        <w:tbl>
          <w:tblPr>
            <w:tblStyle w:val="Table19"/>
            <w:tblW w:w="8919.007874015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2.0000000000002"/>
            <w:gridCol w:w="1984.2519685039372"/>
            <w:gridCol w:w="1984.2519685039372"/>
            <w:gridCol w:w="1984.2519685039372"/>
            <w:gridCol w:w="1984.2519685039372"/>
            <w:tblGridChange w:id="0">
              <w:tblGrid>
                <w:gridCol w:w="982.0000000000002"/>
                <w:gridCol w:w="1984.2519685039372"/>
                <w:gridCol w:w="1984.2519685039372"/>
                <w:gridCol w:w="1984.2519685039372"/>
                <w:gridCol w:w="1984.2519685039372"/>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9C">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fe599" w:val="clear"/>
                <w:tcMar>
                  <w:top w:w="0.0" w:type="dxa"/>
                  <w:left w:w="100.0" w:type="dxa"/>
                  <w:bottom w:w="0.0" w:type="dxa"/>
                  <w:right w:w="100.0" w:type="dxa"/>
                </w:tcMar>
                <w:vAlign w:val="center"/>
              </w:tcPr>
              <w:p w:rsidR="00000000" w:rsidDel="00000000" w:rsidP="00000000" w:rsidRDefault="00000000" w:rsidRPr="00000000" w14:paraId="0000019D">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2</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1">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9</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3">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10</w:t>
                </w:r>
              </w:p>
            </w:tc>
            <w:tc>
              <w:tcPr>
                <w:tcBorders>
                  <w:top w:color="000000" w:space="0" w:sz="0" w:val="nil"/>
                  <w:left w:color="000000" w:space="0" w:sz="0" w:val="nil"/>
                  <w:bottom w:color="bfbfbf" w:space="0" w:sz="6" w:val="single"/>
                  <w:right w:color="bfbfbf" w:space="0" w:sz="6" w:val="single"/>
                </w:tcBorders>
                <w:shd w:fill="9cc3e5" w:val="clear"/>
                <w:tcMar>
                  <w:top w:w="0.0" w:type="dxa"/>
                  <w:left w:w="100.0" w:type="dxa"/>
                  <w:bottom w:w="0.0" w:type="dxa"/>
                  <w:right w:w="100.0" w:type="dxa"/>
                </w:tcMar>
                <w:vAlign w:val="center"/>
              </w:tcPr>
              <w:p w:rsidR="00000000" w:rsidDel="00000000" w:rsidP="00000000" w:rsidRDefault="00000000" w:rsidRPr="00000000" w14:paraId="000001A4">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11</w:t>
                </w:r>
              </w:p>
            </w:tc>
            <w:tc>
              <w:tcPr>
                <w:tcBorders>
                  <w:top w:color="000000" w:space="0" w:sz="0" w:val="nil"/>
                  <w:left w:color="000000" w:space="0" w:sz="0" w:val="nil"/>
                  <w:bottom w:color="bfbfbf" w:space="0" w:sz="6" w:val="single"/>
                  <w:right w:color="bfbfbf" w:space="0" w:sz="6" w:val="single"/>
                </w:tcBorders>
                <w:shd w:fill="9cc3e5" w:val="clear"/>
                <w:tcMar>
                  <w:top w:w="0.0" w:type="dxa"/>
                  <w:left w:w="100.0" w:type="dxa"/>
                  <w:bottom w:w="0.0" w:type="dxa"/>
                  <w:right w:w="100.0" w:type="dxa"/>
                </w:tcMar>
                <w:vAlign w:val="center"/>
              </w:tcPr>
              <w:p w:rsidR="00000000" w:rsidDel="00000000" w:rsidP="00000000" w:rsidRDefault="00000000" w:rsidRPr="00000000" w14:paraId="000001A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12</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6">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7">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8">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y Estadísticas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9">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IA</w:t>
                </w:r>
              </w:p>
              <w:p w:rsidR="00000000" w:rsidDel="00000000" w:rsidP="00000000" w:rsidRDefault="00000000" w:rsidRPr="00000000" w14:paraId="000001AA">
                <w:pPr>
                  <w:spacing w:after="240" w:before="240" w:line="360" w:lineRule="auto"/>
                  <w:jc w:val="both"/>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Reportes y Respaldo Legal</w:t>
                </w:r>
              </w:p>
            </w:tc>
          </w:tr>
        </w:tbl>
      </w:sdtContent>
    </w:sdt>
    <w:p w:rsidR="00000000" w:rsidDel="00000000" w:rsidP="00000000" w:rsidRDefault="00000000" w:rsidRPr="00000000" w14:paraId="000001AC">
      <w:pPr>
        <w:spacing w:line="360" w:lineRule="auto"/>
        <w:jc w:val="both"/>
        <w:rPr>
          <w:rFonts w:ascii="Calibri" w:cs="Calibri" w:eastAsia="Calibri" w:hAnsi="Calibri"/>
          <w:sz w:val="20"/>
          <w:szCs w:val="20"/>
        </w:rPr>
      </w:pPr>
      <w:r w:rsidDel="00000000" w:rsidR="00000000" w:rsidRPr="00000000">
        <w:rPr>
          <w:rtl w:val="0"/>
        </w:rPr>
      </w:r>
    </w:p>
    <w:tbl>
      <w:tblPr>
        <w:tblStyle w:val="Table20"/>
        <w:tblW w:w="8914.440944881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9212598425197"/>
        <w:gridCol w:w="2154.3307086614177"/>
        <w:gridCol w:w="2154.3307086614177"/>
        <w:gridCol w:w="566.9291338582677"/>
        <w:gridCol w:w="566.9291338582677"/>
        <w:gridCol w:w="1245"/>
        <w:gridCol w:w="1245"/>
        <w:tblGridChange w:id="0">
          <w:tblGrid>
            <w:gridCol w:w="981.9212598425197"/>
            <w:gridCol w:w="2154.3307086614177"/>
            <w:gridCol w:w="2154.3307086614177"/>
            <w:gridCol w:w="566.9291338582677"/>
            <w:gridCol w:w="566.9291338582677"/>
            <w:gridCol w:w="1245"/>
            <w:gridCol w:w="1245"/>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AD">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be5d5" w:val="clear"/>
            <w:tcMar>
              <w:top w:w="0.0" w:type="dxa"/>
              <w:left w:w="100.0" w:type="dxa"/>
              <w:bottom w:w="0.0" w:type="dxa"/>
              <w:right w:w="100.0" w:type="dxa"/>
            </w:tcMar>
            <w:vAlign w:val="center"/>
          </w:tcPr>
          <w:p w:rsidR="00000000" w:rsidDel="00000000" w:rsidP="00000000" w:rsidRDefault="00000000" w:rsidRPr="00000000" w14:paraId="000001AE">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3</w:t>
            </w:r>
          </w:p>
        </w:tc>
        <w:tc>
          <w:tcPr>
            <w:gridSpan w:val="2"/>
            <w:tcBorders>
              <w:top w:color="bfbfbf" w:space="0" w:sz="6" w:val="single"/>
              <w:left w:color="000000" w:space="0" w:sz="0" w:val="nil"/>
              <w:bottom w:color="bfbfbf" w:space="0" w:sz="6" w:val="single"/>
              <w:right w:color="bfbfbf" w:space="0" w:sz="6" w:val="single"/>
            </w:tcBorders>
            <w:shd w:fill="fbe5d5" w:val="clear"/>
            <w:tcMar>
              <w:top w:w="0.0" w:type="dxa"/>
              <w:left w:w="100.0" w:type="dxa"/>
              <w:bottom w:w="0.0" w:type="dxa"/>
              <w:right w:w="100.0" w:type="dxa"/>
            </w:tcMar>
            <w:vAlign w:val="center"/>
          </w:tcPr>
          <w:p w:rsidR="00000000" w:rsidDel="00000000" w:rsidP="00000000" w:rsidRDefault="00000000" w:rsidRPr="00000000" w14:paraId="000001B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Presentación Final</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13</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6">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14</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7">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15</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8">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16</w:t>
            </w:r>
          </w:p>
        </w:tc>
        <w:tc>
          <w:tcPr>
            <w:tcBorders>
              <w:top w:color="000000" w:space="0" w:sz="0" w:val="nil"/>
              <w:left w:color="000000" w:space="0" w:sz="0" w:val="nil"/>
              <w:bottom w:color="bfbfbf" w:space="0" w:sz="6" w:val="single"/>
              <w:right w:color="bfbfbf" w:space="0" w:sz="6" w:val="single"/>
            </w:tcBorders>
            <w:shd w:fill="92d050" w:val="clear"/>
            <w:tcMar>
              <w:top w:w="0.0" w:type="dxa"/>
              <w:left w:w="100.0" w:type="dxa"/>
              <w:bottom w:w="0.0" w:type="dxa"/>
              <w:right w:w="100.0" w:type="dxa"/>
            </w:tcMar>
            <w:vAlign w:val="center"/>
          </w:tcPr>
          <w:p w:rsidR="00000000" w:rsidDel="00000000" w:rsidP="00000000" w:rsidRDefault="00000000" w:rsidRPr="00000000" w14:paraId="000001B9">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17</w:t>
            </w:r>
          </w:p>
        </w:tc>
        <w:tc>
          <w:tcPr>
            <w:tcBorders>
              <w:top w:color="000000" w:space="0" w:sz="0" w:val="nil"/>
              <w:left w:color="000000" w:space="0" w:sz="0" w:val="nil"/>
              <w:bottom w:color="bfbfbf" w:space="0" w:sz="6" w:val="single"/>
              <w:right w:color="bfbfbf" w:space="0" w:sz="6" w:val="single"/>
            </w:tcBorders>
            <w:shd w:fill="92d050" w:val="clear"/>
            <w:tcMar>
              <w:top w:w="0.0" w:type="dxa"/>
              <w:left w:w="100.0" w:type="dxa"/>
              <w:bottom w:w="0.0" w:type="dxa"/>
              <w:right w:w="100.0" w:type="dxa"/>
            </w:tcMar>
            <w:vAlign w:val="center"/>
          </w:tcPr>
          <w:p w:rsidR="00000000" w:rsidDel="00000000" w:rsidP="00000000" w:rsidRDefault="00000000" w:rsidRPr="00000000" w14:paraId="000001BA">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18</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B">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C">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(QA) y Pruebas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D">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Final y Cierre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E">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F">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C0">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C1">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esta sección se detallan antecedentes estratégicos y técnicos que complementan la viabilidad y proyección del sistema de gestión de postventa: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Soberanía y resguardo de la información: </w:t>
            </w:r>
            <w:r w:rsidDel="00000000" w:rsidR="00000000" w:rsidRPr="00000000">
              <w:rPr>
                <w:rFonts w:ascii="Calibri" w:cs="Calibri" w:eastAsia="Calibri" w:hAnsi="Calibri"/>
                <w:sz w:val="20"/>
                <w:szCs w:val="20"/>
                <w:rtl w:val="0"/>
              </w:rPr>
              <w:t xml:space="preserve">A diferencia de las soluciones SaaS del mercado, este proyecto garantiza que la totalidad de la base de datos y la evidencia digital resida en GCP de la propia constructora.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Escalabilidad con inteligencia artificial: </w:t>
            </w:r>
            <w:r w:rsidDel="00000000" w:rsidR="00000000" w:rsidRPr="00000000">
              <w:rPr>
                <w:rFonts w:ascii="Calibri" w:cs="Calibri" w:eastAsia="Calibri" w:hAnsi="Calibri"/>
                <w:sz w:val="20"/>
                <w:szCs w:val="20"/>
                <w:rtl w:val="0"/>
              </w:rPr>
              <w:t xml:space="preserve">Se ha proyectado un módulo de búsqueda semántica que permitirá a Francisco Castillo y su equipo localizar casos críticos entre miles de registros históricos mediante lenguaje natural. Esta funcionalidad actúa como un asistente legal para la reconstrucción de eventos en disputas de boletas de garantía.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Optimización para terreno: </w:t>
            </w:r>
            <w:r w:rsidDel="00000000" w:rsidR="00000000" w:rsidRPr="00000000">
              <w:rPr>
                <w:rFonts w:ascii="Calibri" w:cs="Calibri" w:eastAsia="Calibri" w:hAnsi="Calibri"/>
                <w:sz w:val="20"/>
                <w:szCs w:val="20"/>
                <w:rtl w:val="0"/>
              </w:rPr>
              <w:t xml:space="preserve">Se adjunta como antecedente el compromiso de diseño bajo estándar Web Responsive, utilizando Bootstrap para asegurar que los jefes de obra puedan registrar observaciones directamente desde sus dispositivos móviles en la zona de trabajo, eliminando la transcripción manual posterior.</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Plan de mitigación de riesgos: </w:t>
            </w:r>
            <w:r w:rsidDel="00000000" w:rsidR="00000000" w:rsidRPr="00000000">
              <w:rPr>
                <w:rFonts w:ascii="Calibri" w:cs="Calibri" w:eastAsia="Calibri" w:hAnsi="Calibri"/>
                <w:sz w:val="20"/>
                <w:szCs w:val="20"/>
                <w:rtl w:val="0"/>
              </w:rPr>
              <w:t xml:space="preserve">Como evidencia adicional para el respaldo del proyecto, el equipo mantendrá un repositorio en GitHub con control de versiones estrictas. Esto asegura que, ante cualquier fallo en el entorno de desarrollo, se cuente con respaldos incrementales que garantizan la continuidad de la planificación semestral presentada.</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Estandarización de estados operativos: </w:t>
            </w:r>
            <w:r w:rsidDel="00000000" w:rsidR="00000000" w:rsidRPr="00000000">
              <w:rPr>
                <w:rFonts w:ascii="Calibri" w:cs="Calibri" w:eastAsia="Calibri" w:hAnsi="Calibri"/>
                <w:sz w:val="20"/>
                <w:szCs w:val="20"/>
                <w:rtl w:val="0"/>
              </w:rPr>
              <w:t xml:space="preserve">Se destaca la creación de una lógica de estados personalizada (En proceso, No aplica, Terminado) que responde a la necesidad específica del cliente de filtrar solicitudes que no corresponden a fallas constructivas, optimizando así los indicadores de desempeño del área.</w:t>
            </w:r>
          </w:p>
        </w:tc>
      </w:tr>
    </w:tbl>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tl w:val="0"/>
        </w:rPr>
      </w:r>
    </w:p>
    <w:sectPr>
      <w:headerReference r:id="rId19" w:type="default"/>
      <w:footerReference r:id="rId20"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planok.com/planok-postventa" TargetMode="External"/><Relationship Id="rId10" Type="http://schemas.openxmlformats.org/officeDocument/2006/relationships/image" Target="media/image5.png"/><Relationship Id="rId13" Type="http://schemas.openxmlformats.org/officeDocument/2006/relationships/hyperlink" Target="http://chart.js" TargetMode="External"/><Relationship Id="rId12" Type="http://schemas.openxmlformats.org/officeDocument/2006/relationships/hyperlink" Target="https://easyticket.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rive.google.com/file/d/1m1OK8y6St-d_r_ZjFzaV4c3YXTxwhmjL/view?usp=drive_link" TargetMode="External"/><Relationship Id="rId14" Type="http://schemas.openxmlformats.org/officeDocument/2006/relationships/hyperlink" Target="https://drive.google.com/file/d/1LEIMn6m2ACkD9Fi71Xy-4GYNX3vugOOX/view?usp=drive_link" TargetMode="External"/><Relationship Id="rId17" Type="http://schemas.openxmlformats.org/officeDocument/2006/relationships/hyperlink" Target="https://drive.google.com/file/d/18Y1SJgRWENcVWG5SuZI263h9M-vzyETh/view?usp=drive_link" TargetMode="External"/><Relationship Id="rId16" Type="http://schemas.openxmlformats.org/officeDocument/2006/relationships/hyperlink" Target="https://docs.google.com/document/d/1-N5UogULeRZoAkvGTC6GA-7gMwvsD_ra/edit?usp=drive_link&amp;ouid=106901701109381324954&amp;rtpof=true&amp;sd=tru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rive.google.com/file/d/1tHW9XBOPDp7S-Dc86SQ_LOFyicKQxWn0/view?usp=drive_link" TargetMode="Externa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mJ79G1+1Y5KVInOvu831CQCCQ==">CgMxLjAaHwoBMBIaChgICVIUChJ0YWJsZS5sZmdlMnhnYWJyd2saHwoBMRIaChgICVIUChJ0YWJsZS55MnJzZzlnMmM0a3YaHwoBMhIaChgICVIUChJ0YWJsZS42MHpzOHJyOHpxeG8aHwoBMxIaChgICVIUChJ0YWJsZS51dXlqeWc3MXlkN3YyDmgucnBoN2Q1eHh2cnMwMg5oLjM0NjVsdWNveTU2cDIOaC5sNTlmZDhtYm0ycWsyDmgubmNobmY1a294Y2VjOAByITFSZHNCTGI0UXlhaDF6WnB0bU8yWDJTRU5rdVQ0d3B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