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000000"/>
          <w:sz w:val="22"/>
          <w:szCs w:val="22"/>
        </w:rPr>
      </w:pPr>
      <w:bookmarkStart w:colFirst="0" w:colLast="0" w:name="_idc7889ttltv"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8838.0" w:type="dxa"/>
        <w:jc w:val="center"/>
        <w:tblLayout w:type="fixed"/>
        <w:tblLook w:val="0400"/>
      </w:tblPr>
      <w:tblGrid>
        <w:gridCol w:w="8838"/>
        <w:tblGridChange w:id="0">
          <w:tblGrid>
            <w:gridCol w:w="8838"/>
          </w:tblGrid>
        </w:tblGridChange>
      </w:tblGrid>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5">
            <w:pPr>
              <w:pStyle w:val="Title"/>
              <w:spacing w:line="240" w:lineRule="auto"/>
              <w:jc w:val="center"/>
              <w:rPr/>
            </w:pPr>
            <w:bookmarkStart w:colFirst="0" w:colLast="0" w:name="_rknz428r7e6v" w:id="1"/>
            <w:bookmarkEnd w:id="1"/>
            <w:r w:rsidDel="00000000" w:rsidR="00000000" w:rsidRPr="00000000">
              <w:rPr>
                <w:rtl w:val="0"/>
              </w:rPr>
              <w:t xml:space="preserve">Estado del arte</w:t>
            </w:r>
            <w:r w:rsidDel="00000000" w:rsidR="00000000" w:rsidRPr="00000000">
              <w:rPr>
                <w:rtl w:val="0"/>
              </w:rPr>
              <w:t xml:space="preserve"> - Proyecto Pitagora</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6">
            <w:pPr>
              <w:pStyle w:val="Subtitle"/>
              <w:spacing w:line="240" w:lineRule="auto"/>
              <w:jc w:val="center"/>
              <w:rPr/>
            </w:pPr>
            <w:bookmarkStart w:colFirst="0" w:colLast="0" w:name="_jae5a6rpyi4" w:id="2"/>
            <w:bookmarkEnd w:id="2"/>
            <w:r w:rsidDel="00000000" w:rsidR="00000000" w:rsidRPr="00000000">
              <w:rPr>
                <w:rtl w:val="0"/>
              </w:rPr>
              <w:t xml:space="preserve">Taller Aplicado de Programación</w:t>
            </w:r>
          </w:p>
        </w:tc>
      </w:tr>
      <w:tr>
        <w:trPr>
          <w:cantSplit w:val="0"/>
          <w:trHeight w:val="300" w:hRule="atLeast"/>
          <w:tblHeader w:val="0"/>
        </w:trPr>
        <w:tc>
          <w:tcPr>
            <w:vAlign w:val="center"/>
          </w:tcPr>
          <w:p w:rsidR="00000000" w:rsidDel="00000000" w:rsidP="00000000" w:rsidRDefault="00000000" w:rsidRPr="00000000" w14:paraId="00000007">
            <w:pPr>
              <w:spacing w:line="240" w:lineRule="auto"/>
              <w:jc w:val="center"/>
              <w:rPr>
                <w:rFonts w:ascii="Calibri" w:cs="Calibri" w:eastAsia="Calibri" w:hAnsi="Calibri"/>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8">
            <w:pPr>
              <w:spacing w:line="240" w:lineRule="auto"/>
              <w:rPr>
                <w:rFonts w:ascii="Calibri" w:cs="Calibri" w:eastAsia="Calibri" w:hAnsi="Calibri"/>
                <w:b w:val="1"/>
                <w:bCs w:val="1"/>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9">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7 de Abril del 2026</w:t>
            </w:r>
          </w:p>
        </w:tc>
      </w:tr>
    </w:tbl>
    <w:p w:rsidR="00000000" w:rsidDel="00000000" w:rsidP="00000000" w:rsidRDefault="00000000" w:rsidRPr="00000000" w14:paraId="0000000A">
      <w:pPr>
        <w:pStyle w:val="Heading3"/>
        <w:keepNext w:val="0"/>
        <w:keepLines w:val="0"/>
        <w:spacing w:before="280" w:lineRule="auto"/>
        <w:jc w:val="center"/>
        <w:rPr/>
      </w:pPr>
      <w:bookmarkStart w:colFirst="0" w:colLast="0" w:name="_7u7km6sd95dr" w:id="3"/>
      <w:bookmarkEnd w:id="3"/>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jc w:val="right"/>
        <w:rPr/>
      </w:pPr>
      <w:r w:rsidDel="00000000" w:rsidR="00000000" w:rsidRPr="00000000">
        <w:rPr>
          <w:rtl w:val="0"/>
        </w:rPr>
        <w:t xml:space="preserve">Docente:</w:t>
      </w:r>
    </w:p>
    <w:p w:rsidR="00000000" w:rsidDel="00000000" w:rsidP="00000000" w:rsidRDefault="00000000" w:rsidRPr="00000000" w14:paraId="0000001F">
      <w:pPr>
        <w:jc w:val="right"/>
        <w:rPr/>
      </w:pPr>
      <w:r w:rsidDel="00000000" w:rsidR="00000000" w:rsidRPr="00000000">
        <w:rPr>
          <w:rtl w:val="0"/>
        </w:rPr>
        <w:t xml:space="preserve">Arturo Vargas </w:t>
      </w:r>
    </w:p>
    <w:p w:rsidR="00000000" w:rsidDel="00000000" w:rsidP="00000000" w:rsidRDefault="00000000" w:rsidRPr="00000000" w14:paraId="00000020">
      <w:pPr>
        <w:jc w:val="right"/>
        <w:rPr/>
      </w:pPr>
      <w:r w:rsidDel="00000000" w:rsidR="00000000" w:rsidRPr="00000000">
        <w:rPr>
          <w:rtl w:val="0"/>
        </w:rPr>
      </w:r>
    </w:p>
    <w:p w:rsidR="00000000" w:rsidDel="00000000" w:rsidP="00000000" w:rsidRDefault="00000000" w:rsidRPr="00000000" w14:paraId="00000021">
      <w:pPr>
        <w:jc w:val="right"/>
        <w:rPr/>
      </w:pPr>
      <w:r w:rsidDel="00000000" w:rsidR="00000000" w:rsidRPr="00000000">
        <w:rPr>
          <w:rtl w:val="0"/>
        </w:rPr>
        <w:t xml:space="preserve">Integrantes:</w:t>
        <w:br w:type="textWrapping"/>
        <w:t xml:space="preserve">Gissella Aguilar Galindo</w:t>
      </w:r>
    </w:p>
    <w:p w:rsidR="00000000" w:rsidDel="00000000" w:rsidP="00000000" w:rsidRDefault="00000000" w:rsidRPr="00000000" w14:paraId="00000022">
      <w:pPr>
        <w:jc w:val="right"/>
        <w:rPr/>
      </w:pPr>
      <w:r w:rsidDel="00000000" w:rsidR="00000000" w:rsidRPr="00000000">
        <w:rPr>
          <w:rtl w:val="0"/>
        </w:rPr>
        <w:t xml:space="preserve">Jorge Gálvez Román</w:t>
      </w:r>
    </w:p>
    <w:p w:rsidR="00000000" w:rsidDel="00000000" w:rsidP="00000000" w:rsidRDefault="00000000" w:rsidRPr="00000000" w14:paraId="00000023">
      <w:pPr>
        <w:jc w:val="right"/>
        <w:rPr/>
      </w:pPr>
      <w:r w:rsidDel="00000000" w:rsidR="00000000" w:rsidRPr="00000000">
        <w:rPr>
          <w:rtl w:val="0"/>
        </w:rPr>
        <w:t xml:space="preserve">Gabriel Miranda Rivera</w:t>
      </w:r>
    </w:p>
    <w:p w:rsidR="00000000" w:rsidDel="00000000" w:rsidP="00000000" w:rsidRDefault="00000000" w:rsidRPr="00000000" w14:paraId="00000024">
      <w:pPr>
        <w:jc w:val="right"/>
        <w:rPr/>
      </w:pPr>
      <w:r w:rsidDel="00000000" w:rsidR="00000000" w:rsidRPr="00000000">
        <w:rPr>
          <w:rtl w:val="0"/>
        </w:rPr>
      </w:r>
    </w:p>
    <w:p w:rsidR="00000000" w:rsidDel="00000000" w:rsidP="00000000" w:rsidRDefault="00000000" w:rsidRPr="00000000" w14:paraId="00000025">
      <w:pPr>
        <w:jc w:val="right"/>
        <w:rPr/>
      </w:pPr>
      <w:r w:rsidDel="00000000" w:rsidR="00000000" w:rsidRPr="00000000">
        <w:rPr>
          <w:rtl w:val="0"/>
        </w:rPr>
      </w:r>
    </w:p>
    <w:p w:rsidR="00000000" w:rsidDel="00000000" w:rsidP="00000000" w:rsidRDefault="00000000" w:rsidRPr="00000000" w14:paraId="00000026">
      <w:pPr>
        <w:jc w:val="right"/>
        <w:rPr/>
      </w:pPr>
      <w:r w:rsidDel="00000000" w:rsidR="00000000" w:rsidRPr="00000000">
        <w:rPr>
          <w:rtl w:val="0"/>
        </w:rPr>
      </w:r>
    </w:p>
    <w:p w:rsidR="00000000" w:rsidDel="00000000" w:rsidP="00000000" w:rsidRDefault="00000000" w:rsidRPr="00000000" w14:paraId="00000027">
      <w:pPr>
        <w:pStyle w:val="Heading2"/>
        <w:rPr/>
      </w:pPr>
      <w:bookmarkStart w:colFirst="0" w:colLast="0" w:name="_mzwcw1ajrsuu" w:id="4"/>
      <w:bookmarkEnd w:id="4"/>
      <w:r w:rsidDel="00000000" w:rsidR="00000000" w:rsidRPr="00000000">
        <w:rPr>
          <w:rtl w:val="0"/>
        </w:rPr>
        <w:t xml:space="preserve">Identificación del estado del arte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En el mercado de la construcción existen diferentes soluciones enfocadas a la digitalización de la postventa. Entre estas soluciones destacan “PlanOK Postventa” y “Easy Ticket”, estas son plataformas SaaS que centralizan la toma de tickets y gestión de garantías.</w:t>
      </w:r>
    </w:p>
    <w:p w:rsidR="00000000" w:rsidDel="00000000" w:rsidP="00000000" w:rsidRDefault="00000000" w:rsidRPr="00000000" w14:paraId="0000002A">
      <w:pPr>
        <w:jc w:val="both"/>
        <w:rPr/>
      </w:pPr>
      <w:r w:rsidDel="00000000" w:rsidR="00000000" w:rsidRPr="00000000">
        <w:rPr>
          <w:rtl w:val="0"/>
        </w:rPr>
        <w:t xml:space="preserve">Sin embargo, tras el levantamiento de requerimientos del cliente, se identifica que estas soluciones tienen una barrera para empresas medianas o con requisitos específicos, tales como:</w:t>
      </w:r>
    </w:p>
    <w:p w:rsidR="00000000" w:rsidDel="00000000" w:rsidP="00000000" w:rsidRDefault="00000000" w:rsidRPr="00000000" w14:paraId="0000002B">
      <w:pPr>
        <w:numPr>
          <w:ilvl w:val="0"/>
          <w:numId w:val="2"/>
        </w:numPr>
        <w:ind w:left="720" w:hanging="360"/>
        <w:jc w:val="both"/>
        <w:rPr>
          <w:color w:val="000000"/>
          <w:sz w:val="22"/>
          <w:szCs w:val="22"/>
        </w:rPr>
      </w:pPr>
      <w:r w:rsidDel="00000000" w:rsidR="00000000" w:rsidRPr="00000000">
        <w:rPr>
          <w:rtl w:val="0"/>
        </w:rPr>
        <w:t xml:space="preserve">Los estados de tickets son estandarizados, dificultando la implementación de lógicas de negocio específicas como el estado de “No Aplica”.</w:t>
      </w:r>
    </w:p>
    <w:p w:rsidR="00000000" w:rsidDel="00000000" w:rsidP="00000000" w:rsidRDefault="00000000" w:rsidRPr="00000000" w14:paraId="0000002C">
      <w:pPr>
        <w:numPr>
          <w:ilvl w:val="0"/>
          <w:numId w:val="2"/>
        </w:numPr>
        <w:ind w:left="720" w:hanging="360"/>
        <w:jc w:val="both"/>
        <w:rPr>
          <w:color w:val="000000"/>
          <w:sz w:val="22"/>
          <w:szCs w:val="22"/>
        </w:rPr>
      </w:pPr>
      <w:r w:rsidDel="00000000" w:rsidR="00000000" w:rsidRPr="00000000">
        <w:rPr>
          <w:rtl w:val="0"/>
        </w:rPr>
        <w:t xml:space="preserve">El pago por proyecto resulta ineficiente para obras de larga duración donde el volumen de tickets es bajo pero la importancia de la información es alta.</w:t>
      </w:r>
    </w:p>
    <w:p w:rsidR="00000000" w:rsidDel="00000000" w:rsidP="00000000" w:rsidRDefault="00000000" w:rsidRPr="00000000" w14:paraId="0000002D">
      <w:pPr>
        <w:numPr>
          <w:ilvl w:val="0"/>
          <w:numId w:val="2"/>
        </w:numPr>
        <w:ind w:left="720" w:hanging="360"/>
        <w:jc w:val="both"/>
        <w:rPr>
          <w:color w:val="000000"/>
          <w:sz w:val="22"/>
          <w:szCs w:val="22"/>
        </w:rPr>
      </w:pPr>
      <w:r w:rsidDel="00000000" w:rsidR="00000000" w:rsidRPr="00000000">
        <w:rPr>
          <w:rtl w:val="0"/>
        </w:rPr>
        <w:t xml:space="preserve">Las plataformas SaaS almacenan la información en nubes de terceros, mientras que el cliente requiere que la trazabilidad legal (correos, fotos, actas) radique en su propia infraestructura para resguardo ante litigios.</w:t>
      </w:r>
    </w:p>
    <w:p w:rsidR="00000000" w:rsidDel="00000000" w:rsidP="00000000" w:rsidRDefault="00000000" w:rsidRPr="00000000" w14:paraId="0000002E">
      <w:pPr>
        <w:numPr>
          <w:ilvl w:val="0"/>
          <w:numId w:val="2"/>
        </w:numPr>
        <w:ind w:left="720" w:hanging="360"/>
        <w:jc w:val="both"/>
        <w:rPr>
          <w:color w:val="000000"/>
          <w:sz w:val="22"/>
          <w:szCs w:val="22"/>
        </w:rPr>
      </w:pPr>
      <w:r w:rsidDel="00000000" w:rsidR="00000000" w:rsidRPr="00000000">
        <w:rPr>
          <w:rtl w:val="0"/>
        </w:rPr>
        <w:t xml:space="preserve">La sobre-ingeniería: para una constructora donde solo dos personas gestionan la postventa, las plataformas resultan burocráticas y costosas.</w:t>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pStyle w:val="Heading2"/>
        <w:widowControl w:val="0"/>
        <w:spacing w:before="120" w:line="240" w:lineRule="auto"/>
        <w:rPr/>
      </w:pPr>
      <w:bookmarkStart w:colFirst="0" w:colLast="0" w:name="_fkvzaece901" w:id="5"/>
      <w:bookmarkEnd w:id="5"/>
      <w:r w:rsidDel="00000000" w:rsidR="00000000" w:rsidRPr="00000000">
        <w:rPr>
          <w:rtl w:val="0"/>
        </w:rPr>
        <w:t xml:space="preserve">Tabla de Homologación: Software de Postventa vs Propuesta</w:t>
      </w:r>
    </w:p>
    <w:p w:rsidR="00000000" w:rsidDel="00000000" w:rsidP="00000000" w:rsidRDefault="00000000" w:rsidRPr="00000000" w14:paraId="00000031">
      <w:pPr>
        <w:rPr/>
      </w:pPr>
      <w:r w:rsidDel="00000000" w:rsidR="00000000" w:rsidRPr="00000000">
        <w:rPr>
          <w:rtl w:val="0"/>
        </w:rPr>
      </w:r>
    </w:p>
    <w:tbl>
      <w:tblPr>
        <w:tblStyle w:val="Table2"/>
        <w:tblW w:w="9070.8661417322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716535433071"/>
        <w:gridCol w:w="2267.716535433071"/>
        <w:gridCol w:w="2267.716535433071"/>
        <w:gridCol w:w="2267.716535433071"/>
        <w:tblGridChange w:id="0">
          <w:tblGrid>
            <w:gridCol w:w="2267.716535433071"/>
            <w:gridCol w:w="2267.716535433071"/>
            <w:gridCol w:w="2267.716535433071"/>
            <w:gridCol w:w="2267.716535433071"/>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32">
            <w:pPr>
              <w:widowControl w:val="0"/>
              <w:spacing w:line="240" w:lineRule="auto"/>
              <w:jc w:val="center"/>
              <w:rPr/>
            </w:pPr>
            <w:r w:rsidDel="00000000" w:rsidR="00000000" w:rsidRPr="00000000">
              <w:rPr>
                <w:rtl w:val="0"/>
              </w:rPr>
              <w:t xml:space="preserve">Característica</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33">
            <w:pPr>
              <w:widowControl w:val="0"/>
              <w:spacing w:line="240" w:lineRule="auto"/>
              <w:jc w:val="center"/>
              <w:rPr/>
            </w:pPr>
            <w:r w:rsidDel="00000000" w:rsidR="00000000" w:rsidRPr="00000000">
              <w:rPr>
                <w:rtl w:val="0"/>
              </w:rPr>
              <w:t xml:space="preserve">PlanOK Postventa</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34">
            <w:pPr>
              <w:widowControl w:val="0"/>
              <w:spacing w:line="240" w:lineRule="auto"/>
              <w:jc w:val="center"/>
              <w:rPr/>
            </w:pPr>
            <w:r w:rsidDel="00000000" w:rsidR="00000000" w:rsidRPr="00000000">
              <w:rPr>
                <w:rtl w:val="0"/>
              </w:rPr>
              <w:t xml:space="preserve">EasyTicket</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35">
            <w:pPr>
              <w:widowControl w:val="0"/>
              <w:spacing w:line="240" w:lineRule="auto"/>
              <w:jc w:val="center"/>
              <w:rPr/>
            </w:pPr>
            <w:r w:rsidDel="00000000" w:rsidR="00000000" w:rsidRPr="00000000">
              <w:rPr>
                <w:rtl w:val="0"/>
              </w:rPr>
              <w:t xml:space="preserve">Propuesta Proyecto de Título</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36">
            <w:pPr>
              <w:widowControl w:val="0"/>
              <w:spacing w:line="240" w:lineRule="auto"/>
              <w:jc w:val="center"/>
              <w:rPr/>
            </w:pPr>
            <w:r w:rsidDel="00000000" w:rsidR="00000000" w:rsidRPr="00000000">
              <w:rPr>
                <w:rtl w:val="0"/>
              </w:rPr>
              <w:t xml:space="preserve">Enfoque de Mercado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7">
            <w:pPr>
              <w:widowControl w:val="0"/>
              <w:spacing w:line="240" w:lineRule="auto"/>
              <w:jc w:val="center"/>
              <w:rPr/>
            </w:pPr>
            <w:r w:rsidDel="00000000" w:rsidR="00000000" w:rsidRPr="00000000">
              <w:rPr>
                <w:rtl w:val="0"/>
              </w:rPr>
              <w:t xml:space="preserve">Inmobiliarias masivas (Edificios/casas). Muy robusto y complejo.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8">
            <w:pPr>
              <w:widowControl w:val="0"/>
              <w:spacing w:line="240" w:lineRule="auto"/>
              <w:jc w:val="center"/>
              <w:rPr/>
            </w:pPr>
            <w:r w:rsidDel="00000000" w:rsidR="00000000" w:rsidRPr="00000000">
              <w:rPr>
                <w:rtl w:val="0"/>
              </w:rPr>
              <w:t xml:space="preserve">Empresas de servicios y mantenimiento técnico rápido.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9">
            <w:pPr>
              <w:widowControl w:val="0"/>
              <w:spacing w:line="240" w:lineRule="auto"/>
              <w:jc w:val="center"/>
              <w:rPr/>
            </w:pPr>
            <w:r w:rsidDel="00000000" w:rsidR="00000000" w:rsidRPr="00000000">
              <w:rPr>
                <w:rtl w:val="0"/>
              </w:rPr>
              <w:t xml:space="preserve">Constructoras de Obras Civiles e Industriales.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3A">
            <w:pPr>
              <w:widowControl w:val="0"/>
              <w:spacing w:line="240" w:lineRule="auto"/>
              <w:jc w:val="center"/>
              <w:rPr/>
            </w:pPr>
            <w:r w:rsidDel="00000000" w:rsidR="00000000" w:rsidRPr="00000000">
              <w:rPr>
                <w:rtl w:val="0"/>
              </w:rPr>
              <w:t xml:space="preserve">Modelo de Costos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B">
            <w:pPr>
              <w:widowControl w:val="0"/>
              <w:spacing w:line="240" w:lineRule="auto"/>
              <w:jc w:val="center"/>
              <w:rPr/>
            </w:pPr>
            <w:r w:rsidDel="00000000" w:rsidR="00000000" w:rsidRPr="00000000">
              <w:rPr>
                <w:rtl w:val="0"/>
              </w:rPr>
              <w:t xml:space="preserve">Licenciamiento corporativo de alto costo (SaaS).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C">
            <w:pPr>
              <w:widowControl w:val="0"/>
              <w:spacing w:line="240" w:lineRule="auto"/>
              <w:jc w:val="center"/>
              <w:rPr/>
            </w:pPr>
            <w:r w:rsidDel="00000000" w:rsidR="00000000" w:rsidRPr="00000000">
              <w:rPr>
                <w:rtl w:val="0"/>
              </w:rPr>
              <w:t xml:space="preserve">Suscripción mensual por niveles de uso.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D">
            <w:pPr>
              <w:widowControl w:val="0"/>
              <w:spacing w:line="240" w:lineRule="auto"/>
              <w:jc w:val="center"/>
              <w:rPr/>
            </w:pPr>
            <w:r w:rsidDel="00000000" w:rsidR="00000000" w:rsidRPr="00000000">
              <w:rPr>
                <w:rtl w:val="0"/>
              </w:rPr>
              <w:t xml:space="preserve">Costo $0 de licencia. Propiedad total del código. </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3E">
            <w:pPr>
              <w:widowControl w:val="0"/>
              <w:spacing w:line="240" w:lineRule="auto"/>
              <w:jc w:val="center"/>
              <w:rPr/>
            </w:pPr>
            <w:r w:rsidDel="00000000" w:rsidR="00000000" w:rsidRPr="00000000">
              <w:rPr>
                <w:rtl w:val="0"/>
              </w:rPr>
              <w:t xml:space="preserve">Flexibilidad de Estados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F">
            <w:pPr>
              <w:widowControl w:val="0"/>
              <w:spacing w:line="240" w:lineRule="auto"/>
              <w:jc w:val="center"/>
              <w:rPr/>
            </w:pPr>
            <w:r w:rsidDel="00000000" w:rsidR="00000000" w:rsidRPr="00000000">
              <w:rPr>
                <w:rtl w:val="0"/>
              </w:rPr>
              <w:t xml:space="preserve">Estructura rígida diseñada para flujos inmobiliarios estándar.</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0">
            <w:pPr>
              <w:widowControl w:val="0"/>
              <w:spacing w:line="240" w:lineRule="auto"/>
              <w:jc w:val="center"/>
              <w:rPr/>
            </w:pPr>
            <w:r w:rsidDel="00000000" w:rsidR="00000000" w:rsidRPr="00000000">
              <w:rPr>
                <w:rtl w:val="0"/>
              </w:rPr>
              <w:t xml:space="preserve">Configuración amigable, pero limitada a tickets de servicio.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1">
            <w:pPr>
              <w:widowControl w:val="0"/>
              <w:spacing w:line="240" w:lineRule="auto"/>
              <w:jc w:val="center"/>
              <w:rPr/>
            </w:pPr>
            <w:r w:rsidDel="00000000" w:rsidR="00000000" w:rsidRPr="00000000">
              <w:rPr>
                <w:rtl w:val="0"/>
              </w:rPr>
              <w:t xml:space="preserve">Totalmente personalizada: Estados de “No Aplica” y otros.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42">
            <w:pPr>
              <w:widowControl w:val="0"/>
              <w:spacing w:line="240" w:lineRule="auto"/>
              <w:jc w:val="center"/>
              <w:rPr/>
            </w:pPr>
            <w:r w:rsidDel="00000000" w:rsidR="00000000" w:rsidRPr="00000000">
              <w:rPr>
                <w:rtl w:val="0"/>
              </w:rPr>
              <w:t xml:space="preserve">Jerarquía de Datos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3">
            <w:pPr>
              <w:widowControl w:val="0"/>
              <w:spacing w:line="240" w:lineRule="auto"/>
              <w:jc w:val="center"/>
              <w:rPr/>
            </w:pPr>
            <w:r w:rsidDel="00000000" w:rsidR="00000000" w:rsidRPr="00000000">
              <w:rPr>
                <w:rtl w:val="0"/>
              </w:rPr>
              <w:t xml:space="preserve">Enfocado en la “Unidad”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4">
            <w:pPr>
              <w:widowControl w:val="0"/>
              <w:spacing w:line="240" w:lineRule="auto"/>
              <w:jc w:val="center"/>
              <w:rPr/>
            </w:pPr>
            <w:r w:rsidDel="00000000" w:rsidR="00000000" w:rsidRPr="00000000">
              <w:rPr>
                <w:rtl w:val="0"/>
              </w:rPr>
              <w:t xml:space="preserve">Enfocado en el ticket individual de reparación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5">
            <w:pPr>
              <w:widowControl w:val="0"/>
              <w:spacing w:line="240" w:lineRule="auto"/>
              <w:jc w:val="center"/>
              <w:rPr/>
            </w:pPr>
            <w:r w:rsidDel="00000000" w:rsidR="00000000" w:rsidRPr="00000000">
              <w:rPr>
                <w:rtl w:val="0"/>
              </w:rPr>
              <w:t xml:space="preserve">Doble nivel:</w:t>
            </w:r>
          </w:p>
          <w:p w:rsidR="00000000" w:rsidDel="00000000" w:rsidP="00000000" w:rsidRDefault="00000000" w:rsidRPr="00000000" w14:paraId="00000046">
            <w:pPr>
              <w:widowControl w:val="0"/>
              <w:spacing w:line="240" w:lineRule="auto"/>
              <w:jc w:val="center"/>
              <w:rPr/>
            </w:pPr>
            <w:r w:rsidDel="00000000" w:rsidR="00000000" w:rsidRPr="00000000">
              <w:rPr>
                <w:rtl w:val="0"/>
              </w:rPr>
              <w:t xml:space="preserve">Proyecto -&gt; Ticket -&gt; Observaciones múltiples.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47">
            <w:pPr>
              <w:widowControl w:val="0"/>
              <w:spacing w:line="240" w:lineRule="auto"/>
              <w:jc w:val="center"/>
              <w:rPr/>
            </w:pPr>
            <w:r w:rsidDel="00000000" w:rsidR="00000000" w:rsidRPr="00000000">
              <w:rPr>
                <w:rtl w:val="0"/>
              </w:rPr>
              <w:t xml:space="preserve">Trazabilidad Legal</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8">
            <w:pPr>
              <w:widowControl w:val="0"/>
              <w:spacing w:line="240" w:lineRule="auto"/>
              <w:jc w:val="center"/>
              <w:rPr/>
            </w:pPr>
            <w:r w:rsidDel="00000000" w:rsidR="00000000" w:rsidRPr="00000000">
              <w:rPr>
                <w:rtl w:val="0"/>
              </w:rPr>
              <w:t xml:space="preserve">Almacena actas de entrega estándar.</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9">
            <w:pPr>
              <w:widowControl w:val="0"/>
              <w:spacing w:line="240" w:lineRule="auto"/>
              <w:jc w:val="center"/>
              <w:rPr/>
            </w:pPr>
            <w:r w:rsidDel="00000000" w:rsidR="00000000" w:rsidRPr="00000000">
              <w:rPr>
                <w:rtl w:val="0"/>
              </w:rPr>
              <w:t xml:space="preserve">Registro básico de historial de cambios.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A">
            <w:pPr>
              <w:widowControl w:val="0"/>
              <w:spacing w:line="240" w:lineRule="auto"/>
              <w:jc w:val="center"/>
              <w:rPr/>
            </w:pPr>
            <w:r w:rsidDel="00000000" w:rsidR="00000000" w:rsidRPr="00000000">
              <w:rPr>
                <w:rtl w:val="0"/>
              </w:rPr>
              <w:t xml:space="preserve">Bitácora histórica: Resguardo de fotos, actas digitales y correos.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4B">
            <w:pPr>
              <w:widowControl w:val="0"/>
              <w:spacing w:line="240" w:lineRule="auto"/>
              <w:jc w:val="center"/>
              <w:rPr/>
            </w:pPr>
            <w:r w:rsidDel="00000000" w:rsidR="00000000" w:rsidRPr="00000000">
              <w:rPr>
                <w:rtl w:val="0"/>
              </w:rPr>
              <w:t xml:space="preserve">Curva de Aprendizaje</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C">
            <w:pPr>
              <w:widowControl w:val="0"/>
              <w:spacing w:line="240" w:lineRule="auto"/>
              <w:jc w:val="center"/>
              <w:rPr/>
            </w:pPr>
            <w:r w:rsidDel="00000000" w:rsidR="00000000" w:rsidRPr="00000000">
              <w:rPr>
                <w:rtl w:val="0"/>
              </w:rPr>
              <w:t xml:space="preserve">Alta. Requiere capacitación intensiva para el personal.</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D">
            <w:pPr>
              <w:widowControl w:val="0"/>
              <w:spacing w:line="240" w:lineRule="auto"/>
              <w:jc w:val="center"/>
              <w:rPr/>
            </w:pPr>
            <w:r w:rsidDel="00000000" w:rsidR="00000000" w:rsidRPr="00000000">
              <w:rPr>
                <w:rtl w:val="0"/>
              </w:rPr>
              <w:t xml:space="preserve">Media. Interfaz moderna pero con muchas opciones genéricas.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E">
            <w:pPr>
              <w:widowControl w:val="0"/>
              <w:spacing w:line="240" w:lineRule="auto"/>
              <w:jc w:val="center"/>
              <w:rPr/>
            </w:pPr>
            <w:r w:rsidDel="00000000" w:rsidR="00000000" w:rsidRPr="00000000">
              <w:rPr>
                <w:rtl w:val="0"/>
              </w:rPr>
              <w:t xml:space="preserve">Baja/Inmediata. Diseñada solo con los módulos que el cliente necesita.</w:t>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Nota: Elaboración propia a partir  de información obtenida en sitios web oficiales de PlanOK (</w:t>
      </w:r>
      <w:hyperlink r:id="rId6">
        <w:r w:rsidDel="00000000" w:rsidR="00000000" w:rsidRPr="00000000">
          <w:rPr>
            <w:color w:val="1155cc"/>
            <w:u w:val="single"/>
            <w:rtl w:val="0"/>
          </w:rPr>
          <w:t xml:space="preserve">https://www.planok.com/planok-postventa</w:t>
        </w:r>
      </w:hyperlink>
      <w:r w:rsidDel="00000000" w:rsidR="00000000" w:rsidRPr="00000000">
        <w:rPr>
          <w:rtl w:val="0"/>
        </w:rPr>
        <w:t xml:space="preserve">) y EasyTicket (</w:t>
      </w:r>
      <w:hyperlink r:id="rId7">
        <w:r w:rsidDel="00000000" w:rsidR="00000000" w:rsidRPr="00000000">
          <w:rPr>
            <w:color w:val="1155cc"/>
            <w:u w:val="single"/>
            <w:rtl w:val="0"/>
          </w:rPr>
          <w:t xml:space="preserve">https://easyticket.cl/</w:t>
        </w:r>
      </w:hyperlink>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rPr/>
      </w:pPr>
      <w:bookmarkStart w:colFirst="0" w:colLast="0" w:name="_ki2zzy6vrbs8" w:id="6"/>
      <w:bookmarkEnd w:id="6"/>
      <w:r w:rsidDel="00000000" w:rsidR="00000000" w:rsidRPr="00000000">
        <w:rPr>
          <w:rtl w:val="0"/>
        </w:rPr>
        <w:t xml:space="preserve">Referencias Bibliográficas</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EasyTicket. (s.f.). Sistema de gestión de tickets y mesas de ayuda. </w:t>
      </w:r>
      <w:hyperlink r:id="rId8">
        <w:r w:rsidDel="00000000" w:rsidR="00000000" w:rsidRPr="00000000">
          <w:rPr>
            <w:color w:val="1155cc"/>
            <w:u w:val="single"/>
            <w:rtl w:val="0"/>
          </w:rPr>
          <w:t xml:space="preserve">https://easyticket.cl/</w:t>
        </w:r>
      </w:hyperlink>
      <w:r w:rsidDel="00000000" w:rsidR="00000000" w:rsidRPr="00000000">
        <w:rPr>
          <w:rtl w:val="0"/>
        </w:rPr>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PlanOK. (s. f.). PlanOK Postventa | Optimiza tu Postventa Inmobiliaria. https://www.planok.com/planok-postventa</w:t>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Style w:val="Heading3"/>
      <w:keepNext w:val="0"/>
      <w:keepLines w:val="0"/>
      <w:spacing w:before="280" w:lineRule="auto"/>
      <w:jc w:val="right"/>
      <w:rPr/>
    </w:pPr>
    <w:bookmarkStart w:colFirst="0" w:colLast="0" w:name="_5i13587ycjqm" w:id="7"/>
    <w:bookmarkEnd w:id="7"/>
    <w:r w:rsidDel="00000000" w:rsidR="00000000" w:rsidRPr="00000000">
      <w:rPr>
        <w:rFonts w:ascii="Calibri" w:cs="Calibri" w:eastAsia="Calibri" w:hAnsi="Calibri"/>
        <w:color w:val="000000"/>
        <w:sz w:val="22"/>
        <w:szCs w:val="22"/>
      </w:rPr>
      <w:drawing>
        <wp:inline distB="0" distT="0" distL="0" distR="0">
          <wp:extent cx="2751980" cy="600631"/>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51980" cy="60063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planok.com/planok-postventa" TargetMode="External"/><Relationship Id="rId7" Type="http://schemas.openxmlformats.org/officeDocument/2006/relationships/hyperlink" Target="https://easyticket.cl/" TargetMode="External"/><Relationship Id="rId8" Type="http://schemas.openxmlformats.org/officeDocument/2006/relationships/hyperlink" Target="https://easyticket.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