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Variables Breakdown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Funded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Funded amount inv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ownership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Verification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date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 status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delinq_2yrs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earliest _cr_line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Inq last 6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Months since last delinq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Revol 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Revol utilization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acc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pymnt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payment inv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rec principle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rec interest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recoveries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pymnt date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payment amount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payment date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credit pull date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Repay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column (Months since delinq), team has to decide whether to put high numbers for NA , or make it into factor (0,1)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Dti is the ratio of loan/income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has come to an agreement to delete all the N/A rows from the observations (except the next payment date as well as months since delinq)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find the Rmd file (remove_variables) for the final_data which exclude all the red variables that have been agreed to removed.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Exploratory Data Question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interaction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higher income == less likely to default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original state of the debt holder affects the default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Assumption a person who has a high loan amt with a low annual income will most likely to default (based on DTI. plot against customer ID and DTI , Group by default output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by Josh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Verification Status against repay fail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Term against repay fail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Grade / repay fail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Employment period length vs repay fail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