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0000"/>
          <w:rtl w:val="0"/>
        </w:rPr>
        <w:t xml:space="preserve">[ WORK IN PROGRESS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Software Requirements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Times New Roman" w:cs="Times New Roman" w:eastAsia="Times New Roman" w:hAnsi="Times New Roman"/>
          <w:sz w:val="28"/>
          <w:szCs w:val="28"/>
          <w:rtl w:val="0"/>
        </w:rPr>
        <w:t xml:space="preserve">CS372 Software Construction, Project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Group 5: </w:t>
      </w:r>
      <w:r w:rsidDel="00000000" w:rsidR="00000000" w:rsidRPr="00000000">
        <w:rPr>
          <w:rFonts w:ascii="Times New Roman" w:cs="Times New Roman" w:eastAsia="Times New Roman" w:hAnsi="Times New Roman"/>
          <w:i w:val="1"/>
          <w:sz w:val="28"/>
          <w:szCs w:val="28"/>
          <w:rtl w:val="0"/>
        </w:rPr>
        <w:t xml:space="preserve">Cody Gaines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Joshua Guerrero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main objective of this document is to illustrate the software requirements for the Battleship programming project. This document provides the scope and intended end goal of the project while also providing details on both the functional and nonfunctional requirements of the project. The main purpose of this project is to be able to create program that runs the game of Battleship which allows a user to compete against a computer-run opponent.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project is designed to be operated by a single user and run from the command line terminal which shall work as a complete interface for the user.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