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2312"/>
        <w:gridCol w:w="2533"/>
        <w:gridCol w:w="2777"/>
      </w:tblGrid>
      <w:tr>
        <w:trPr>
          <w:cantSplit/>
          <w:trHeight w:val="6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Overall, N = 40,087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Flu death, N = 15,376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death, N = 24,711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Cradock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2,698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1,119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1,579 (6.4%)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Elliot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1,185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611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574 (2.3%)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Fraserburg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1,246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884 (3.6%)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Komga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2,250 (5.6%)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1,342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908 (3.7%)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Kuruman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1,476 (3.7%)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593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883 (3.6%)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Mafeking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2,296 (5.7%)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921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1,375 (5.6%)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Oudtshoorn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5,894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1,855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4,039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Paarl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5,051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1,718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3,333 (13%)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Peddie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2,520 (6.3%)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1,145 (7.4%)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1,375 (5.6%)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Queenstown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6,226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2,135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4,091 (17%)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Riversdale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1,219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374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845 (3.4%)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Sea Point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279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Stellenbosch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3,835 (9.6%)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1,438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2,397 (9.7%)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Stockenstrom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2,487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1,126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1,361 (5.5%)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Vryburg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1,380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592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788 (3.2%)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20,000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7,968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12,032 (49%)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20,087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7,408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12,679 (51%)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18,034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8,049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9,985 (40%)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15,508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5,738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9,770 (40%)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6,545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1,589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4,956 (20%)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Literacy proxy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23,448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9,709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13,739 (56%)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16,639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5,667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10,972 (44%)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in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(1, 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(2, 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(1, 47)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Duration of illness in days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(7, 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(7, 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(6, 30)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2,672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2,099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2022-02-09T17:25:01Z</dcterms:modified>
  <cp:category/>
</cp:coreProperties>
</file>