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5EAC5" w14:textId="51AE8C44" w:rsidR="00227B8A" w:rsidRPr="006B341B" w:rsidRDefault="0084736C" w:rsidP="006B341B">
      <w:pPr>
        <w:pStyle w:val="Title"/>
      </w:pPr>
      <w:r w:rsidRPr="006B341B">
        <w:t>Electrifying Equality: How Electricity Adoption Boosted Inclusive Growth in Early 20th Century Sweden</w:t>
      </w:r>
    </w:p>
    <w:p w14:paraId="70686CAF" w14:textId="77777777" w:rsidR="0084736C" w:rsidRPr="006B341B" w:rsidRDefault="0084736C" w:rsidP="0084736C">
      <w:pPr>
        <w:pStyle w:val="NormalWeb"/>
        <w:rPr>
          <w:rFonts w:ascii="Helvetica" w:hAnsi="Helvetica"/>
        </w:rPr>
      </w:pPr>
      <w:r w:rsidRPr="006B341B">
        <w:rPr>
          <w:rFonts w:ascii="Helvetica" w:hAnsi="Helvetica"/>
        </w:rPr>
        <w:t>Jonathan Jayes</w:t>
      </w:r>
      <w:r w:rsidRPr="006B341B">
        <w:rPr>
          <w:rFonts w:ascii="Helvetica" w:hAnsi="Helvetica"/>
          <w:position w:val="8"/>
          <w:sz w:val="16"/>
          <w:szCs w:val="16"/>
        </w:rPr>
        <w:t>1</w:t>
      </w:r>
      <w:r w:rsidRPr="006B341B">
        <w:rPr>
          <w:rFonts w:ascii="Helvetica" w:hAnsi="Helvetica"/>
        </w:rPr>
        <w:t>, Jakob Molinder</w:t>
      </w:r>
      <w:r w:rsidRPr="006B341B">
        <w:rPr>
          <w:rFonts w:ascii="Helvetica" w:hAnsi="Helvetica"/>
          <w:position w:val="8"/>
          <w:sz w:val="16"/>
          <w:szCs w:val="16"/>
        </w:rPr>
        <w:t>1,2</w:t>
      </w:r>
      <w:r w:rsidRPr="006B341B">
        <w:rPr>
          <w:rFonts w:ascii="Helvetica" w:hAnsi="Helvetica"/>
        </w:rPr>
        <w:t>, and Kerstin Enflo</w:t>
      </w:r>
      <w:r w:rsidRPr="006B341B">
        <w:rPr>
          <w:rFonts w:ascii="Helvetica" w:hAnsi="Helvetica"/>
          <w:position w:val="8"/>
          <w:sz w:val="16"/>
          <w:szCs w:val="16"/>
        </w:rPr>
        <w:t xml:space="preserve">1 </w:t>
      </w:r>
    </w:p>
    <w:p w14:paraId="12FE1784" w14:textId="77777777" w:rsidR="0084736C" w:rsidRPr="006B341B" w:rsidRDefault="0084736C" w:rsidP="0084736C">
      <w:pPr>
        <w:pStyle w:val="NoSpacing"/>
        <w:rPr>
          <w:sz w:val="22"/>
          <w:szCs w:val="22"/>
        </w:rPr>
      </w:pPr>
      <w:r w:rsidRPr="006B341B">
        <w:rPr>
          <w:position w:val="8"/>
          <w:sz w:val="15"/>
          <w:szCs w:val="15"/>
        </w:rPr>
        <w:t>1</w:t>
      </w:r>
      <w:r w:rsidRPr="006B341B">
        <w:rPr>
          <w:sz w:val="22"/>
          <w:szCs w:val="22"/>
        </w:rPr>
        <w:t xml:space="preserve">Department of Economic History, Lund University, Lund, Sweden </w:t>
      </w:r>
    </w:p>
    <w:p w14:paraId="4A29695E" w14:textId="7BAD9151" w:rsidR="0084736C" w:rsidRPr="006B341B" w:rsidRDefault="0084736C" w:rsidP="0084736C">
      <w:pPr>
        <w:pStyle w:val="NoSpacing"/>
        <w:rPr>
          <w:sz w:val="22"/>
          <w:szCs w:val="22"/>
        </w:rPr>
      </w:pPr>
      <w:r w:rsidRPr="006B341B">
        <w:rPr>
          <w:rFonts w:ascii="SFRM0800" w:hAnsi="SFRM0800"/>
          <w:position w:val="8"/>
          <w:sz w:val="14"/>
          <w:szCs w:val="15"/>
        </w:rPr>
        <w:t>2</w:t>
      </w:r>
      <w:r w:rsidRPr="006B341B">
        <w:rPr>
          <w:sz w:val="22"/>
          <w:szCs w:val="22"/>
        </w:rPr>
        <w:t xml:space="preserve">Department of Economic History, Uppsala University, Uppsala, Sweden </w:t>
      </w:r>
    </w:p>
    <w:p w14:paraId="518211C4" w14:textId="65DB68D9" w:rsidR="006F7C66" w:rsidRPr="00B56030" w:rsidRDefault="006F7C66" w:rsidP="006F7C66">
      <w:pPr>
        <w:rPr>
          <w:lang w:val="en-US"/>
        </w:rPr>
      </w:pPr>
      <w:r w:rsidRPr="006F7C66">
        <w:t xml:space="preserve">When considering the advancement of Artificial Intelligence (AI), a general purpose technology (GPT), opinions vary regarding the future value and demand for </w:t>
      </w:r>
      <w:r w:rsidR="00EE39E3">
        <w:t xml:space="preserve">expertise in </w:t>
      </w:r>
      <w:r w:rsidR="00EE39E3" w:rsidRPr="006F7C66">
        <w:t xml:space="preserve">human </w:t>
      </w:r>
      <w:r w:rsidRPr="006F7C66">
        <w:t>labour. Techno-optimists believe AI will increase productivity to such an extent that labour requirements will diminish, necessitating a universal basic income grant to sustain human consumption. Techno-pessimists believe AI will automate many white-collar jobs entirely</w:t>
      </w:r>
      <w:r w:rsidR="00B56030">
        <w:t>,</w:t>
      </w:r>
      <w:r w:rsidR="00F32435">
        <w:t xml:space="preserve"> </w:t>
      </w:r>
      <w:r w:rsidR="00B56030">
        <w:t xml:space="preserve">as surveyed in </w:t>
      </w:r>
      <w:r w:rsidR="00F32435" w:rsidRPr="005F510A">
        <w:t>Ernst</w:t>
      </w:r>
      <w:r w:rsidR="00F32435">
        <w:t xml:space="preserve"> </w:t>
      </w:r>
      <w:r w:rsidR="00F32435" w:rsidRPr="006F7C66">
        <w:rPr>
          <w:i/>
          <w:iCs/>
        </w:rPr>
        <w:t>et al.</w:t>
      </w:r>
      <w:r w:rsidR="00F32435">
        <w:t xml:space="preserve"> </w:t>
      </w:r>
      <w:r w:rsidR="00B56030">
        <w:t>(</w:t>
      </w:r>
      <w:r w:rsidR="00F32435">
        <w:t>2019)</w:t>
      </w:r>
      <w:r w:rsidRPr="006F7C66">
        <w:t xml:space="preserve">. </w:t>
      </w:r>
      <w:r w:rsidR="008E3097" w:rsidRPr="008E3097">
        <w:t>Both views predict that inequality will increase and the labour force will continue to bifurcate</w:t>
      </w:r>
      <w:r w:rsidRPr="006F7C66">
        <w:t>– high-skilled workers designing AI systems will become rich, while middle-skilled workers will be pushed into poorly paid service jobs</w:t>
      </w:r>
      <w:r w:rsidR="00EE39E3">
        <w:t xml:space="preserve"> – echoing previous technological junctures</w:t>
      </w:r>
      <w:r w:rsidR="007B10F6">
        <w:t xml:space="preserve"> brought about by the adoption of GPTs</w:t>
      </w:r>
      <w:r w:rsidR="00EE39E3">
        <w:t xml:space="preserve">. </w:t>
      </w:r>
      <w:r w:rsidR="00385F08">
        <w:t xml:space="preserve">Research on </w:t>
      </w:r>
      <w:r w:rsidR="00973AC0">
        <w:t>robotization</w:t>
      </w:r>
      <w:r w:rsidR="00385F08">
        <w:t xml:space="preserve"> of the workplace</w:t>
      </w:r>
      <w:r w:rsidR="00EE39E3">
        <w:t xml:space="preserve"> tells </w:t>
      </w:r>
      <w:r w:rsidR="00973AC0">
        <w:t xml:space="preserve">us </w:t>
      </w:r>
      <w:r w:rsidR="00EE39E3">
        <w:t>that the routinization of workers’ tasks worsened pay and working conditions, resulting in increased wage inequality (</w:t>
      </w:r>
      <w:r w:rsidR="008E3097" w:rsidRPr="008E3097">
        <w:t xml:space="preserve">Acemoglu and Restrepo, </w:t>
      </w:r>
      <w:r w:rsidR="00973AC0">
        <w:t>2020</w:t>
      </w:r>
      <w:r w:rsidR="00EE39E3">
        <w:t>)</w:t>
      </w:r>
      <w:r w:rsidR="00CF3D19">
        <w:t>, and that the adoption of robots decreased the employment share of occupations intensive in routine tasks (</w:t>
      </w:r>
      <w:r w:rsidR="00CF3D19" w:rsidRPr="00CF3D19">
        <w:t>Wacker</w:t>
      </w:r>
      <w:r w:rsidR="00CF3D19">
        <w:t xml:space="preserve"> </w:t>
      </w:r>
      <w:r w:rsidR="00CF3D19" w:rsidRPr="006F7C66">
        <w:rPr>
          <w:i/>
          <w:iCs/>
        </w:rPr>
        <w:t>et al.</w:t>
      </w:r>
      <w:r w:rsidR="00CF3D19">
        <w:rPr>
          <w:i/>
          <w:iCs/>
        </w:rPr>
        <w:t xml:space="preserve"> </w:t>
      </w:r>
      <w:r w:rsidR="00CF3D19">
        <w:t>2016)</w:t>
      </w:r>
      <w:r w:rsidR="00EE39E3">
        <w:t>.</w:t>
      </w:r>
    </w:p>
    <w:p w14:paraId="05F068AB" w14:textId="2FA85DAC" w:rsidR="006F7C66" w:rsidRPr="00C30E8C" w:rsidRDefault="006F7C66" w:rsidP="006F7C66">
      <w:r w:rsidRPr="006F7C66">
        <w:t>However, three recent studies have found that AI has helped novice or lower-skilled workers catch up to high-skilled workers across various white-collar tasks. Noy and Zhang (2023</w:t>
      </w:r>
      <w:r w:rsidR="00C30E8C">
        <w:t xml:space="preserve">a, </w:t>
      </w:r>
      <w:r w:rsidR="00C30E8C" w:rsidRPr="006F7C66">
        <w:t>2023</w:t>
      </w:r>
      <w:r w:rsidR="00C30E8C">
        <w:t>b</w:t>
      </w:r>
      <w:r w:rsidRPr="006F7C66">
        <w:t>) found significant improvements in writing speed and quality among those using ChatGPT, with the biggest quality improvements concentrated at the bottom</w:t>
      </w:r>
      <w:r>
        <w:t xml:space="preserve"> of the skill distribution</w:t>
      </w:r>
      <w:r w:rsidRPr="006F7C66">
        <w:t xml:space="preserve">. Brynjolfsson </w:t>
      </w:r>
      <w:r w:rsidRPr="006F7C66">
        <w:rPr>
          <w:i/>
          <w:iCs/>
        </w:rPr>
        <w:t>et al.</w:t>
      </w:r>
      <w:r w:rsidRPr="006F7C66">
        <w:t xml:space="preserve"> (2023) found that access to AI tools increases productivity by 14% on average, with a 34% improvement for novice and low-skilled workers but minimal impact on experienced and highly skilled workers. Dell'Acqua </w:t>
      </w:r>
      <w:r w:rsidRPr="006F7C66">
        <w:rPr>
          <w:i/>
          <w:iCs/>
        </w:rPr>
        <w:t>et al.</w:t>
      </w:r>
      <w:r w:rsidRPr="006F7C66">
        <w:t xml:space="preserve"> (2023) found that consultants </w:t>
      </w:r>
      <w:r>
        <w:t xml:space="preserve">at the Boston Consulting Group </w:t>
      </w:r>
      <w:r w:rsidRPr="006F7C66">
        <w:t>who used AI completed more tasks more quickly, with gains concentrated among those at the bottom of the skill distribution.</w:t>
      </w:r>
      <w:r w:rsidR="00C30E8C">
        <w:t xml:space="preserve"> Overall, </w:t>
      </w:r>
      <w:r w:rsidR="00C30E8C" w:rsidRPr="00C30E8C">
        <w:t>Filippucci</w:t>
      </w:r>
      <w:r w:rsidR="00C30E8C">
        <w:t xml:space="preserve"> </w:t>
      </w:r>
      <w:r w:rsidR="00C30E8C" w:rsidRPr="006F7C66">
        <w:rPr>
          <w:i/>
          <w:iCs/>
        </w:rPr>
        <w:t>et al.</w:t>
      </w:r>
      <w:r w:rsidR="00C30E8C">
        <w:rPr>
          <w:i/>
          <w:iCs/>
        </w:rPr>
        <w:t xml:space="preserve"> </w:t>
      </w:r>
      <w:r w:rsidR="00C30E8C">
        <w:t>(2024) conclude that “</w:t>
      </w:r>
      <w:r w:rsidR="00C30E8C" w:rsidRPr="00C30E8C">
        <w:t>emerging micro-level evidence</w:t>
      </w:r>
      <w:r w:rsidR="00C30E8C">
        <w:t xml:space="preserve"> [on AI]</w:t>
      </w:r>
      <w:r w:rsidR="00C30E8C" w:rsidRPr="00C30E8C">
        <w:t xml:space="preserve"> shows substantial improvements in firm productivity and worker performance</w:t>
      </w:r>
      <w:r w:rsidR="00C30E8C">
        <w:t>”.</w:t>
      </w:r>
    </w:p>
    <w:p w14:paraId="061C8E3C" w14:textId="0EA38110" w:rsidR="00073F3E" w:rsidRDefault="00B95400" w:rsidP="00286262">
      <w:r w:rsidRPr="00D15B5A">
        <w:rPr>
          <w:lang w:val="en-US"/>
        </w:rPr>
        <w:t>On</w:t>
      </w:r>
      <w:r>
        <w:rPr>
          <w:lang w:val="en-US"/>
        </w:rPr>
        <w:t xml:space="preserve">e way to inform the debate is to look for similar examples of rapid technological change in history. </w:t>
      </w:r>
      <w:r w:rsidR="001434B3">
        <w:t>In a</w:t>
      </w:r>
      <w:r w:rsidR="00286262" w:rsidRPr="00286262">
        <w:t xml:space="preserve"> recent </w:t>
      </w:r>
      <w:r w:rsidR="006B341B">
        <w:t xml:space="preserve">CEPR </w:t>
      </w:r>
      <w:r w:rsidR="007E0F45">
        <w:t>discussion</w:t>
      </w:r>
      <w:r w:rsidR="006B341B">
        <w:t xml:space="preserve"> </w:t>
      </w:r>
      <w:r w:rsidR="00286262" w:rsidRPr="00286262">
        <w:t>paper</w:t>
      </w:r>
      <w:r w:rsidR="006B341B">
        <w:t xml:space="preserve"> titled </w:t>
      </w:r>
      <w:r w:rsidR="006B341B" w:rsidRPr="006B341B">
        <w:rPr>
          <w:i/>
          <w:iCs/>
        </w:rPr>
        <w:t>Power for progress: The impact of electricity on individual labor market outcomes</w:t>
      </w:r>
      <w:r w:rsidR="007C0A1E">
        <w:rPr>
          <w:i/>
          <w:iCs/>
        </w:rPr>
        <w:t>,</w:t>
      </w:r>
      <w:r w:rsidR="00286262" w:rsidRPr="00286262">
        <w:t xml:space="preserve"> </w:t>
      </w:r>
      <w:r w:rsidR="001434B3">
        <w:t>we</w:t>
      </w:r>
      <w:r w:rsidR="00286262" w:rsidRPr="00286262">
        <w:t xml:space="preserve"> </w:t>
      </w:r>
      <w:r w:rsidRPr="00D15B5A">
        <w:rPr>
          <w:lang w:val="en-US"/>
        </w:rPr>
        <w:t>st</w:t>
      </w:r>
      <w:r>
        <w:rPr>
          <w:lang w:val="en-US"/>
        </w:rPr>
        <w:t>udy</w:t>
      </w:r>
      <w:r w:rsidR="00286262" w:rsidRPr="00286262">
        <w:t xml:space="preserve"> the rapid </w:t>
      </w:r>
      <w:r w:rsidR="00286262" w:rsidRPr="00286262">
        <w:lastRenderedPageBreak/>
        <w:t>introduction of electricity in early 20th century Sweden</w:t>
      </w:r>
      <w:r w:rsidR="001434B3">
        <w:t xml:space="preserve"> </w:t>
      </w:r>
      <w:r w:rsidR="001434B3" w:rsidRPr="00286262">
        <w:t>(</w:t>
      </w:r>
      <w:r w:rsidR="001434B3">
        <w:t>Jayes, Molinder and Enflo,</w:t>
      </w:r>
      <w:r w:rsidR="001434B3" w:rsidRPr="00286262">
        <w:t xml:space="preserve"> 2024)</w:t>
      </w:r>
      <w:r w:rsidR="00286262" w:rsidRPr="00286262">
        <w:t xml:space="preserve">. </w:t>
      </w:r>
      <w:r w:rsidR="006F7C66">
        <w:t>We</w:t>
      </w:r>
      <w:r w:rsidR="00286262" w:rsidRPr="00286262">
        <w:t xml:space="preserve"> find that this transformative technology benefitted those at the bottom of the income distribution, resulting in higher incomes, lower inequality, and the emergence of new occupations accessible to workers with </w:t>
      </w:r>
      <w:r w:rsidR="00973AC0">
        <w:t>just</w:t>
      </w:r>
      <w:r w:rsidR="00286262" w:rsidRPr="00286262">
        <w:t xml:space="preserve"> primary education. </w:t>
      </w:r>
    </w:p>
    <w:p w14:paraId="2667CFF0" w14:textId="73966C76" w:rsidR="00EE39E3" w:rsidRDefault="004302E6" w:rsidP="00286262">
      <w:r>
        <w:t>Our</w:t>
      </w:r>
      <w:r w:rsidR="00286262" w:rsidRPr="00286262">
        <w:t xml:space="preserve"> findings suggest that the impact of technological change on </w:t>
      </w:r>
      <w:r w:rsidR="0084736C">
        <w:t>labour</w:t>
      </w:r>
      <w:r w:rsidR="00286262" w:rsidRPr="00286262">
        <w:t xml:space="preserve"> markets depend</w:t>
      </w:r>
      <w:r w:rsidR="00B95400" w:rsidRPr="00D15B5A">
        <w:rPr>
          <w:lang w:val="en-US"/>
        </w:rPr>
        <w:t>ed</w:t>
      </w:r>
      <w:r w:rsidR="00286262" w:rsidRPr="00286262">
        <w:t xml:space="preserve"> crucially on the features of the technology itself and the institutional context in which it is adopted.</w:t>
      </w:r>
      <w:r w:rsidR="00073F3E">
        <w:t xml:space="preserve"> </w:t>
      </w:r>
    </w:p>
    <w:p w14:paraId="317FF18D" w14:textId="0BE9FCF2" w:rsidR="00286262" w:rsidRDefault="00696A19" w:rsidP="0084736C">
      <w:pPr>
        <w:pStyle w:val="Heading1"/>
      </w:pPr>
      <w:r>
        <w:t xml:space="preserve">The </w:t>
      </w:r>
      <w:r w:rsidR="00287F17">
        <w:rPr>
          <w:lang w:val="en-GB"/>
        </w:rPr>
        <w:t>S</w:t>
      </w:r>
      <w:r w:rsidR="00287F17">
        <w:t xml:space="preserve">wedish </w:t>
      </w:r>
      <w:r>
        <w:t>electrification experience</w:t>
      </w:r>
    </w:p>
    <w:p w14:paraId="52767647" w14:textId="53D75EA2" w:rsidR="00C17419" w:rsidRPr="00C17419" w:rsidRDefault="00C17419" w:rsidP="00C17419">
      <w:r w:rsidRPr="00286262">
        <w:t xml:space="preserve">Sweden's electrification during the early 20th century provides a unique opportunity to study the impact of rapid technological change on </w:t>
      </w:r>
      <w:r>
        <w:t>labour</w:t>
      </w:r>
      <w:r w:rsidRPr="00286262">
        <w:t xml:space="preserve"> markets. The Second Industrial Revolution, marked by advancements in steel production, electricity, and assembly line manufacturing, gained momentum during this period (Frey, 2019). Electricity played a key role in reforming production methods through mechanization, revolutionizing the organization of factory floors and farming practices (Alexopoulos and Cohen, 2016).</w:t>
      </w:r>
    </w:p>
    <w:p w14:paraId="22DF816D" w14:textId="66452070" w:rsidR="00286262" w:rsidRDefault="00B95400" w:rsidP="00286262">
      <w:r w:rsidRPr="00D15B5A">
        <w:rPr>
          <w:lang w:val="en-US"/>
        </w:rPr>
        <w:t>Ou</w:t>
      </w:r>
      <w:r>
        <w:rPr>
          <w:lang w:val="en-US"/>
        </w:rPr>
        <w:t>r</w:t>
      </w:r>
      <w:r w:rsidRPr="00286262">
        <w:t xml:space="preserve"> </w:t>
      </w:r>
      <w:r w:rsidR="00286262" w:rsidRPr="00286262">
        <w:t>study focuses on the rollout of the main electricity network between two large hydroelectric power stations, Olidan and Älvkarleby, during the first decades of the 20th century in Sweden. The location of these power stations was selected due to their superior natural capacity for hydroelectricity generation, and the linking grid, called the Western Line (Centralblocket), was completed in 1921</w:t>
      </w:r>
      <w:r w:rsidR="007B10F6">
        <w:t xml:space="preserve">, with the parishes along this line shown in orange in </w:t>
      </w:r>
      <w:r w:rsidR="007B10F6">
        <w:fldChar w:fldCharType="begin"/>
      </w:r>
      <w:r w:rsidR="007B10F6">
        <w:instrText xml:space="preserve"> REF _Ref163827429 \h </w:instrText>
      </w:r>
      <w:r w:rsidR="007B10F6">
        <w:fldChar w:fldCharType="separate"/>
      </w:r>
      <w:r w:rsidR="001D06DB">
        <w:t xml:space="preserve">Figure </w:t>
      </w:r>
      <w:r w:rsidR="001D06DB">
        <w:rPr>
          <w:noProof/>
        </w:rPr>
        <w:t>1</w:t>
      </w:r>
      <w:r w:rsidR="007B10F6">
        <w:fldChar w:fldCharType="end"/>
      </w:r>
      <w:r w:rsidR="00286262" w:rsidRPr="00286262">
        <w:t>. This grid served as the initial pillar of "the electric mainline system" and connected Olidan and Älvkarleby in a straight-line manner, independent of previous local conditions.</w:t>
      </w:r>
    </w:p>
    <w:p w14:paraId="6985B302" w14:textId="6A537740" w:rsidR="007B10F6" w:rsidRDefault="007B10F6" w:rsidP="007B10F6">
      <w:r>
        <w:rPr>
          <w:noProof/>
        </w:rPr>
        <w:lastRenderedPageBreak/>
        <w:drawing>
          <wp:anchor distT="0" distB="0" distL="114300" distR="114300" simplePos="0" relativeHeight="251665408" behindDoc="0" locked="0" layoutInCell="1" allowOverlap="1" wp14:anchorId="1F12CE1C" wp14:editId="062C6AC7">
            <wp:simplePos x="0" y="0"/>
            <wp:positionH relativeFrom="margin">
              <wp:align>center</wp:align>
            </wp:positionH>
            <wp:positionV relativeFrom="paragraph">
              <wp:posOffset>198755</wp:posOffset>
            </wp:positionV>
            <wp:extent cx="5040000" cy="3982974"/>
            <wp:effectExtent l="0" t="0" r="1905" b="5080"/>
            <wp:wrapTopAndBottom/>
            <wp:docPr id="2039550229" name="Picture 1" descr="A map of the northern part of norwa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0229" name="Picture 1" descr="A map of the northern part of norway&#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0000" cy="3982974"/>
                    </a:xfrm>
                    <a:prstGeom prst="rect">
                      <a:avLst/>
                    </a:prstGeom>
                  </pic:spPr>
                </pic:pic>
              </a:graphicData>
            </a:graphic>
            <wp14:sizeRelH relativeFrom="page">
              <wp14:pctWidth>0</wp14:pctWidth>
            </wp14:sizeRelH>
            <wp14:sizeRelV relativeFrom="page">
              <wp14:pctHeight>0</wp14:pctHeight>
            </wp14:sizeRelV>
          </wp:anchor>
        </w:drawing>
      </w:r>
    </w:p>
    <w:p w14:paraId="2D6F194A" w14:textId="2AA7B8A4" w:rsidR="007B10F6" w:rsidRPr="00286262" w:rsidRDefault="007B10F6" w:rsidP="007B10F6">
      <w:pPr>
        <w:pStyle w:val="Caption"/>
      </w:pPr>
      <w:bookmarkStart w:id="0" w:name="_Ref163827429"/>
      <w:r>
        <w:t xml:space="preserve">Figure </w:t>
      </w:r>
      <w:r>
        <w:fldChar w:fldCharType="begin"/>
      </w:r>
      <w:r>
        <w:instrText xml:space="preserve"> SEQ Figure \* ARABIC </w:instrText>
      </w:r>
      <w:r>
        <w:fldChar w:fldCharType="separate"/>
      </w:r>
      <w:r w:rsidR="001D06DB">
        <w:rPr>
          <w:noProof/>
        </w:rPr>
        <w:t>1</w:t>
      </w:r>
      <w:r>
        <w:rPr>
          <w:noProof/>
        </w:rPr>
        <w:fldChar w:fldCharType="end"/>
      </w:r>
      <w:bookmarkEnd w:id="0"/>
      <w:r>
        <w:t xml:space="preserve">: Map of the Western Line connecting </w:t>
      </w:r>
      <w:r w:rsidR="007C0A1E">
        <w:t>hydro</w:t>
      </w:r>
      <w:r>
        <w:t xml:space="preserve">power plants in Sweden, observed parishes in 1930 </w:t>
      </w:r>
      <w:r w:rsidR="00973AC0">
        <w:t xml:space="preserve">census, </w:t>
      </w:r>
      <w:r>
        <w:t>right</w:t>
      </w:r>
    </w:p>
    <w:p w14:paraId="7FD8641A" w14:textId="794BEBB9" w:rsidR="00131811" w:rsidRDefault="00286262" w:rsidP="00286262">
      <w:r w:rsidRPr="00286262">
        <w:t xml:space="preserve">By examining areas strategically situated along this line, we can pinpoint regions that gained access to stable and reliable electricity, providing them with an advantage over other comparable areas. Between 1915 and the completion of the Western Line in 1921, the share of electrified rural households increased rapidly, reaching over </w:t>
      </w:r>
      <w:r w:rsidR="008C60EE">
        <w:t>40 percent</w:t>
      </w:r>
      <w:r w:rsidRPr="00286262">
        <w:t xml:space="preserve"> by 1930</w:t>
      </w:r>
      <w:r w:rsidR="00AB7654">
        <w:t xml:space="preserve">, as shown in </w:t>
      </w:r>
      <w:r w:rsidR="00AB7654">
        <w:fldChar w:fldCharType="begin"/>
      </w:r>
      <w:r w:rsidR="00AB7654">
        <w:instrText xml:space="preserve"> REF _Ref163570973 \h </w:instrText>
      </w:r>
      <w:r w:rsidR="00AB7654">
        <w:fldChar w:fldCharType="separate"/>
      </w:r>
      <w:r w:rsidR="001D06DB">
        <w:t xml:space="preserve">Figure </w:t>
      </w:r>
      <w:r w:rsidR="001D06DB">
        <w:rPr>
          <w:noProof/>
        </w:rPr>
        <w:t>2</w:t>
      </w:r>
      <w:r w:rsidR="00AB7654">
        <w:fldChar w:fldCharType="end"/>
      </w:r>
      <w:r w:rsidRPr="00286262">
        <w:t xml:space="preserve">. </w:t>
      </w:r>
      <w:r w:rsidR="00DF0EA6" w:rsidRPr="00286262">
        <w:t>Subsequently, in the post-war era, electrification expanded rapidly, eventually reaching nearly the entire population.</w:t>
      </w:r>
      <w:r w:rsidR="00DF0EA6">
        <w:t xml:space="preserve"> </w:t>
      </w:r>
    </w:p>
    <w:p w14:paraId="1F01DADD" w14:textId="0AC07D71" w:rsidR="00DF0EA6" w:rsidRDefault="00DF0EA6" w:rsidP="00286262">
      <w:r>
        <w:t>Concurrently</w:t>
      </w:r>
      <w:r w:rsidR="007B10F6">
        <w:t>, there was an inflection in</w:t>
      </w:r>
      <w:r>
        <w:t xml:space="preserve"> the</w:t>
      </w:r>
      <w:r w:rsidR="007B10F6">
        <w:t xml:space="preserve"> </w:t>
      </w:r>
      <w:r>
        <w:t>income distribution, with the share of income going to the top 10 percent falling fast, and individuals between the 50th and 90th percentiles of the income distribution becoming better off</w:t>
      </w:r>
      <w:r w:rsidR="00131811">
        <w:t xml:space="preserve">, as shown in </w:t>
      </w:r>
      <w:r w:rsidR="00131811">
        <w:fldChar w:fldCharType="begin"/>
      </w:r>
      <w:r w:rsidR="00131811">
        <w:instrText xml:space="preserve"> REF _Ref163570973 \h </w:instrText>
      </w:r>
      <w:r w:rsidR="00131811">
        <w:fldChar w:fldCharType="separate"/>
      </w:r>
      <w:r w:rsidR="001D06DB">
        <w:t xml:space="preserve">Figure </w:t>
      </w:r>
      <w:r w:rsidR="001D06DB">
        <w:rPr>
          <w:noProof/>
        </w:rPr>
        <w:t>2</w:t>
      </w:r>
      <w:r w:rsidR="00131811">
        <w:fldChar w:fldCharType="end"/>
      </w:r>
      <w:r>
        <w:t xml:space="preserve">. </w:t>
      </w:r>
      <w:r w:rsidRPr="00286262">
        <w:t>The Swedish electrification experience provides a unique setting to study the impact of new technology</w:t>
      </w:r>
      <w:r w:rsidR="00131811">
        <w:t xml:space="preserve"> as an equalizing force. We examine</w:t>
      </w:r>
      <w:r w:rsidRPr="00286262">
        <w:t xml:space="preserve"> individual outcomes in the </w:t>
      </w:r>
      <w:r>
        <w:t>labour</w:t>
      </w:r>
      <w:r w:rsidRPr="00286262">
        <w:t xml:space="preserve"> market, as well as the role of institutions such as education and local union presence in shaping these outcomes (Bengtsson, 2019; Acemoglu and Johnson, 2023).</w:t>
      </w:r>
      <w:r w:rsidR="00131811">
        <w:t xml:space="preserve"> </w:t>
      </w:r>
    </w:p>
    <w:p w14:paraId="71990C23" w14:textId="3706D86C" w:rsidR="00FE25A9" w:rsidRPr="00286262" w:rsidRDefault="007B10F6" w:rsidP="00286262">
      <w:r>
        <w:rPr>
          <w:noProof/>
        </w:rPr>
        <w:lastRenderedPageBreak/>
        <mc:AlternateContent>
          <mc:Choice Requires="wps">
            <w:drawing>
              <wp:anchor distT="0" distB="0" distL="114300" distR="114300" simplePos="0" relativeHeight="251661312" behindDoc="0" locked="0" layoutInCell="1" allowOverlap="1" wp14:anchorId="16B33F15" wp14:editId="5FA4840A">
                <wp:simplePos x="0" y="0"/>
                <wp:positionH relativeFrom="margin">
                  <wp:align>center</wp:align>
                </wp:positionH>
                <wp:positionV relativeFrom="paragraph">
                  <wp:posOffset>4874260</wp:posOffset>
                </wp:positionV>
                <wp:extent cx="5039995" cy="635"/>
                <wp:effectExtent l="0" t="0" r="1905" b="2540"/>
                <wp:wrapTopAndBottom/>
                <wp:docPr id="176173841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A98CA53" w14:textId="39651AAF" w:rsidR="00AB7654" w:rsidRPr="00F64B48" w:rsidRDefault="00AB7654" w:rsidP="00AB7654">
                            <w:pPr>
                              <w:pStyle w:val="Caption"/>
                              <w:rPr>
                                <w:noProof/>
                              </w:rPr>
                            </w:pPr>
                            <w:bookmarkStart w:id="1" w:name="_Ref163570973"/>
                            <w:r>
                              <w:t xml:space="preserve">Figure </w:t>
                            </w:r>
                            <w:r>
                              <w:fldChar w:fldCharType="begin"/>
                            </w:r>
                            <w:r>
                              <w:instrText xml:space="preserve"> SEQ Figure \* ARABIC </w:instrText>
                            </w:r>
                            <w:r>
                              <w:fldChar w:fldCharType="separate"/>
                            </w:r>
                            <w:r w:rsidR="001D06DB">
                              <w:rPr>
                                <w:noProof/>
                              </w:rPr>
                              <w:t>2</w:t>
                            </w:r>
                            <w:r>
                              <w:rPr>
                                <w:noProof/>
                              </w:rPr>
                              <w:fldChar w:fldCharType="end"/>
                            </w:r>
                            <w:bookmarkEnd w:id="1"/>
                            <w:r>
                              <w:t>: Evolution of income shares in Sweden and rural electrification rate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B33F15" id="_x0000_t202" coordsize="21600,21600" o:spt="202" path="m,l,21600r21600,l21600,xe">
                <v:stroke joinstyle="miter"/>
                <v:path gradientshapeok="t" o:connecttype="rect"/>
              </v:shapetype>
              <v:shape id="Text Box 1" o:spid="_x0000_s1026" type="#_x0000_t202" style="position:absolute;left:0;text-align:left;margin-left:0;margin-top:383.8pt;width:396.85pt;height:.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" stroked="f">
                <v:textbox style="mso-fit-shape-to-text:t" inset="0,0,0,0">
                  <w:txbxContent>
                    <w:p w14:paraId="1A98CA53" w14:textId="39651AAF" w:rsidR="00AB7654" w:rsidRPr="00F64B48" w:rsidRDefault="00AB7654" w:rsidP="00AB7654">
                      <w:pPr>
                        <w:pStyle w:val="Caption"/>
                        <w:rPr>
                          <w:noProof/>
                        </w:rPr>
                      </w:pPr>
                      <w:bookmarkStart w:id="2" w:name="_Ref163570973"/>
                      <w:r>
                        <w:t xml:space="preserve">Figure </w:t>
                      </w:r>
                      <w:r>
                        <w:fldChar w:fldCharType="begin"/>
                      </w:r>
                      <w:r>
                        <w:instrText xml:space="preserve"> SEQ Figure \* ARABIC </w:instrText>
                      </w:r>
                      <w:r>
                        <w:fldChar w:fldCharType="separate"/>
                      </w:r>
                      <w:r w:rsidR="001D06DB">
                        <w:rPr>
                          <w:noProof/>
                        </w:rPr>
                        <w:t>2</w:t>
                      </w:r>
                      <w:r>
                        <w:rPr>
                          <w:noProof/>
                        </w:rPr>
                        <w:fldChar w:fldCharType="end"/>
                      </w:r>
                      <w:bookmarkEnd w:id="2"/>
                      <w:r>
                        <w:t>: Evolution of income shares in Sweden and rural electrification rate</w:t>
                      </w:r>
                    </w:p>
                  </w:txbxContent>
                </v:textbox>
                <w10:wrap type="topAndBottom" anchorx="margin"/>
              </v:shape>
            </w:pict>
          </mc:Fallback>
        </mc:AlternateContent>
      </w:r>
      <w:r w:rsidR="00AB7654">
        <w:rPr>
          <w:noProof/>
        </w:rPr>
        <w:drawing>
          <wp:anchor distT="0" distB="0" distL="114300" distR="114300" simplePos="0" relativeHeight="251658240" behindDoc="0" locked="0" layoutInCell="1" allowOverlap="1" wp14:anchorId="06F20E86" wp14:editId="1C778BB9">
            <wp:simplePos x="0" y="0"/>
            <wp:positionH relativeFrom="margin">
              <wp:align>center</wp:align>
            </wp:positionH>
            <wp:positionV relativeFrom="paragraph">
              <wp:posOffset>151765</wp:posOffset>
            </wp:positionV>
            <wp:extent cx="4680000" cy="4680000"/>
            <wp:effectExtent l="0" t="0" r="6350" b="6350"/>
            <wp:wrapTopAndBottom/>
            <wp:docPr id="924740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40223" name="Picture 9247402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80000" cy="4680000"/>
                    </a:xfrm>
                    <a:prstGeom prst="rect">
                      <a:avLst/>
                    </a:prstGeom>
                  </pic:spPr>
                </pic:pic>
              </a:graphicData>
            </a:graphic>
            <wp14:sizeRelH relativeFrom="page">
              <wp14:pctWidth>0</wp14:pctWidth>
            </wp14:sizeRelH>
            <wp14:sizeRelV relativeFrom="page">
              <wp14:pctHeight>0</wp14:pctHeight>
            </wp14:sizeRelV>
          </wp:anchor>
        </w:drawing>
      </w:r>
    </w:p>
    <w:p w14:paraId="6E41C78D" w14:textId="5DD681A7" w:rsidR="0084736C" w:rsidRDefault="0084736C" w:rsidP="0084736C">
      <w:pPr>
        <w:pStyle w:val="Heading1"/>
      </w:pPr>
      <w:r w:rsidRPr="0084736C">
        <w:t xml:space="preserve">How </w:t>
      </w:r>
      <w:r>
        <w:t>e</w:t>
      </w:r>
      <w:r w:rsidRPr="0084736C">
        <w:t xml:space="preserve">lectricity </w:t>
      </w:r>
      <w:r>
        <w:t>r</w:t>
      </w:r>
      <w:r w:rsidRPr="0084736C">
        <w:t xml:space="preserve">eshaped the </w:t>
      </w:r>
      <w:r>
        <w:t>l</w:t>
      </w:r>
      <w:r w:rsidRPr="0084736C">
        <w:t>abo</w:t>
      </w:r>
      <w:r>
        <w:t>u</w:t>
      </w:r>
      <w:r w:rsidRPr="0084736C">
        <w:t xml:space="preserve">r </w:t>
      </w:r>
      <w:r>
        <w:t>m</w:t>
      </w:r>
      <w:r w:rsidRPr="0084736C">
        <w:t>arket</w:t>
      </w:r>
    </w:p>
    <w:p w14:paraId="349BDD7B" w14:textId="53227FDA" w:rsidR="00413B5B" w:rsidRDefault="004302E6" w:rsidP="00413B5B">
      <w:r>
        <w:t>Our</w:t>
      </w:r>
      <w:r w:rsidR="00413B5B">
        <w:t xml:space="preserve"> findings reveal that individuals born in parishes along the main electricity grid, and thus exposed to new technology early, earned more than 30 percent higher incomes by 1930. They were also more likely to be employed in occupations </w:t>
      </w:r>
      <w:r w:rsidR="00300079">
        <w:t>augmented</w:t>
      </w:r>
      <w:r w:rsidR="00413B5B">
        <w:t xml:space="preserve"> by electrification, both directly and indirectly.</w:t>
      </w:r>
    </w:p>
    <w:p w14:paraId="2DF27E03" w14:textId="6756DF3E" w:rsidR="003B6773" w:rsidRDefault="00A562E0" w:rsidP="00413B5B">
      <w:r>
        <w:t xml:space="preserve">In </w:t>
      </w:r>
      <w:r w:rsidR="00C17419">
        <w:fldChar w:fldCharType="begin"/>
      </w:r>
      <w:r w:rsidR="00C17419">
        <w:instrText xml:space="preserve"> REF _Ref163821620 \h </w:instrText>
      </w:r>
      <w:r w:rsidR="00C17419">
        <w:fldChar w:fldCharType="separate"/>
      </w:r>
      <w:r w:rsidR="001D06DB">
        <w:t xml:space="preserve">Figure </w:t>
      </w:r>
      <w:r w:rsidR="001D06DB">
        <w:rPr>
          <w:noProof/>
        </w:rPr>
        <w:t>3</w:t>
      </w:r>
      <w:r w:rsidR="00C17419">
        <w:fldChar w:fldCharType="end"/>
      </w:r>
      <w:r w:rsidR="00C17419">
        <w:t xml:space="preserve">, </w:t>
      </w:r>
      <w:r>
        <w:t>we show the three most common occupations in three job categories.</w:t>
      </w:r>
      <w:r w:rsidR="00413B5B">
        <w:t xml:space="preserve"> </w:t>
      </w:r>
      <w:r>
        <w:t xml:space="preserve">It is evident that there were fewer farm workers in </w:t>
      </w:r>
      <w:r w:rsidR="00C17419">
        <w:t>the parishes with early access to electrical technology</w:t>
      </w:r>
      <w:r>
        <w:t>, and more farmers. In jobs indirectly related to electricity, higher rates of holding these occupations were found in parishes with early access to electricity. Similarly, while the absolute rates of direct electricity job holding were low, there were more electricians, workers on generators and linesmen in early access parishes. These</w:t>
      </w:r>
      <w:r w:rsidR="008C60EE">
        <w:t xml:space="preserve"> </w:t>
      </w:r>
      <w:r w:rsidR="00437449">
        <w:t xml:space="preserve">groups of </w:t>
      </w:r>
      <w:r>
        <w:t xml:space="preserve">parishes were comparable in terms of occupational structure prior to the </w:t>
      </w:r>
      <w:r w:rsidR="003502FB">
        <w:t>electrification</w:t>
      </w:r>
      <w:r w:rsidR="008C60EE">
        <w:t xml:space="preserve"> </w:t>
      </w:r>
      <w:r w:rsidR="003502FB">
        <w:t>(</w:t>
      </w:r>
      <w:r w:rsidR="008C60EE">
        <w:t>in 1890 and 1900</w:t>
      </w:r>
      <w:r w:rsidR="003502FB">
        <w:t>)</w:t>
      </w:r>
      <w:r w:rsidR="008C60EE">
        <w:t xml:space="preserve">. </w:t>
      </w:r>
    </w:p>
    <w:p w14:paraId="660D9C4D" w14:textId="6F4DCDC3" w:rsidR="00300079" w:rsidRDefault="001C78E4" w:rsidP="00413B5B">
      <w:r>
        <w:rPr>
          <w:noProof/>
        </w:rPr>
        <w:lastRenderedPageBreak/>
        <mc:AlternateContent>
          <mc:Choice Requires="wps">
            <w:drawing>
              <wp:anchor distT="0" distB="0" distL="114300" distR="114300" simplePos="0" relativeHeight="251663360" behindDoc="0" locked="0" layoutInCell="1" allowOverlap="1" wp14:anchorId="67F4F400" wp14:editId="0AB670CD">
                <wp:simplePos x="0" y="0"/>
                <wp:positionH relativeFrom="column">
                  <wp:posOffset>344805</wp:posOffset>
                </wp:positionH>
                <wp:positionV relativeFrom="paragraph">
                  <wp:posOffset>4003617</wp:posOffset>
                </wp:positionV>
                <wp:extent cx="5039995" cy="635"/>
                <wp:effectExtent l="0" t="0" r="1905" b="12065"/>
                <wp:wrapTopAndBottom/>
                <wp:docPr id="53380792"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0980EA4" w14:textId="123DA615" w:rsidR="00AB7654" w:rsidRPr="009734BD" w:rsidRDefault="00AB7654" w:rsidP="00AB7654">
                            <w:pPr>
                              <w:pStyle w:val="Caption"/>
                            </w:pPr>
                            <w:bookmarkStart w:id="3" w:name="_Ref163821620"/>
                            <w:r>
                              <w:t xml:space="preserve">Figure </w:t>
                            </w:r>
                            <w:r>
                              <w:fldChar w:fldCharType="begin"/>
                            </w:r>
                            <w:r>
                              <w:instrText xml:space="preserve"> SEQ Figure \* ARABIC </w:instrText>
                            </w:r>
                            <w:r>
                              <w:fldChar w:fldCharType="separate"/>
                            </w:r>
                            <w:r w:rsidR="001D06DB">
                              <w:rPr>
                                <w:noProof/>
                              </w:rPr>
                              <w:t>3</w:t>
                            </w:r>
                            <w:r>
                              <w:rPr>
                                <w:noProof/>
                              </w:rPr>
                              <w:fldChar w:fldCharType="end"/>
                            </w:r>
                            <w:bookmarkEnd w:id="3"/>
                            <w:r>
                              <w:t xml:space="preserve">: Share of employment in selected jobs, with </w:t>
                            </w:r>
                            <w:r w:rsidR="00B04229">
                              <w:t>birth parish type</w:t>
                            </w:r>
                            <w:r>
                              <w:t xml:space="preserve"> denoted by column and job type denoted by row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F4F400" id="_x0000_s1027" type="#_x0000_t202" style="position:absolute;left:0;text-align:left;margin-left:27.15pt;margin-top:315.25pt;width:396.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" stroked="f">
                <v:textbox style="mso-fit-shape-to-text:t" inset="0,0,0,0">
                  <w:txbxContent>
                    <w:p w14:paraId="50980EA4" w14:textId="123DA615" w:rsidR="00AB7654" w:rsidRPr="009734BD" w:rsidRDefault="00AB7654" w:rsidP="00AB7654">
                      <w:pPr>
                        <w:pStyle w:val="Caption"/>
                      </w:pPr>
                      <w:bookmarkStart w:id="4" w:name="_Ref163821620"/>
                      <w:r>
                        <w:t xml:space="preserve">Figure </w:t>
                      </w:r>
                      <w:r>
                        <w:fldChar w:fldCharType="begin"/>
                      </w:r>
                      <w:r>
                        <w:instrText xml:space="preserve"> SEQ Figure \* ARABIC </w:instrText>
                      </w:r>
                      <w:r>
                        <w:fldChar w:fldCharType="separate"/>
                      </w:r>
                      <w:r w:rsidR="001D06DB">
                        <w:rPr>
                          <w:noProof/>
                        </w:rPr>
                        <w:t>3</w:t>
                      </w:r>
                      <w:r>
                        <w:rPr>
                          <w:noProof/>
                        </w:rPr>
                        <w:fldChar w:fldCharType="end"/>
                      </w:r>
                      <w:bookmarkEnd w:id="4"/>
                      <w:r>
                        <w:t xml:space="preserve">: Share of employment in selected jobs, with </w:t>
                      </w:r>
                      <w:r w:rsidR="00B04229">
                        <w:t>birth parish type</w:t>
                      </w:r>
                      <w:r>
                        <w:t xml:space="preserve"> denoted by column and job type denoted by row</w:t>
                      </w:r>
                    </w:p>
                  </w:txbxContent>
                </v:textbox>
                <w10:wrap type="topAndBottom"/>
              </v:shape>
            </w:pict>
          </mc:Fallback>
        </mc:AlternateContent>
      </w:r>
      <w:r>
        <w:rPr>
          <w:noProof/>
        </w:rPr>
        <w:drawing>
          <wp:anchor distT="0" distB="0" distL="114300" distR="114300" simplePos="0" relativeHeight="251666432" behindDoc="0" locked="0" layoutInCell="1" allowOverlap="1" wp14:anchorId="261FF22B" wp14:editId="481487F8">
            <wp:simplePos x="0" y="0"/>
            <wp:positionH relativeFrom="margin">
              <wp:posOffset>525780</wp:posOffset>
            </wp:positionH>
            <wp:positionV relativeFrom="paragraph">
              <wp:posOffset>4772256</wp:posOffset>
            </wp:positionV>
            <wp:extent cx="4680000" cy="3727511"/>
            <wp:effectExtent l="0" t="0" r="0" b="6350"/>
            <wp:wrapTopAndBottom/>
            <wp:docPr id="433393020" name="Picture 2"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3020" name="Picture 2" descr="A graph with orange lin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80000" cy="3727511"/>
                    </a:xfrm>
                    <a:prstGeom prst="rect">
                      <a:avLst/>
                    </a:prstGeom>
                  </pic:spPr>
                </pic:pic>
              </a:graphicData>
            </a:graphic>
            <wp14:sizeRelH relativeFrom="page">
              <wp14:pctWidth>0</wp14:pctWidth>
            </wp14:sizeRelH>
            <wp14:sizeRelV relativeFrom="page">
              <wp14:pctHeight>0</wp14:pctHeight>
            </wp14:sizeRelV>
          </wp:anchor>
        </w:drawing>
      </w:r>
      <w:r w:rsidR="00144C3E">
        <w:rPr>
          <w:noProof/>
        </w:rPr>
        <mc:AlternateContent>
          <mc:Choice Requires="wps">
            <w:drawing>
              <wp:anchor distT="0" distB="0" distL="114300" distR="114300" simplePos="0" relativeHeight="251668480" behindDoc="0" locked="0" layoutInCell="1" allowOverlap="1" wp14:anchorId="72751CD4" wp14:editId="7C19F6BE">
                <wp:simplePos x="0" y="0"/>
                <wp:positionH relativeFrom="column">
                  <wp:posOffset>344805</wp:posOffset>
                </wp:positionH>
                <wp:positionV relativeFrom="paragraph">
                  <wp:posOffset>8584219</wp:posOffset>
                </wp:positionV>
                <wp:extent cx="5039995" cy="635"/>
                <wp:effectExtent l="0" t="0" r="1905" b="12065"/>
                <wp:wrapTopAndBottom/>
                <wp:docPr id="48779116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0815EFC" w14:textId="53F2FD3C" w:rsidR="00144C3E" w:rsidRPr="00D15B5A" w:rsidRDefault="00144C3E" w:rsidP="00144C3E">
                            <w:pPr>
                              <w:pStyle w:val="Caption"/>
                              <w:rPr>
                                <w:noProof/>
                                <w:lang w:val="en-US"/>
                              </w:rPr>
                            </w:pPr>
                            <w:r>
                              <w:t xml:space="preserve">Figure </w:t>
                            </w:r>
                            <w:r>
                              <w:fldChar w:fldCharType="begin"/>
                            </w:r>
                            <w:r>
                              <w:instrText xml:space="preserve"> SEQ Figure \* ARABIC </w:instrText>
                            </w:r>
                            <w:r>
                              <w:fldChar w:fldCharType="separate"/>
                            </w:r>
                            <w:r w:rsidR="001D06DB">
                              <w:rPr>
                                <w:noProof/>
                              </w:rPr>
                              <w:t>4</w:t>
                            </w:r>
                            <w:r>
                              <w:rPr>
                                <w:noProof/>
                              </w:rPr>
                              <w:fldChar w:fldCharType="end"/>
                            </w:r>
                            <w:r>
                              <w:t xml:space="preserve">: Coefficient plot </w:t>
                            </w:r>
                            <w:r w:rsidR="001C78E4">
                              <w:t>for q</w:t>
                            </w:r>
                            <w:r>
                              <w:t>uantile regression</w:t>
                            </w:r>
                            <w:r w:rsidR="001C78E4">
                              <w:t xml:space="preserve">, showing log-income premium for individuals </w:t>
                            </w:r>
                            <w:r w:rsidR="00C37943">
                              <w:rPr>
                                <w:lang w:val="en-US"/>
                              </w:rPr>
                              <w:t>ranked by</w:t>
                            </w:r>
                            <w:r w:rsidR="00B95400">
                              <w:rPr>
                                <w:lang w:val="en-US"/>
                              </w:rPr>
                              <w:t xml:space="preserve"> income deciles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751CD4" id="_x0000_s1028" type="#_x0000_t202" style="position:absolute;left:0;text-align:left;margin-left:27.15pt;margin-top:675.9pt;width:396.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" stroked="f">
                <v:textbox style="mso-fit-shape-to-text:t" inset="0,0,0,0">
                  <w:txbxContent>
                    <w:p w14:paraId="50815EFC" w14:textId="53F2FD3C" w:rsidR="00144C3E" w:rsidRPr="00D15B5A" w:rsidRDefault="00144C3E" w:rsidP="00144C3E">
                      <w:pPr>
                        <w:pStyle w:val="Caption"/>
                        <w:rPr>
                          <w:noProof/>
                          <w:lang w:val="en-US"/>
                        </w:rPr>
                      </w:pPr>
                      <w:r>
                        <w:t xml:space="preserve">Figure </w:t>
                      </w:r>
                      <w:r>
                        <w:fldChar w:fldCharType="begin"/>
                      </w:r>
                      <w:r>
                        <w:instrText xml:space="preserve"> SEQ Figure \* ARABIC </w:instrText>
                      </w:r>
                      <w:r>
                        <w:fldChar w:fldCharType="separate"/>
                      </w:r>
                      <w:r w:rsidR="001D06DB">
                        <w:rPr>
                          <w:noProof/>
                        </w:rPr>
                        <w:t>4</w:t>
                      </w:r>
                      <w:r>
                        <w:rPr>
                          <w:noProof/>
                        </w:rPr>
                        <w:fldChar w:fldCharType="end"/>
                      </w:r>
                      <w:r>
                        <w:t xml:space="preserve">: Coefficient plot </w:t>
                      </w:r>
                      <w:r w:rsidR="001C78E4">
                        <w:t>for q</w:t>
                      </w:r>
                      <w:r>
                        <w:t>uantile regression</w:t>
                      </w:r>
                      <w:r w:rsidR="001C78E4">
                        <w:t xml:space="preserve">, showing log-income premium for individuals </w:t>
                      </w:r>
                      <w:r w:rsidR="00C37943">
                        <w:rPr>
                          <w:lang w:val="en-US"/>
                        </w:rPr>
                        <w:t>ranked by</w:t>
                      </w:r>
                      <w:r w:rsidR="00B95400">
                        <w:rPr>
                          <w:lang w:val="en-US"/>
                        </w:rPr>
                        <w:t xml:space="preserve"> income deciles</w:t>
                      </w:r>
                    </w:p>
                  </w:txbxContent>
                </v:textbox>
                <w10:wrap type="topAndBottom"/>
              </v:shape>
            </w:pict>
          </mc:Fallback>
        </mc:AlternateContent>
      </w:r>
      <w:r w:rsidR="00C352E0">
        <w:rPr>
          <w:noProof/>
        </w:rPr>
        <w:drawing>
          <wp:anchor distT="0" distB="0" distL="114300" distR="114300" simplePos="0" relativeHeight="251659264" behindDoc="0" locked="0" layoutInCell="1" allowOverlap="1" wp14:anchorId="5A8CF15C" wp14:editId="7C04328F">
            <wp:simplePos x="0" y="0"/>
            <wp:positionH relativeFrom="margin">
              <wp:align>center</wp:align>
            </wp:positionH>
            <wp:positionV relativeFrom="paragraph">
              <wp:posOffset>153035</wp:posOffset>
            </wp:positionV>
            <wp:extent cx="4680000" cy="3728549"/>
            <wp:effectExtent l="0" t="0" r="0" b="5715"/>
            <wp:wrapTopAndBottom/>
            <wp:docPr id="182356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66356" name="Picture 18235663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3728549"/>
                    </a:xfrm>
                    <a:prstGeom prst="rect">
                      <a:avLst/>
                    </a:prstGeom>
                  </pic:spPr>
                </pic:pic>
              </a:graphicData>
            </a:graphic>
            <wp14:sizeRelH relativeFrom="page">
              <wp14:pctWidth>0</wp14:pctWidth>
            </wp14:sizeRelH>
            <wp14:sizeRelV relativeFrom="page">
              <wp14:pctHeight>0</wp14:pctHeight>
            </wp14:sizeRelV>
          </wp:anchor>
        </w:drawing>
      </w:r>
    </w:p>
    <w:p w14:paraId="048C0F5F" w14:textId="77777777" w:rsidR="00DF440C" w:rsidRDefault="00DF0EA6" w:rsidP="00413B5B">
      <w:r>
        <w:lastRenderedPageBreak/>
        <w:t>Our</w:t>
      </w:r>
      <w:r w:rsidR="00413B5B">
        <w:t xml:space="preserve"> findings suggest that electrification replaced mainly unskilled occupations in agriculture while creating new positions that </w:t>
      </w:r>
      <w:r w:rsidR="00973AC0">
        <w:t>were</w:t>
      </w:r>
      <w:r w:rsidR="00413B5B">
        <w:t xml:space="preserve"> filled by people with no more than primary education. </w:t>
      </w:r>
    </w:p>
    <w:p w14:paraId="11BC02AD" w14:textId="55E53AAD" w:rsidR="00144C3E" w:rsidRPr="00144C3E" w:rsidRDefault="00413B5B" w:rsidP="00413B5B">
      <w:r>
        <w:t>Examining impacts across the income distribution, we find that gains were concentrated in the lower end of the spectrum, with the most pronounced effects among those with only primary education.</w:t>
      </w:r>
      <w:r w:rsidR="00DF440C">
        <w:t xml:space="preserve"> </w:t>
      </w:r>
      <w:r w:rsidR="00B95400">
        <w:t xml:space="preserve">. </w:t>
      </w:r>
      <w:r w:rsidR="00B95400">
        <w:fldChar w:fldCharType="begin"/>
      </w:r>
      <w:r w:rsidR="00B95400">
        <w:instrText xml:space="preserve"> REF _Ref163821620 \h </w:instrText>
      </w:r>
      <w:r w:rsidR="00B95400">
        <w:fldChar w:fldCharType="separate"/>
      </w:r>
      <w:r w:rsidR="00B95400">
        <w:t xml:space="preserve">Figure </w:t>
      </w:r>
      <w:r w:rsidR="00B95400">
        <w:fldChar w:fldCharType="end"/>
      </w:r>
      <w:r w:rsidR="00B95400" w:rsidRPr="00B057A1">
        <w:rPr>
          <w:lang w:val="en-US"/>
        </w:rPr>
        <w:t>4</w:t>
      </w:r>
      <w:r w:rsidR="00B95400">
        <w:t xml:space="preserve"> displays the coefficient on being born in a parish that lay along the Western Line in quantile regression. </w:t>
      </w:r>
      <w:r w:rsidR="00DF440C">
        <w:t>W</w:t>
      </w:r>
      <w:r w:rsidR="001C78E4">
        <w:t xml:space="preserve">e show that early access to electricity resulted in a large income premium for those at the bottom </w:t>
      </w:r>
      <w:r w:rsidR="00287F17">
        <w:rPr>
          <w:lang w:val="en-GB"/>
        </w:rPr>
        <w:t>of</w:t>
      </w:r>
      <w:r w:rsidR="00287F17">
        <w:t xml:space="preserve"> </w:t>
      </w:r>
      <w:r w:rsidR="001C78E4">
        <w:t xml:space="preserve">the income distribution in 1930, after controlling for observables </w:t>
      </w:r>
      <w:r w:rsidR="003511B4">
        <w:t xml:space="preserve">such as age, </w:t>
      </w:r>
      <w:r w:rsidR="00C62264">
        <w:t xml:space="preserve">gender, </w:t>
      </w:r>
      <w:r w:rsidR="003511B4">
        <w:t>schooling, marital status</w:t>
      </w:r>
      <w:r w:rsidR="00C62264">
        <w:t xml:space="preserve"> and class of occupation</w:t>
      </w:r>
      <w:r w:rsidR="006D3A5A">
        <w:t xml:space="preserve"> </w:t>
      </w:r>
    </w:p>
    <w:p w14:paraId="22CCD737" w14:textId="19C967BA" w:rsidR="00413B5B" w:rsidRPr="00413B5B" w:rsidRDefault="00413B5B" w:rsidP="0084736C">
      <w:pPr>
        <w:pStyle w:val="Heading1"/>
      </w:pPr>
      <w:r w:rsidRPr="00413B5B">
        <w:t xml:space="preserve">Implications for </w:t>
      </w:r>
      <w:r w:rsidR="0084736C">
        <w:t>c</w:t>
      </w:r>
      <w:r w:rsidRPr="00413B5B">
        <w:t xml:space="preserve">ontemporary </w:t>
      </w:r>
      <w:r w:rsidR="0084736C">
        <w:t>d</w:t>
      </w:r>
      <w:r w:rsidRPr="00413B5B">
        <w:t>ebates</w:t>
      </w:r>
    </w:p>
    <w:p w14:paraId="501A380D" w14:textId="78D48215" w:rsidR="00413B5B" w:rsidRPr="00413B5B" w:rsidRDefault="004302E6" w:rsidP="00413B5B">
      <w:r>
        <w:t>Our</w:t>
      </w:r>
      <w:r w:rsidR="00413B5B" w:rsidRPr="00413B5B">
        <w:t xml:space="preserve"> findings from early 20th century Sweden have implications for current discussions on technology, </w:t>
      </w:r>
      <w:r w:rsidR="0084736C">
        <w:t>labour</w:t>
      </w:r>
      <w:r w:rsidR="00413B5B" w:rsidRPr="00413B5B">
        <w:t xml:space="preserve">, and inequality. Electrification in Sweden led to the creation of new jobs accessible to workers with primary education, contributing to reduced inequality and inclusive growth. </w:t>
      </w:r>
      <w:r w:rsidR="00C37943">
        <w:t>Our</w:t>
      </w:r>
      <w:r w:rsidR="00C37943" w:rsidRPr="00413B5B">
        <w:t xml:space="preserve"> study suggests that the impact of technological change on </w:t>
      </w:r>
      <w:r w:rsidR="00C37943">
        <w:t>labour</w:t>
      </w:r>
      <w:r w:rsidR="00C37943" w:rsidRPr="00413B5B">
        <w:t xml:space="preserve"> markets </w:t>
      </w:r>
      <w:r w:rsidR="00C37943" w:rsidRPr="00D15B5A">
        <w:rPr>
          <w:lang w:val="en-US"/>
        </w:rPr>
        <w:t>ma</w:t>
      </w:r>
      <w:r w:rsidR="00C37943">
        <w:rPr>
          <w:lang w:val="en-US"/>
        </w:rPr>
        <w:t xml:space="preserve">y </w:t>
      </w:r>
      <w:r w:rsidR="00C37943" w:rsidRPr="00413B5B">
        <w:t>depend on the features of the technology itself</w:t>
      </w:r>
      <w:r w:rsidR="00C37943">
        <w:t>.</w:t>
      </w:r>
      <w:r w:rsidR="00C37943" w:rsidRPr="00D15B5A">
        <w:rPr>
          <w:lang w:val="en-US"/>
        </w:rPr>
        <w:t xml:space="preserve"> </w:t>
      </w:r>
      <w:proofErr w:type="gramStart"/>
      <w:r w:rsidR="00C37943">
        <w:rPr>
          <w:lang w:val="en-US"/>
        </w:rPr>
        <w:t>Similar to</w:t>
      </w:r>
      <w:proofErr w:type="gramEnd"/>
      <w:r w:rsidR="00C37943">
        <w:rPr>
          <w:lang w:val="en-US"/>
        </w:rPr>
        <w:t xml:space="preserve"> </w:t>
      </w:r>
      <w:r w:rsidR="00C37943" w:rsidRPr="00D15B5A">
        <w:rPr>
          <w:lang w:val="en-US"/>
        </w:rPr>
        <w:t>e</w:t>
      </w:r>
      <w:r w:rsidR="00917588">
        <w:t>arly findings</w:t>
      </w:r>
      <w:r w:rsidR="00DF0EA6">
        <w:t xml:space="preserve"> </w:t>
      </w:r>
      <w:r w:rsidR="00917588">
        <w:t>on</w:t>
      </w:r>
      <w:r w:rsidR="00DF0EA6">
        <w:t xml:space="preserve"> </w:t>
      </w:r>
      <w:r w:rsidR="00917588">
        <w:t xml:space="preserve">AI </w:t>
      </w:r>
      <w:r w:rsidR="00C37943" w:rsidRPr="00D15B5A">
        <w:rPr>
          <w:lang w:val="en-US"/>
        </w:rPr>
        <w:t>t</w:t>
      </w:r>
      <w:r w:rsidR="00C37943">
        <w:rPr>
          <w:lang w:val="en-US"/>
        </w:rPr>
        <w:t xml:space="preserve">hat </w:t>
      </w:r>
      <w:r w:rsidR="00917588">
        <w:t>suggest that the technology</w:t>
      </w:r>
      <w:r w:rsidR="00DF0EA6">
        <w:t xml:space="preserve"> </w:t>
      </w:r>
      <w:r w:rsidR="007F2F3C">
        <w:t>provides a catch-up effect</w:t>
      </w:r>
      <w:r w:rsidR="00C37943" w:rsidRPr="00D15B5A">
        <w:rPr>
          <w:lang w:val="en-US"/>
        </w:rPr>
        <w:t xml:space="preserve">, </w:t>
      </w:r>
      <w:r w:rsidR="00C37943">
        <w:rPr>
          <w:lang w:val="en-US"/>
        </w:rPr>
        <w:t>new technology worked as</w:t>
      </w:r>
      <w:r w:rsidR="00917588">
        <w:t xml:space="preserve"> a boon to</w:t>
      </w:r>
      <w:r w:rsidR="007F2F3C">
        <w:t xml:space="preserve"> novices and</w:t>
      </w:r>
      <w:r w:rsidR="00917588">
        <w:t xml:space="preserve"> those workers in the bottom half of the skill distribution</w:t>
      </w:r>
      <w:r w:rsidR="007F2F3C">
        <w:t xml:space="preserve">. However, as our understanding of this technology improves, policy makers should pay close attention to the kinds of new jobs that are created. We may yet need expanded social safety nets. </w:t>
      </w:r>
      <w:r w:rsidR="00413B5B" w:rsidRPr="00413B5B">
        <w:t xml:space="preserve">Moreover, </w:t>
      </w:r>
      <w:r>
        <w:t>our</w:t>
      </w:r>
      <w:r w:rsidR="00413B5B" w:rsidRPr="00413B5B">
        <w:t xml:space="preserve"> findings underscore the importance of investing in</w:t>
      </w:r>
      <w:r w:rsidR="00C352E0">
        <w:t xml:space="preserve"> high-quality</w:t>
      </w:r>
      <w:r w:rsidR="00413B5B" w:rsidRPr="00413B5B">
        <w:t xml:space="preserve"> </w:t>
      </w:r>
      <w:r w:rsidR="00C352E0">
        <w:t xml:space="preserve">basic </w:t>
      </w:r>
      <w:r w:rsidR="00413B5B" w:rsidRPr="00413B5B">
        <w:t xml:space="preserve">education and skills development to ensure that workers can adapt to and benefit from technological change. </w:t>
      </w:r>
    </w:p>
    <w:p w14:paraId="03A5838A" w14:textId="7FB400B2" w:rsidR="00DF0EA6" w:rsidRPr="00DF0EA6" w:rsidRDefault="00DF0EA6">
      <w:pPr>
        <w:spacing w:before="0" w:line="240" w:lineRule="auto"/>
        <w:rPr>
          <w:lang w:val="en-GB"/>
        </w:rPr>
      </w:pPr>
    </w:p>
    <w:p w14:paraId="457B712E" w14:textId="0E984BED" w:rsidR="005C4E1A" w:rsidRDefault="005C4E1A">
      <w:pPr>
        <w:spacing w:before="0" w:line="240" w:lineRule="auto"/>
      </w:pPr>
      <w:r>
        <w:br w:type="page"/>
      </w:r>
    </w:p>
    <w:p w14:paraId="5DAFBF58" w14:textId="2823A8CB" w:rsidR="005C4E1A" w:rsidRDefault="005C4E1A" w:rsidP="005C4E1A">
      <w:pPr>
        <w:pStyle w:val="Heading2"/>
      </w:pPr>
      <w:r>
        <w:lastRenderedPageBreak/>
        <w:t>References</w:t>
      </w:r>
    </w:p>
    <w:p w14:paraId="22323CD9" w14:textId="77777777" w:rsidR="005C4E1A" w:rsidRDefault="005C4E1A" w:rsidP="005C4E1A">
      <w:r w:rsidRPr="005C4E1A">
        <w:t xml:space="preserve">Acemoglu, D. and Johnson, S., 2023. </w:t>
      </w:r>
      <w:r w:rsidRPr="005C4E1A">
        <w:rPr>
          <w:i/>
          <w:iCs/>
        </w:rPr>
        <w:t>Power and Progress: Our Thousand-Year Struggle Over Technology and Prosperity</w:t>
      </w:r>
      <w:r w:rsidRPr="005C4E1A">
        <w:t>. PublicAffairs.</w:t>
      </w:r>
    </w:p>
    <w:p w14:paraId="3B81C78D" w14:textId="32BACECD" w:rsidR="00B36A81" w:rsidRPr="005C4E1A" w:rsidRDefault="00B36A81" w:rsidP="005C4E1A">
      <w:r w:rsidRPr="00B36A81">
        <w:t xml:space="preserve">Acemoglu, D. and Restrepo, P. (2020) 'Robots and Jobs: Evidence from US Labor Markets', </w:t>
      </w:r>
      <w:r w:rsidRPr="00B36A81">
        <w:rPr>
          <w:i/>
          <w:iCs/>
        </w:rPr>
        <w:t>Journal of Political Economy</w:t>
      </w:r>
      <w:r w:rsidRPr="00B36A81">
        <w:t xml:space="preserve">, vol. 128, no. 6. Available at: </w:t>
      </w:r>
      <w:hyperlink r:id="rId10" w:history="1">
        <w:r w:rsidRPr="008D1BD0">
          <w:rPr>
            <w:rStyle w:val="Hyperlink"/>
          </w:rPr>
          <w:t>https://doi.org/10.1086/705716</w:t>
        </w:r>
      </w:hyperlink>
      <w:r>
        <w:t xml:space="preserve"> </w:t>
      </w:r>
    </w:p>
    <w:p w14:paraId="7C5523D9" w14:textId="77777777" w:rsidR="005C4E1A" w:rsidRDefault="005C4E1A" w:rsidP="005C4E1A">
      <w:r w:rsidRPr="005C4E1A">
        <w:t xml:space="preserve">Alexopoulos, M. and Cohen, J., 2016. The medium is the measure: Technical change and employment, 1909—1949. </w:t>
      </w:r>
      <w:r w:rsidRPr="005C4E1A">
        <w:rPr>
          <w:i/>
          <w:iCs/>
        </w:rPr>
        <w:t>Review of Economics and Statistics</w:t>
      </w:r>
      <w:r w:rsidRPr="005C4E1A">
        <w:t>, 98(4), pp.792-810.</w:t>
      </w:r>
    </w:p>
    <w:p w14:paraId="42D3CC3C" w14:textId="070FE360" w:rsidR="007F2F3C" w:rsidRPr="005C4E1A" w:rsidRDefault="007F2F3C" w:rsidP="005C4E1A">
      <w:r w:rsidRPr="007F2F3C">
        <w:t xml:space="preserve">Autor, D. (2024) 'AI Could Actually Help Rebuild The Middle Class', </w:t>
      </w:r>
      <w:r w:rsidRPr="007F2F3C">
        <w:rPr>
          <w:i/>
          <w:iCs/>
        </w:rPr>
        <w:t>Noema Magazine</w:t>
      </w:r>
      <w:r w:rsidRPr="007F2F3C">
        <w:t xml:space="preserve">, 12 February. Available at: </w:t>
      </w:r>
      <w:hyperlink r:id="rId11" w:tgtFrame="_new" w:history="1">
        <w:r w:rsidRPr="007F2F3C">
          <w:rPr>
            <w:rStyle w:val="Hyperlink"/>
          </w:rPr>
          <w:t>https://www.noemamag.com/how-ai-could-help-rebuild-the-middle-class/</w:t>
        </w:r>
      </w:hyperlink>
      <w:r w:rsidRPr="007F2F3C">
        <w:t xml:space="preserve"> </w:t>
      </w:r>
    </w:p>
    <w:p w14:paraId="694D45EC" w14:textId="7D6360D7" w:rsidR="005C4E1A" w:rsidRPr="005C4E1A" w:rsidRDefault="005C4E1A" w:rsidP="005C4E1A">
      <w:r w:rsidRPr="005C4E1A">
        <w:t>Autor, D</w:t>
      </w:r>
      <w:r w:rsidR="00522A59">
        <w:t>.</w:t>
      </w:r>
      <w:r w:rsidRPr="005C4E1A">
        <w:t xml:space="preserve">, Dorn, D. and Hanson, G.H., 2015. Untangling trade and technology: Evidence from local labour markets. </w:t>
      </w:r>
      <w:r w:rsidRPr="005C4E1A">
        <w:rPr>
          <w:i/>
          <w:iCs/>
        </w:rPr>
        <w:t>The Economic Journal</w:t>
      </w:r>
      <w:r w:rsidRPr="005C4E1A">
        <w:t>, 125(584), pp.621-646.</w:t>
      </w:r>
    </w:p>
    <w:p w14:paraId="548065F2" w14:textId="77777777" w:rsidR="005C4E1A" w:rsidRPr="005C4E1A" w:rsidRDefault="005C4E1A" w:rsidP="005C4E1A">
      <w:r w:rsidRPr="005C4E1A">
        <w:t xml:space="preserve">Autor, D. and Reynolds, E., 2020. The Nature of Work after the COVID Crisis: Too Few Low-Wage Jobs. The Hamilton Project • Brookings. Essay 2020-14. Available at: </w:t>
      </w:r>
      <w:hyperlink r:id="rId12" w:tgtFrame="_new" w:history="1">
        <w:r w:rsidRPr="005C4E1A">
          <w:rPr>
            <w:rStyle w:val="Hyperlink"/>
          </w:rPr>
          <w:t>https://www.hamiltonproject.org/</w:t>
        </w:r>
      </w:hyperlink>
      <w:r w:rsidRPr="005C4E1A">
        <w:t>.</w:t>
      </w:r>
    </w:p>
    <w:p w14:paraId="5CD3CE61" w14:textId="77777777" w:rsidR="005C4E1A" w:rsidRDefault="005C4E1A" w:rsidP="005C4E1A">
      <w:r w:rsidRPr="005C4E1A">
        <w:t xml:space="preserve">Bengtsson, E., 2019. The Swedish Sonderweg in question: Democratization and inequality in comparative perspective, c. 1750--1920. </w:t>
      </w:r>
      <w:r w:rsidRPr="005C4E1A">
        <w:rPr>
          <w:i/>
          <w:iCs/>
        </w:rPr>
        <w:t>Past &amp; Present</w:t>
      </w:r>
      <w:r w:rsidRPr="005C4E1A">
        <w:t>, 244(1), pp.123-161.</w:t>
      </w:r>
    </w:p>
    <w:p w14:paraId="6902B489" w14:textId="568A021C" w:rsidR="00AD3F88" w:rsidRDefault="00AD3F88" w:rsidP="005C4E1A">
      <w:r w:rsidRPr="00AD3F88">
        <w:t xml:space="preserve">Brynjolfsson, E., Li, D. and Raymond, L.R. (2023) 'Generative AI at Work', </w:t>
      </w:r>
      <w:r w:rsidRPr="00AD3F88">
        <w:rPr>
          <w:i/>
          <w:iCs/>
        </w:rPr>
        <w:t>National Bureau of Economic Research</w:t>
      </w:r>
      <w:r w:rsidRPr="00AD3F88">
        <w:t xml:space="preserve">, Working Paper No. 31161, April. Available at: </w:t>
      </w:r>
      <w:hyperlink r:id="rId13" w:tgtFrame="_new" w:history="1">
        <w:r w:rsidRPr="00AD3F88">
          <w:rPr>
            <w:rStyle w:val="Hyperlink"/>
          </w:rPr>
          <w:t>https://www.nber.org/papers/w31161</w:t>
        </w:r>
      </w:hyperlink>
    </w:p>
    <w:p w14:paraId="6F3F3391" w14:textId="087B42AC" w:rsidR="005F510A" w:rsidRDefault="005F510A" w:rsidP="005C4E1A">
      <w:pPr>
        <w:rPr>
          <w:rStyle w:val="Hyperlink"/>
        </w:rPr>
      </w:pPr>
      <w:r w:rsidRPr="005F510A">
        <w:t xml:space="preserve">Ernst, E., Merola, R. and Samaan, D. (2019) 'Economics of Artificial Intelligence: Implications for the Future of Work', </w:t>
      </w:r>
      <w:r w:rsidRPr="005F510A">
        <w:rPr>
          <w:i/>
          <w:iCs/>
        </w:rPr>
        <w:t>IZA Journal of Labor Policy</w:t>
      </w:r>
      <w:r w:rsidRPr="005F510A">
        <w:t xml:space="preserve">, 9(1). Available at: </w:t>
      </w:r>
      <w:hyperlink r:id="rId14" w:tgtFrame="_new" w:history="1">
        <w:r w:rsidRPr="005F510A">
          <w:rPr>
            <w:rStyle w:val="Hyperlink"/>
          </w:rPr>
          <w:t>https://doi.org/10.2478/izajolp-2019-0004</w:t>
        </w:r>
      </w:hyperlink>
    </w:p>
    <w:p w14:paraId="32B94803" w14:textId="109845F9" w:rsidR="003D5603" w:rsidRDefault="003D5603" w:rsidP="005C4E1A">
      <w:r w:rsidRPr="003D5603">
        <w:t xml:space="preserve">Filippucci, F., Gal, P., Jona-Lasinio, C., Leandro, A. &amp; Nicoletti, G. 2023, 'Should AI stay or should AI go: The promises and perils of AI for productivity and growth', </w:t>
      </w:r>
      <w:r w:rsidRPr="003D5603">
        <w:rPr>
          <w:i/>
          <w:iCs/>
        </w:rPr>
        <w:t>VoxEU</w:t>
      </w:r>
      <w:r w:rsidRPr="003D5603">
        <w:t xml:space="preserve">, viewed 2 May 2024, </w:t>
      </w:r>
      <w:hyperlink r:id="rId15" w:tgtFrame="_new" w:history="1">
        <w:r w:rsidRPr="003D5603">
          <w:rPr>
            <w:rStyle w:val="Hyperlink"/>
          </w:rPr>
          <w:t>https://cepr.org/voxeu/columns/should-ai-stay-or-should-ai-go-promises-and-perils-ai-productivity-and-growth</w:t>
        </w:r>
      </w:hyperlink>
      <w:r w:rsidRPr="003D5603">
        <w:t>.</w:t>
      </w:r>
    </w:p>
    <w:p w14:paraId="44A1346F" w14:textId="5D2BAAAA" w:rsidR="005C4E1A" w:rsidRPr="005C4E1A" w:rsidRDefault="005C4E1A" w:rsidP="005C4E1A">
      <w:r w:rsidRPr="005C4E1A">
        <w:t xml:space="preserve">Frey, C.B., 2019. </w:t>
      </w:r>
      <w:r w:rsidRPr="005C4E1A">
        <w:rPr>
          <w:i/>
          <w:iCs/>
        </w:rPr>
        <w:t>The Technology Trap: Capital, Labor, and Power in the Age of Automation</w:t>
      </w:r>
      <w:r w:rsidRPr="005C4E1A">
        <w:t>. Princeton University Press.</w:t>
      </w:r>
    </w:p>
    <w:p w14:paraId="046C7C5C" w14:textId="77777777" w:rsidR="005C4E1A" w:rsidRPr="005C4E1A" w:rsidRDefault="005C4E1A" w:rsidP="005C4E1A">
      <w:r w:rsidRPr="005C4E1A">
        <w:lastRenderedPageBreak/>
        <w:t xml:space="preserve">Jayes, J., Molinder, J. and Enflo, K., 2024. DP18973 Power for progress: The impact of electricity on individual labor market outcomes. </w:t>
      </w:r>
      <w:r w:rsidRPr="005C4E1A">
        <w:rPr>
          <w:i/>
          <w:iCs/>
        </w:rPr>
        <w:t>CEPR Discussion Paper No. 18973</w:t>
      </w:r>
      <w:r w:rsidRPr="005C4E1A">
        <w:t xml:space="preserve">. CEPR Press, Paris &amp; London. Available at: </w:t>
      </w:r>
      <w:hyperlink r:id="rId16" w:tgtFrame="_new" w:history="1">
        <w:r w:rsidRPr="005C4E1A">
          <w:rPr>
            <w:rStyle w:val="Hyperlink"/>
          </w:rPr>
          <w:t>https://cepr.org/publications/dp18973</w:t>
        </w:r>
      </w:hyperlink>
      <w:r w:rsidRPr="005C4E1A">
        <w:t>.</w:t>
      </w:r>
    </w:p>
    <w:p w14:paraId="70B8D93F" w14:textId="4157D82D" w:rsidR="005C4E1A" w:rsidRDefault="007F2F3C" w:rsidP="005C4E1A">
      <w:r w:rsidRPr="007F2F3C">
        <w:t xml:space="preserve">Noy, S. and Zhang, W. (2023) 'Experimental evidence on the productivity effects of generative artificial intelligence', </w:t>
      </w:r>
      <w:r w:rsidRPr="007F2F3C">
        <w:rPr>
          <w:i/>
          <w:iCs/>
        </w:rPr>
        <w:t>Science</w:t>
      </w:r>
      <w:r w:rsidRPr="007F2F3C">
        <w:t xml:space="preserve">, 381, pp. 187-192. Available at: </w:t>
      </w:r>
      <w:hyperlink r:id="rId17" w:history="1">
        <w:r w:rsidR="00B36A81" w:rsidRPr="008D1BD0">
          <w:rPr>
            <w:rStyle w:val="Hyperlink"/>
          </w:rPr>
          <w:t>https://doi.org/10.1126/science.adh2586</w:t>
        </w:r>
      </w:hyperlink>
      <w:r w:rsidR="00B36A81">
        <w:t xml:space="preserve"> </w:t>
      </w:r>
    </w:p>
    <w:p w14:paraId="26DC8E9A" w14:textId="27EBB658" w:rsidR="00E4265B" w:rsidRDefault="00E4265B" w:rsidP="005C4E1A">
      <w:r w:rsidRPr="00E4265B">
        <w:t xml:space="preserve">Noy, S. &amp; Zhang, W. 2023, 'The productivity effects of generative artificial intelligence', </w:t>
      </w:r>
      <w:r w:rsidRPr="00E4265B">
        <w:rPr>
          <w:i/>
          <w:iCs/>
        </w:rPr>
        <w:t>VoxEU</w:t>
      </w:r>
      <w:r w:rsidRPr="00E4265B">
        <w:t>,</w:t>
      </w:r>
      <w:r>
        <w:t xml:space="preserve"> 2023</w:t>
      </w:r>
      <w:r w:rsidRPr="00E4265B">
        <w:t>,</w:t>
      </w:r>
      <w:r>
        <w:t xml:space="preserve"> available at:</w:t>
      </w:r>
      <w:r w:rsidRPr="00E4265B">
        <w:t xml:space="preserve"> </w:t>
      </w:r>
      <w:hyperlink r:id="rId18" w:tgtFrame="_new" w:history="1">
        <w:r w:rsidRPr="00E4265B">
          <w:rPr>
            <w:rStyle w:val="Hyperlink"/>
          </w:rPr>
          <w:t>https://cepr.org/voxeu/columns/productivity-effects-generative-artificial-intelligence</w:t>
        </w:r>
      </w:hyperlink>
      <w:r w:rsidRPr="00E4265B">
        <w:t>.</w:t>
      </w:r>
    </w:p>
    <w:p w14:paraId="1839B4A1" w14:textId="3E08F734" w:rsidR="0057558F" w:rsidRPr="005C4E1A" w:rsidRDefault="0057558F" w:rsidP="005C4E1A">
      <w:r w:rsidRPr="0057558F">
        <w:t xml:space="preserve">Wacker, K. M., Gentile, E., Miroudot, S. &amp; de Vries, G. 2016, 'Robots replace routine tasks performed by workers', </w:t>
      </w:r>
      <w:r w:rsidRPr="0057558F">
        <w:rPr>
          <w:i/>
          <w:iCs/>
        </w:rPr>
        <w:t>VoxEU</w:t>
      </w:r>
      <w:r w:rsidRPr="0057558F">
        <w:t xml:space="preserve">, 29 October, </w:t>
      </w:r>
      <w:r>
        <w:t>available at:</w:t>
      </w:r>
      <w:r w:rsidRPr="0057558F">
        <w:t xml:space="preserve"> </w:t>
      </w:r>
      <w:hyperlink r:id="rId19" w:tgtFrame="_new" w:history="1">
        <w:r w:rsidRPr="0057558F">
          <w:rPr>
            <w:rStyle w:val="Hyperlink"/>
          </w:rPr>
          <w:t>https://cepr.org/voxeu/columns/robots-replace-routine-tasks-performed-workers</w:t>
        </w:r>
      </w:hyperlink>
      <w:r w:rsidRPr="0057558F">
        <w:t>.</w:t>
      </w:r>
    </w:p>
    <w:sectPr w:rsidR="0057558F" w:rsidRPr="005C4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RM0800">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93B7F"/>
    <w:multiLevelType w:val="multilevel"/>
    <w:tmpl w:val="57A490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163C59"/>
    <w:multiLevelType w:val="hybridMultilevel"/>
    <w:tmpl w:val="7D908F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711739D"/>
    <w:multiLevelType w:val="multilevel"/>
    <w:tmpl w:val="2F88DA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F65C6"/>
    <w:multiLevelType w:val="hybridMultilevel"/>
    <w:tmpl w:val="C2409354"/>
    <w:lvl w:ilvl="0" w:tplc="AB80E77A">
      <w:numFmt w:val="bullet"/>
      <w:lvlText w:val="-"/>
      <w:lvlJc w:val="left"/>
      <w:pPr>
        <w:ind w:left="720" w:hanging="360"/>
      </w:pPr>
      <w:rPr>
        <w:rFonts w:ascii="AppleSystemUIFont" w:eastAsiaTheme="minorHAnsi" w:hAnsi="AppleSystemUIFont" w:cs="AppleSystemUIFont" w:hint="default"/>
        <w:sz w:val="26"/>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3437643">
    <w:abstractNumId w:val="2"/>
  </w:num>
  <w:num w:numId="2" w16cid:durableId="2079358625">
    <w:abstractNumId w:val="0"/>
  </w:num>
  <w:num w:numId="3" w16cid:durableId="476458578">
    <w:abstractNumId w:val="1"/>
  </w:num>
  <w:num w:numId="4" w16cid:durableId="570772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2C1"/>
    <w:rsid w:val="00002990"/>
    <w:rsid w:val="00045A3B"/>
    <w:rsid w:val="00047D89"/>
    <w:rsid w:val="00064F14"/>
    <w:rsid w:val="00073F3E"/>
    <w:rsid w:val="00074BCF"/>
    <w:rsid w:val="000F3434"/>
    <w:rsid w:val="00131811"/>
    <w:rsid w:val="001434B3"/>
    <w:rsid w:val="00144C3E"/>
    <w:rsid w:val="001C78E4"/>
    <w:rsid w:val="001D06DB"/>
    <w:rsid w:val="00227B8A"/>
    <w:rsid w:val="002557AC"/>
    <w:rsid w:val="00286262"/>
    <w:rsid w:val="00287F17"/>
    <w:rsid w:val="00292572"/>
    <w:rsid w:val="002C12DF"/>
    <w:rsid w:val="002C5CED"/>
    <w:rsid w:val="002D5EAA"/>
    <w:rsid w:val="00300079"/>
    <w:rsid w:val="003502FB"/>
    <w:rsid w:val="003511B4"/>
    <w:rsid w:val="00385F08"/>
    <w:rsid w:val="003B6773"/>
    <w:rsid w:val="003D5603"/>
    <w:rsid w:val="00413B5B"/>
    <w:rsid w:val="004302E6"/>
    <w:rsid w:val="00437449"/>
    <w:rsid w:val="004A5CB1"/>
    <w:rsid w:val="004B6294"/>
    <w:rsid w:val="00522A59"/>
    <w:rsid w:val="0054384A"/>
    <w:rsid w:val="0057558F"/>
    <w:rsid w:val="005C4E1A"/>
    <w:rsid w:val="005D511E"/>
    <w:rsid w:val="005D5E41"/>
    <w:rsid w:val="005F510A"/>
    <w:rsid w:val="00662842"/>
    <w:rsid w:val="00696A19"/>
    <w:rsid w:val="006B341B"/>
    <w:rsid w:val="006D3060"/>
    <w:rsid w:val="006D3A5A"/>
    <w:rsid w:val="006D5C88"/>
    <w:rsid w:val="006F7C66"/>
    <w:rsid w:val="0070786A"/>
    <w:rsid w:val="0076571E"/>
    <w:rsid w:val="007B10F6"/>
    <w:rsid w:val="007C0A1E"/>
    <w:rsid w:val="007C2CBB"/>
    <w:rsid w:val="007E0F45"/>
    <w:rsid w:val="007F203A"/>
    <w:rsid w:val="007F2F3C"/>
    <w:rsid w:val="0081018F"/>
    <w:rsid w:val="0084116C"/>
    <w:rsid w:val="0084736C"/>
    <w:rsid w:val="008C60EE"/>
    <w:rsid w:val="008C6975"/>
    <w:rsid w:val="008E3097"/>
    <w:rsid w:val="00917588"/>
    <w:rsid w:val="009402C1"/>
    <w:rsid w:val="00973AC0"/>
    <w:rsid w:val="009A796D"/>
    <w:rsid w:val="009D1E0A"/>
    <w:rsid w:val="00A31A07"/>
    <w:rsid w:val="00A562E0"/>
    <w:rsid w:val="00AB7654"/>
    <w:rsid w:val="00AC761F"/>
    <w:rsid w:val="00AD3F88"/>
    <w:rsid w:val="00B04229"/>
    <w:rsid w:val="00B36A81"/>
    <w:rsid w:val="00B549CD"/>
    <w:rsid w:val="00B56030"/>
    <w:rsid w:val="00B6155F"/>
    <w:rsid w:val="00B844C9"/>
    <w:rsid w:val="00B95400"/>
    <w:rsid w:val="00BB6846"/>
    <w:rsid w:val="00C17419"/>
    <w:rsid w:val="00C30E8C"/>
    <w:rsid w:val="00C352E0"/>
    <w:rsid w:val="00C37943"/>
    <w:rsid w:val="00C42C3D"/>
    <w:rsid w:val="00C62264"/>
    <w:rsid w:val="00C94C8A"/>
    <w:rsid w:val="00CF3D19"/>
    <w:rsid w:val="00D06D0D"/>
    <w:rsid w:val="00D15B5A"/>
    <w:rsid w:val="00D744D7"/>
    <w:rsid w:val="00D82DA9"/>
    <w:rsid w:val="00DB61AE"/>
    <w:rsid w:val="00DE6692"/>
    <w:rsid w:val="00DF0EA6"/>
    <w:rsid w:val="00DF440C"/>
    <w:rsid w:val="00E4265B"/>
    <w:rsid w:val="00E504B8"/>
    <w:rsid w:val="00E64A3E"/>
    <w:rsid w:val="00ED5A3F"/>
    <w:rsid w:val="00EE39E3"/>
    <w:rsid w:val="00F32435"/>
    <w:rsid w:val="00F4770F"/>
    <w:rsid w:val="00FE25A9"/>
    <w:rsid w:val="00FF240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09A7"/>
  <w15:chartTrackingRefBased/>
  <w15:docId w15:val="{54802CEC-8B81-A24D-83C6-1FBF8424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8E4"/>
    <w:pPr>
      <w:spacing w:before="240" w:line="264" w:lineRule="auto"/>
      <w:jc w:val="both"/>
    </w:pPr>
    <w:rPr>
      <w:rFonts w:ascii="Helvetica" w:hAnsi="Helvetica"/>
    </w:rPr>
  </w:style>
  <w:style w:type="paragraph" w:styleId="Heading1">
    <w:name w:val="heading 1"/>
    <w:basedOn w:val="Normal"/>
    <w:next w:val="Normal"/>
    <w:link w:val="Heading1Char"/>
    <w:uiPriority w:val="9"/>
    <w:qFormat/>
    <w:rsid w:val="00940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2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2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2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2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2C1"/>
    <w:rPr>
      <w:rFonts w:eastAsiaTheme="majorEastAsia" w:cstheme="majorBidi"/>
      <w:color w:val="272727" w:themeColor="text1" w:themeTint="D8"/>
    </w:rPr>
  </w:style>
  <w:style w:type="paragraph" w:styleId="Title">
    <w:name w:val="Title"/>
    <w:basedOn w:val="Normal"/>
    <w:next w:val="Normal"/>
    <w:link w:val="TitleChar"/>
    <w:uiPriority w:val="10"/>
    <w:qFormat/>
    <w:rsid w:val="009402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2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2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2C1"/>
    <w:rPr>
      <w:i/>
      <w:iCs/>
      <w:color w:val="404040" w:themeColor="text1" w:themeTint="BF"/>
    </w:rPr>
  </w:style>
  <w:style w:type="paragraph" w:styleId="ListParagraph">
    <w:name w:val="List Paragraph"/>
    <w:basedOn w:val="Normal"/>
    <w:uiPriority w:val="34"/>
    <w:qFormat/>
    <w:rsid w:val="009402C1"/>
    <w:pPr>
      <w:ind w:left="720"/>
      <w:contextualSpacing/>
    </w:pPr>
  </w:style>
  <w:style w:type="character" w:styleId="IntenseEmphasis">
    <w:name w:val="Intense Emphasis"/>
    <w:basedOn w:val="DefaultParagraphFont"/>
    <w:uiPriority w:val="21"/>
    <w:qFormat/>
    <w:rsid w:val="009402C1"/>
    <w:rPr>
      <w:i/>
      <w:iCs/>
      <w:color w:val="0F4761" w:themeColor="accent1" w:themeShade="BF"/>
    </w:rPr>
  </w:style>
  <w:style w:type="paragraph" w:styleId="IntenseQuote">
    <w:name w:val="Intense Quote"/>
    <w:basedOn w:val="Normal"/>
    <w:next w:val="Normal"/>
    <w:link w:val="IntenseQuoteChar"/>
    <w:uiPriority w:val="30"/>
    <w:qFormat/>
    <w:rsid w:val="00940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2C1"/>
    <w:rPr>
      <w:i/>
      <w:iCs/>
      <w:color w:val="0F4761" w:themeColor="accent1" w:themeShade="BF"/>
    </w:rPr>
  </w:style>
  <w:style w:type="character" w:styleId="IntenseReference">
    <w:name w:val="Intense Reference"/>
    <w:basedOn w:val="DefaultParagraphFont"/>
    <w:uiPriority w:val="32"/>
    <w:qFormat/>
    <w:rsid w:val="009402C1"/>
    <w:rPr>
      <w:b/>
      <w:bCs/>
      <w:smallCaps/>
      <w:color w:val="0F4761" w:themeColor="accent1" w:themeShade="BF"/>
      <w:spacing w:val="5"/>
    </w:rPr>
  </w:style>
  <w:style w:type="paragraph" w:styleId="NormalWeb">
    <w:name w:val="Normal (Web)"/>
    <w:basedOn w:val="Normal"/>
    <w:uiPriority w:val="99"/>
    <w:semiHidden/>
    <w:unhideWhenUsed/>
    <w:rsid w:val="0084736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6B341B"/>
    <w:rPr>
      <w:rFonts w:ascii="Helvetica" w:hAnsi="Helvetica"/>
    </w:rPr>
  </w:style>
  <w:style w:type="character" w:styleId="CommentReference">
    <w:name w:val="annotation reference"/>
    <w:basedOn w:val="DefaultParagraphFont"/>
    <w:uiPriority w:val="99"/>
    <w:semiHidden/>
    <w:unhideWhenUsed/>
    <w:rsid w:val="00C352E0"/>
    <w:rPr>
      <w:sz w:val="16"/>
      <w:szCs w:val="16"/>
    </w:rPr>
  </w:style>
  <w:style w:type="paragraph" w:styleId="CommentText">
    <w:name w:val="annotation text"/>
    <w:basedOn w:val="Normal"/>
    <w:link w:val="CommentTextChar"/>
    <w:uiPriority w:val="99"/>
    <w:unhideWhenUsed/>
    <w:rsid w:val="00C352E0"/>
    <w:pPr>
      <w:spacing w:line="240" w:lineRule="auto"/>
    </w:pPr>
    <w:rPr>
      <w:sz w:val="20"/>
      <w:szCs w:val="20"/>
    </w:rPr>
  </w:style>
  <w:style w:type="character" w:customStyle="1" w:styleId="CommentTextChar">
    <w:name w:val="Comment Text Char"/>
    <w:basedOn w:val="DefaultParagraphFont"/>
    <w:link w:val="CommentText"/>
    <w:uiPriority w:val="99"/>
    <w:rsid w:val="00C352E0"/>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C352E0"/>
    <w:rPr>
      <w:b/>
      <w:bCs/>
    </w:rPr>
  </w:style>
  <w:style w:type="character" w:customStyle="1" w:styleId="CommentSubjectChar">
    <w:name w:val="Comment Subject Char"/>
    <w:basedOn w:val="CommentTextChar"/>
    <w:link w:val="CommentSubject"/>
    <w:uiPriority w:val="99"/>
    <w:semiHidden/>
    <w:rsid w:val="00C352E0"/>
    <w:rPr>
      <w:rFonts w:ascii="Helvetica" w:hAnsi="Helvetica"/>
      <w:b/>
      <w:bCs/>
      <w:sz w:val="20"/>
      <w:szCs w:val="20"/>
    </w:rPr>
  </w:style>
  <w:style w:type="character" w:styleId="Hyperlink">
    <w:name w:val="Hyperlink"/>
    <w:basedOn w:val="DefaultParagraphFont"/>
    <w:uiPriority w:val="99"/>
    <w:unhideWhenUsed/>
    <w:rsid w:val="005C4E1A"/>
    <w:rPr>
      <w:color w:val="467886" w:themeColor="hyperlink"/>
      <w:u w:val="single"/>
    </w:rPr>
  </w:style>
  <w:style w:type="character" w:styleId="UnresolvedMention">
    <w:name w:val="Unresolved Mention"/>
    <w:basedOn w:val="DefaultParagraphFont"/>
    <w:uiPriority w:val="99"/>
    <w:semiHidden/>
    <w:unhideWhenUsed/>
    <w:rsid w:val="005C4E1A"/>
    <w:rPr>
      <w:color w:val="605E5C"/>
      <w:shd w:val="clear" w:color="auto" w:fill="E1DFDD"/>
    </w:rPr>
  </w:style>
  <w:style w:type="paragraph" w:styleId="Caption">
    <w:name w:val="caption"/>
    <w:basedOn w:val="Normal"/>
    <w:next w:val="Normal"/>
    <w:uiPriority w:val="35"/>
    <w:unhideWhenUsed/>
    <w:qFormat/>
    <w:rsid w:val="00AB7654"/>
    <w:pPr>
      <w:spacing w:before="0" w:after="200" w:line="240" w:lineRule="auto"/>
    </w:pPr>
    <w:rPr>
      <w:i/>
      <w:iCs/>
      <w:color w:val="0E2841" w:themeColor="text2"/>
      <w:sz w:val="18"/>
      <w:szCs w:val="18"/>
    </w:rPr>
  </w:style>
  <w:style w:type="paragraph" w:styleId="Revision">
    <w:name w:val="Revision"/>
    <w:hidden/>
    <w:uiPriority w:val="99"/>
    <w:semiHidden/>
    <w:rsid w:val="00287F17"/>
    <w:rPr>
      <w:rFonts w:ascii="Helvetica" w:hAnsi="Helvetica"/>
    </w:rPr>
  </w:style>
  <w:style w:type="character" w:styleId="FollowedHyperlink">
    <w:name w:val="FollowedHyperlink"/>
    <w:basedOn w:val="DefaultParagraphFont"/>
    <w:uiPriority w:val="99"/>
    <w:semiHidden/>
    <w:unhideWhenUsed/>
    <w:rsid w:val="00B560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2958">
      <w:bodyDiv w:val="1"/>
      <w:marLeft w:val="0"/>
      <w:marRight w:val="0"/>
      <w:marTop w:val="0"/>
      <w:marBottom w:val="0"/>
      <w:divBdr>
        <w:top w:val="none" w:sz="0" w:space="0" w:color="auto"/>
        <w:left w:val="none" w:sz="0" w:space="0" w:color="auto"/>
        <w:bottom w:val="none" w:sz="0" w:space="0" w:color="auto"/>
        <w:right w:val="none" w:sz="0" w:space="0" w:color="auto"/>
      </w:divBdr>
    </w:div>
    <w:div w:id="172572688">
      <w:bodyDiv w:val="1"/>
      <w:marLeft w:val="0"/>
      <w:marRight w:val="0"/>
      <w:marTop w:val="0"/>
      <w:marBottom w:val="0"/>
      <w:divBdr>
        <w:top w:val="none" w:sz="0" w:space="0" w:color="auto"/>
        <w:left w:val="none" w:sz="0" w:space="0" w:color="auto"/>
        <w:bottom w:val="none" w:sz="0" w:space="0" w:color="auto"/>
        <w:right w:val="none" w:sz="0" w:space="0" w:color="auto"/>
      </w:divBdr>
      <w:divsChild>
        <w:div w:id="1960798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6790437">
              <w:marLeft w:val="360"/>
              <w:marRight w:val="360"/>
              <w:marTop w:val="0"/>
              <w:marBottom w:val="0"/>
              <w:divBdr>
                <w:top w:val="none" w:sz="0" w:space="0" w:color="auto"/>
                <w:left w:val="none" w:sz="0" w:space="0" w:color="auto"/>
                <w:bottom w:val="none" w:sz="0" w:space="0" w:color="auto"/>
                <w:right w:val="none" w:sz="0" w:space="0" w:color="auto"/>
              </w:divBdr>
              <w:divsChild>
                <w:div w:id="127286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7892">
      <w:bodyDiv w:val="1"/>
      <w:marLeft w:val="0"/>
      <w:marRight w:val="0"/>
      <w:marTop w:val="0"/>
      <w:marBottom w:val="0"/>
      <w:divBdr>
        <w:top w:val="none" w:sz="0" w:space="0" w:color="auto"/>
        <w:left w:val="none" w:sz="0" w:space="0" w:color="auto"/>
        <w:bottom w:val="none" w:sz="0" w:space="0" w:color="auto"/>
        <w:right w:val="none" w:sz="0" w:space="0" w:color="auto"/>
      </w:divBdr>
      <w:divsChild>
        <w:div w:id="623124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0287507">
              <w:marLeft w:val="360"/>
              <w:marRight w:val="360"/>
              <w:marTop w:val="0"/>
              <w:marBottom w:val="0"/>
              <w:divBdr>
                <w:top w:val="none" w:sz="0" w:space="0" w:color="auto"/>
                <w:left w:val="none" w:sz="0" w:space="0" w:color="auto"/>
                <w:bottom w:val="none" w:sz="0" w:space="0" w:color="auto"/>
                <w:right w:val="none" w:sz="0" w:space="0" w:color="auto"/>
              </w:divBdr>
              <w:divsChild>
                <w:div w:id="17734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95170">
      <w:bodyDiv w:val="1"/>
      <w:marLeft w:val="0"/>
      <w:marRight w:val="0"/>
      <w:marTop w:val="0"/>
      <w:marBottom w:val="0"/>
      <w:divBdr>
        <w:top w:val="none" w:sz="0" w:space="0" w:color="auto"/>
        <w:left w:val="none" w:sz="0" w:space="0" w:color="auto"/>
        <w:bottom w:val="none" w:sz="0" w:space="0" w:color="auto"/>
        <w:right w:val="none" w:sz="0" w:space="0" w:color="auto"/>
      </w:divBdr>
    </w:div>
    <w:div w:id="257298573">
      <w:bodyDiv w:val="1"/>
      <w:marLeft w:val="0"/>
      <w:marRight w:val="0"/>
      <w:marTop w:val="0"/>
      <w:marBottom w:val="0"/>
      <w:divBdr>
        <w:top w:val="none" w:sz="0" w:space="0" w:color="auto"/>
        <w:left w:val="none" w:sz="0" w:space="0" w:color="auto"/>
        <w:bottom w:val="none" w:sz="0" w:space="0" w:color="auto"/>
        <w:right w:val="none" w:sz="0" w:space="0" w:color="auto"/>
      </w:divBdr>
    </w:div>
    <w:div w:id="397747146">
      <w:bodyDiv w:val="1"/>
      <w:marLeft w:val="0"/>
      <w:marRight w:val="0"/>
      <w:marTop w:val="0"/>
      <w:marBottom w:val="0"/>
      <w:divBdr>
        <w:top w:val="none" w:sz="0" w:space="0" w:color="auto"/>
        <w:left w:val="none" w:sz="0" w:space="0" w:color="auto"/>
        <w:bottom w:val="none" w:sz="0" w:space="0" w:color="auto"/>
        <w:right w:val="none" w:sz="0" w:space="0" w:color="auto"/>
      </w:divBdr>
    </w:div>
    <w:div w:id="432896847">
      <w:bodyDiv w:val="1"/>
      <w:marLeft w:val="0"/>
      <w:marRight w:val="0"/>
      <w:marTop w:val="0"/>
      <w:marBottom w:val="0"/>
      <w:divBdr>
        <w:top w:val="none" w:sz="0" w:space="0" w:color="auto"/>
        <w:left w:val="none" w:sz="0" w:space="0" w:color="auto"/>
        <w:bottom w:val="none" w:sz="0" w:space="0" w:color="auto"/>
        <w:right w:val="none" w:sz="0" w:space="0" w:color="auto"/>
      </w:divBdr>
      <w:divsChild>
        <w:div w:id="2084184661">
          <w:marLeft w:val="0"/>
          <w:marRight w:val="0"/>
          <w:marTop w:val="0"/>
          <w:marBottom w:val="0"/>
          <w:divBdr>
            <w:top w:val="none" w:sz="0" w:space="0" w:color="auto"/>
            <w:left w:val="none" w:sz="0" w:space="0" w:color="auto"/>
            <w:bottom w:val="none" w:sz="0" w:space="0" w:color="auto"/>
            <w:right w:val="none" w:sz="0" w:space="0" w:color="auto"/>
          </w:divBdr>
          <w:divsChild>
            <w:div w:id="301808137">
              <w:marLeft w:val="0"/>
              <w:marRight w:val="0"/>
              <w:marTop w:val="0"/>
              <w:marBottom w:val="0"/>
              <w:divBdr>
                <w:top w:val="none" w:sz="0" w:space="0" w:color="auto"/>
                <w:left w:val="none" w:sz="0" w:space="0" w:color="auto"/>
                <w:bottom w:val="none" w:sz="0" w:space="0" w:color="auto"/>
                <w:right w:val="none" w:sz="0" w:space="0" w:color="auto"/>
              </w:divBdr>
              <w:divsChild>
                <w:div w:id="13227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638867">
      <w:bodyDiv w:val="1"/>
      <w:marLeft w:val="0"/>
      <w:marRight w:val="0"/>
      <w:marTop w:val="0"/>
      <w:marBottom w:val="0"/>
      <w:divBdr>
        <w:top w:val="none" w:sz="0" w:space="0" w:color="auto"/>
        <w:left w:val="none" w:sz="0" w:space="0" w:color="auto"/>
        <w:bottom w:val="none" w:sz="0" w:space="0" w:color="auto"/>
        <w:right w:val="none" w:sz="0" w:space="0" w:color="auto"/>
      </w:divBdr>
      <w:divsChild>
        <w:div w:id="779180579">
          <w:marLeft w:val="0"/>
          <w:marRight w:val="0"/>
          <w:marTop w:val="0"/>
          <w:marBottom w:val="0"/>
          <w:divBdr>
            <w:top w:val="none" w:sz="0" w:space="0" w:color="auto"/>
            <w:left w:val="none" w:sz="0" w:space="0" w:color="auto"/>
            <w:bottom w:val="none" w:sz="0" w:space="0" w:color="auto"/>
            <w:right w:val="none" w:sz="0" w:space="0" w:color="auto"/>
          </w:divBdr>
          <w:divsChild>
            <w:div w:id="39938794">
              <w:marLeft w:val="0"/>
              <w:marRight w:val="0"/>
              <w:marTop w:val="0"/>
              <w:marBottom w:val="0"/>
              <w:divBdr>
                <w:top w:val="none" w:sz="0" w:space="0" w:color="auto"/>
                <w:left w:val="none" w:sz="0" w:space="0" w:color="auto"/>
                <w:bottom w:val="none" w:sz="0" w:space="0" w:color="auto"/>
                <w:right w:val="none" w:sz="0" w:space="0" w:color="auto"/>
              </w:divBdr>
              <w:divsChild>
                <w:div w:id="5429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9082">
      <w:bodyDiv w:val="1"/>
      <w:marLeft w:val="0"/>
      <w:marRight w:val="0"/>
      <w:marTop w:val="0"/>
      <w:marBottom w:val="0"/>
      <w:divBdr>
        <w:top w:val="none" w:sz="0" w:space="0" w:color="auto"/>
        <w:left w:val="none" w:sz="0" w:space="0" w:color="auto"/>
        <w:bottom w:val="none" w:sz="0" w:space="0" w:color="auto"/>
        <w:right w:val="none" w:sz="0" w:space="0" w:color="auto"/>
      </w:divBdr>
    </w:div>
    <w:div w:id="700128144">
      <w:bodyDiv w:val="1"/>
      <w:marLeft w:val="0"/>
      <w:marRight w:val="0"/>
      <w:marTop w:val="0"/>
      <w:marBottom w:val="0"/>
      <w:divBdr>
        <w:top w:val="none" w:sz="0" w:space="0" w:color="auto"/>
        <w:left w:val="none" w:sz="0" w:space="0" w:color="auto"/>
        <w:bottom w:val="none" w:sz="0" w:space="0" w:color="auto"/>
        <w:right w:val="none" w:sz="0" w:space="0" w:color="auto"/>
      </w:divBdr>
    </w:div>
    <w:div w:id="776218310">
      <w:bodyDiv w:val="1"/>
      <w:marLeft w:val="0"/>
      <w:marRight w:val="0"/>
      <w:marTop w:val="0"/>
      <w:marBottom w:val="0"/>
      <w:divBdr>
        <w:top w:val="none" w:sz="0" w:space="0" w:color="auto"/>
        <w:left w:val="none" w:sz="0" w:space="0" w:color="auto"/>
        <w:bottom w:val="none" w:sz="0" w:space="0" w:color="auto"/>
        <w:right w:val="none" w:sz="0" w:space="0" w:color="auto"/>
      </w:divBdr>
      <w:divsChild>
        <w:div w:id="245112108">
          <w:marLeft w:val="0"/>
          <w:marRight w:val="0"/>
          <w:marTop w:val="0"/>
          <w:marBottom w:val="0"/>
          <w:divBdr>
            <w:top w:val="none" w:sz="0" w:space="0" w:color="auto"/>
            <w:left w:val="none" w:sz="0" w:space="0" w:color="auto"/>
            <w:bottom w:val="none" w:sz="0" w:space="0" w:color="auto"/>
            <w:right w:val="none" w:sz="0" w:space="0" w:color="auto"/>
          </w:divBdr>
          <w:divsChild>
            <w:div w:id="1510369851">
              <w:marLeft w:val="0"/>
              <w:marRight w:val="0"/>
              <w:marTop w:val="0"/>
              <w:marBottom w:val="0"/>
              <w:divBdr>
                <w:top w:val="none" w:sz="0" w:space="0" w:color="auto"/>
                <w:left w:val="none" w:sz="0" w:space="0" w:color="auto"/>
                <w:bottom w:val="none" w:sz="0" w:space="0" w:color="auto"/>
                <w:right w:val="none" w:sz="0" w:space="0" w:color="auto"/>
              </w:divBdr>
              <w:divsChild>
                <w:div w:id="6846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667">
      <w:bodyDiv w:val="1"/>
      <w:marLeft w:val="0"/>
      <w:marRight w:val="0"/>
      <w:marTop w:val="0"/>
      <w:marBottom w:val="0"/>
      <w:divBdr>
        <w:top w:val="none" w:sz="0" w:space="0" w:color="auto"/>
        <w:left w:val="none" w:sz="0" w:space="0" w:color="auto"/>
        <w:bottom w:val="none" w:sz="0" w:space="0" w:color="auto"/>
        <w:right w:val="none" w:sz="0" w:space="0" w:color="auto"/>
      </w:divBdr>
    </w:div>
    <w:div w:id="864946517">
      <w:bodyDiv w:val="1"/>
      <w:marLeft w:val="0"/>
      <w:marRight w:val="0"/>
      <w:marTop w:val="0"/>
      <w:marBottom w:val="0"/>
      <w:divBdr>
        <w:top w:val="none" w:sz="0" w:space="0" w:color="auto"/>
        <w:left w:val="none" w:sz="0" w:space="0" w:color="auto"/>
        <w:bottom w:val="none" w:sz="0" w:space="0" w:color="auto"/>
        <w:right w:val="none" w:sz="0" w:space="0" w:color="auto"/>
      </w:divBdr>
    </w:div>
    <w:div w:id="947590432">
      <w:bodyDiv w:val="1"/>
      <w:marLeft w:val="0"/>
      <w:marRight w:val="0"/>
      <w:marTop w:val="0"/>
      <w:marBottom w:val="0"/>
      <w:divBdr>
        <w:top w:val="none" w:sz="0" w:space="0" w:color="auto"/>
        <w:left w:val="none" w:sz="0" w:space="0" w:color="auto"/>
        <w:bottom w:val="none" w:sz="0" w:space="0" w:color="auto"/>
        <w:right w:val="none" w:sz="0" w:space="0" w:color="auto"/>
      </w:divBdr>
    </w:div>
    <w:div w:id="1435399116">
      <w:bodyDiv w:val="1"/>
      <w:marLeft w:val="0"/>
      <w:marRight w:val="0"/>
      <w:marTop w:val="0"/>
      <w:marBottom w:val="0"/>
      <w:divBdr>
        <w:top w:val="none" w:sz="0" w:space="0" w:color="auto"/>
        <w:left w:val="none" w:sz="0" w:space="0" w:color="auto"/>
        <w:bottom w:val="none" w:sz="0" w:space="0" w:color="auto"/>
        <w:right w:val="none" w:sz="0" w:space="0" w:color="auto"/>
      </w:divBdr>
    </w:div>
    <w:div w:id="1506357948">
      <w:bodyDiv w:val="1"/>
      <w:marLeft w:val="0"/>
      <w:marRight w:val="0"/>
      <w:marTop w:val="0"/>
      <w:marBottom w:val="0"/>
      <w:divBdr>
        <w:top w:val="none" w:sz="0" w:space="0" w:color="auto"/>
        <w:left w:val="none" w:sz="0" w:space="0" w:color="auto"/>
        <w:bottom w:val="none" w:sz="0" w:space="0" w:color="auto"/>
        <w:right w:val="none" w:sz="0" w:space="0" w:color="auto"/>
      </w:divBdr>
      <w:divsChild>
        <w:div w:id="1688824188">
          <w:marLeft w:val="0"/>
          <w:marRight w:val="0"/>
          <w:marTop w:val="0"/>
          <w:marBottom w:val="0"/>
          <w:divBdr>
            <w:top w:val="none" w:sz="0" w:space="0" w:color="auto"/>
            <w:left w:val="none" w:sz="0" w:space="0" w:color="auto"/>
            <w:bottom w:val="none" w:sz="0" w:space="0" w:color="auto"/>
            <w:right w:val="none" w:sz="0" w:space="0" w:color="auto"/>
          </w:divBdr>
          <w:divsChild>
            <w:div w:id="1300309241">
              <w:marLeft w:val="0"/>
              <w:marRight w:val="0"/>
              <w:marTop w:val="0"/>
              <w:marBottom w:val="0"/>
              <w:divBdr>
                <w:top w:val="none" w:sz="0" w:space="0" w:color="auto"/>
                <w:left w:val="none" w:sz="0" w:space="0" w:color="auto"/>
                <w:bottom w:val="none" w:sz="0" w:space="0" w:color="auto"/>
                <w:right w:val="none" w:sz="0" w:space="0" w:color="auto"/>
              </w:divBdr>
              <w:divsChild>
                <w:div w:id="16441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4641">
      <w:bodyDiv w:val="1"/>
      <w:marLeft w:val="0"/>
      <w:marRight w:val="0"/>
      <w:marTop w:val="0"/>
      <w:marBottom w:val="0"/>
      <w:divBdr>
        <w:top w:val="none" w:sz="0" w:space="0" w:color="auto"/>
        <w:left w:val="none" w:sz="0" w:space="0" w:color="auto"/>
        <w:bottom w:val="none" w:sz="0" w:space="0" w:color="auto"/>
        <w:right w:val="none" w:sz="0" w:space="0" w:color="auto"/>
      </w:divBdr>
    </w:div>
    <w:div w:id="1657493131">
      <w:bodyDiv w:val="1"/>
      <w:marLeft w:val="0"/>
      <w:marRight w:val="0"/>
      <w:marTop w:val="0"/>
      <w:marBottom w:val="0"/>
      <w:divBdr>
        <w:top w:val="none" w:sz="0" w:space="0" w:color="auto"/>
        <w:left w:val="none" w:sz="0" w:space="0" w:color="auto"/>
        <w:bottom w:val="none" w:sz="0" w:space="0" w:color="auto"/>
        <w:right w:val="none" w:sz="0" w:space="0" w:color="auto"/>
      </w:divBdr>
    </w:div>
    <w:div w:id="1953393561">
      <w:bodyDiv w:val="1"/>
      <w:marLeft w:val="0"/>
      <w:marRight w:val="0"/>
      <w:marTop w:val="0"/>
      <w:marBottom w:val="0"/>
      <w:divBdr>
        <w:top w:val="none" w:sz="0" w:space="0" w:color="auto"/>
        <w:left w:val="none" w:sz="0" w:space="0" w:color="auto"/>
        <w:bottom w:val="none" w:sz="0" w:space="0" w:color="auto"/>
        <w:right w:val="none" w:sz="0" w:space="0" w:color="auto"/>
      </w:divBdr>
    </w:div>
    <w:div w:id="209901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nber.org/papers/w31161" TargetMode="External"/><Relationship Id="rId18" Type="http://schemas.openxmlformats.org/officeDocument/2006/relationships/hyperlink" Target="https://cepr.org/voxeu/columns/productivity-effects-generative-artificial-intelligenc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www.hamiltonproject.org/" TargetMode="External"/><Relationship Id="rId17" Type="http://schemas.openxmlformats.org/officeDocument/2006/relationships/hyperlink" Target="https://doi.org/10.1126/science.adh2586" TargetMode="External"/><Relationship Id="rId2" Type="http://schemas.openxmlformats.org/officeDocument/2006/relationships/numbering" Target="numbering.xml"/><Relationship Id="rId16" Type="http://schemas.openxmlformats.org/officeDocument/2006/relationships/hyperlink" Target="https://cepr.org/publications/dp1897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noemamag.com/how-ai-could-help-rebuild-the-middle-class/" TargetMode="External"/><Relationship Id="rId5" Type="http://schemas.openxmlformats.org/officeDocument/2006/relationships/webSettings" Target="webSettings.xml"/><Relationship Id="rId15" Type="http://schemas.openxmlformats.org/officeDocument/2006/relationships/hyperlink" Target="https://cepr.org/voxeu/columns/should-ai-stay-or-should-ai-go-promises-and-perils-ai-productivity-and-growth" TargetMode="External"/><Relationship Id="rId10" Type="http://schemas.openxmlformats.org/officeDocument/2006/relationships/hyperlink" Target="https://doi.org/10.1086/705716" TargetMode="External"/><Relationship Id="rId19" Type="http://schemas.openxmlformats.org/officeDocument/2006/relationships/hyperlink" Target="https://cepr.org/voxeu/columns/robots-replace-routine-tasks-performed-workers"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oi.org/10.2478/izajolp-2019-0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9467A-B7A1-DF42-B96C-793F5A01A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Jayes</dc:creator>
  <cp:keywords/>
  <dc:description/>
  <cp:lastModifiedBy>Jonathan Jayes</cp:lastModifiedBy>
  <cp:revision>7</cp:revision>
  <cp:lastPrinted>2024-04-17T14:30:00Z</cp:lastPrinted>
  <dcterms:created xsi:type="dcterms:W3CDTF">2024-04-18T05:53:00Z</dcterms:created>
  <dcterms:modified xsi:type="dcterms:W3CDTF">2024-05-02T07:42:00Z</dcterms:modified>
</cp:coreProperties>
</file>