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45920" cy="2468880"/>
            <wp:docPr id="1" name="Picture 1"/>
            <wp:cNvGraphicFramePr>
              <a:graphicFrameLocks noChangeAspect="1"/>
            </wp:cNvGraphicFramePr>
            <a:graphic>
              <a:graphicData uri="http://schemas.openxmlformats.org/drawingml/2006/picture">
                <pic:pic>
                  <pic:nvPicPr>
                    <pic:cNvPr id="0" name="Seth_logo.png"/>
                    <pic:cNvPicPr/>
                  </pic:nvPicPr>
                  <pic:blipFill>
                    <a:blip r:embed="rId9"/>
                    <a:stretch>
                      <a:fillRect/>
                    </a:stretch>
                  </pic:blipFill>
                  <pic:spPr>
                    <a:xfrm>
                      <a:off x="0" y="0"/>
                      <a:ext cx="1645920" cy="2468880"/>
                    </a:xfrm>
                    <a:prstGeom prst="rect"/>
                  </pic:spPr>
                </pic:pic>
              </a:graphicData>
            </a:graphic>
          </wp:inline>
        </w:drawing>
      </w:r>
    </w:p>
    <w:p>
      <w:pPr>
        <w:jc w:val="center"/>
      </w:pPr>
      <w:r>
        <w:rPr>
          <w:rFonts w:ascii="Calibri" w:hAnsi="Calibri"/>
          <w:b/>
          <w:color w:val="0A0F1E"/>
          <w:sz w:val="72"/>
        </w:rPr>
        <w:t>SETH</w:t>
      </w:r>
    </w:p>
    <w:p>
      <w:pPr>
        <w:jc w:val="center"/>
      </w:pPr>
      <w:r>
        <w:rPr>
          <w:rFonts w:ascii="Calibri" w:hAnsi="Calibri"/>
          <w:i/>
          <w:color w:val="3B82F6"/>
          <w:sz w:val="28"/>
        </w:rPr>
        <w:t>Strategic Executive Technology Hub</w:t>
      </w:r>
    </w:p>
    <w:p>
      <w:pPr>
        <w:spacing w:before="120"/>
        <w:jc w:val="center"/>
      </w:pPr>
      <w:r>
        <w:rPr>
          <w:rFonts w:ascii="Calibri" w:hAnsi="Calibri"/>
          <w:color w:val="6B7280"/>
          <w:sz w:val="24"/>
        </w:rPr>
        <w:t>Marketing &amp; Capability Brief</w:t>
      </w:r>
    </w:p>
    <w:p>
      <w:pPr>
        <w:jc w:val="center"/>
      </w:pPr>
      <w:r>
        <w:rPr>
          <w:rFonts w:ascii="Calibri" w:hAnsi="Calibri"/>
          <w:color w:val="9CA3AF"/>
          <w:sz w:val="20"/>
        </w:rPr>
        <w:t>Confidential  •  May 2026</w:t>
      </w:r>
    </w:p>
    <w:p>
      <w:pPr>
        <w:spacing w:before="80" w:after="80"/>
      </w:pPr>
      <w:r>
        <w:rPr>
          <w:color w:val="3B82F6"/>
          <w:sz w:val="12"/>
        </w:rPr>
        <w:t>────────────────────────────────────────────────────────────────────────────────</w:t>
      </w:r>
    </w:p>
    <w:p>
      <w:pPr>
        <w:pStyle w:val="Heading1"/>
      </w:pPr>
      <w:r>
        <w:t>1. Executive Summary</w:t>
      </w:r>
    </w:p>
    <w:p>
      <w:r>
        <w:t>SETH (Strategic Executive Technology Hub) is a sovereign-class AI executive operating system designed for principals who do not optimize for productivity—they optimize for consequence. Unlike conventional AI assistants that automate tasks one at a time, SETH operates as an autonomous infrastructure layer: a five-specialist agent swarm, a self-improving cognitive engine, and an immersive operational environment—all unified under a single strategic interface.</w:t>
      </w:r>
    </w:p>
    <w:p>
      <w:r>
        <w:t>SETH does not answer questions. It eliminates entire categories of cognitive overhead so that the executive never has to think about them. It learns, adapts, and evolves its own behavior through continuous observation, pattern detection, and strategic drift analysis—without being told to.</w:t>
      </w:r>
    </w:p>
    <w:p>
      <w:pPr>
        <w:pStyle w:val="Heading3"/>
      </w:pPr>
      <w:r>
        <w:t>Core Value Proposition</w:t>
      </w:r>
    </w:p>
    <w:p>
      <w:r>
        <w:rPr>
          <w:b/>
          <w:i/>
          <w:color w:val="3B82F6"/>
          <w:sz w:val="22"/>
        </w:rPr>
        <w:t>"Infrastructure masquerading as interface."</w:t>
      </w:r>
    </w:p>
    <w:p>
      <w:r>
        <w:t>While competitors offer assistants, SETH delivers an operating system. The distinction is architectural: an assistant waits to be asked; an operating system runs autonomously, anticipates needs, and surfaces intelligence before the principal knows to request it.</w:t>
      </w:r>
    </w:p>
    <w:p>
      <w:pPr>
        <w:pStyle w:val="Heading1"/>
      </w:pPr>
      <w:r>
        <w:t>2. Market Context &amp; Opportunity</w:t>
      </w:r>
    </w:p>
    <w:p>
      <w:pPr>
        <w:spacing w:after="40"/>
      </w:pPr>
      <w:r>
        <w:rPr>
          <w:rFonts w:ascii="Calibri" w:hAnsi="Calibri"/>
          <w:b/>
          <w:color w:val="3B82F6"/>
          <w:sz w:val="32"/>
        </w:rPr>
        <w:t>$4.84B</w:t>
      </w:r>
      <w:r>
        <w:rPr>
          <w:rFonts w:ascii="Calibri" w:hAnsi="Calibri"/>
          <w:b/>
          <w:sz w:val="22"/>
        </w:rPr>
        <w:t xml:space="preserve">  AI Executive Assistant Market (2026)</w:t>
      </w:r>
    </w:p>
    <w:p>
      <w:pPr>
        <w:spacing w:after="120"/>
      </w:pPr>
      <w:r>
        <w:rPr>
          <w:color w:val="6B7280"/>
          <w:sz w:val="18"/>
        </w:rPr>
        <w:t>Projected market size, up from $3.8B in 2025 — 27% YoY growth</w:t>
      </w:r>
    </w:p>
    <w:p>
      <w:pPr>
        <w:spacing w:after="40"/>
      </w:pPr>
      <w:r>
        <w:rPr>
          <w:rFonts w:ascii="Calibri" w:hAnsi="Calibri"/>
          <w:b/>
          <w:color w:val="3B82F6"/>
          <w:sz w:val="32"/>
        </w:rPr>
        <w:t>60–80%</w:t>
      </w:r>
      <w:r>
        <w:rPr>
          <w:rFonts w:ascii="Calibri" w:hAnsi="Calibri"/>
          <w:b/>
          <w:sz w:val="22"/>
        </w:rPr>
        <w:t xml:space="preserve">  Executives Seeking Productivity Tools</w:t>
      </w:r>
    </w:p>
    <w:p>
      <w:pPr>
        <w:spacing w:after="120"/>
      </w:pPr>
      <w:r>
        <w:rPr>
          <w:color w:val="6B7280"/>
          <w:sz w:val="18"/>
        </w:rPr>
        <w:t>Of C-suite and senior leaders actively evaluating AI tools</w:t>
      </w:r>
    </w:p>
    <w:p>
      <w:pPr>
        <w:spacing w:after="40"/>
      </w:pPr>
      <w:r>
        <w:rPr>
          <w:rFonts w:ascii="Calibri" w:hAnsi="Calibri"/>
          <w:b/>
          <w:color w:val="3B82F6"/>
          <w:sz w:val="32"/>
        </w:rPr>
        <w:t>42%</w:t>
      </w:r>
      <w:r>
        <w:rPr>
          <w:rFonts w:ascii="Calibri" w:hAnsi="Calibri"/>
          <w:b/>
          <w:sz w:val="22"/>
        </w:rPr>
        <w:t xml:space="preserve">  Admin Tasks as Top Productivity Blocker</w:t>
      </w:r>
    </w:p>
    <w:p>
      <w:pPr>
        <w:spacing w:after="120"/>
      </w:pPr>
      <w:r>
        <w:rPr>
          <w:color w:val="6B7280"/>
          <w:sz w:val="18"/>
        </w:rPr>
        <w:t>Of executives identify administrative tasks as their biggest bottleneck</w:t>
      </w:r>
    </w:p>
    <w:p>
      <w:pPr>
        <w:spacing w:after="40"/>
      </w:pPr>
      <w:r>
        <w:rPr>
          <w:rFonts w:ascii="Calibri" w:hAnsi="Calibri"/>
          <w:b/>
          <w:color w:val="3B82F6"/>
          <w:sz w:val="32"/>
        </w:rPr>
        <w:t>$90K–$160K</w:t>
      </w:r>
      <w:r>
        <w:rPr>
          <w:rFonts w:ascii="Calibri" w:hAnsi="Calibri"/>
          <w:b/>
          <w:sz w:val="22"/>
        </w:rPr>
        <w:t xml:space="preserve">  Annual Cost of a Human EA</w:t>
      </w:r>
    </w:p>
    <w:p>
      <w:pPr>
        <w:spacing w:after="120"/>
      </w:pPr>
      <w:r>
        <w:rPr>
          <w:color w:val="6B7280"/>
          <w:sz w:val="18"/>
        </w:rPr>
        <w:t>SETH replaces this cost center entirely at a fraction of the price</w:t>
      </w:r>
    </w:p>
    <w:p>
      <w:pPr>
        <w:pStyle w:val="Heading3"/>
      </w:pPr>
      <w:r>
        <w:t>Market Gap Identified</w:t>
      </w:r>
    </w:p>
    <w:p>
      <w:r>
        <w:t>The current market bifurcates into two categories: (1) reactive general-purpose chatbots (ChatGPT, Claude, Gemini) that require prompting for every interaction and cannot operate autonomously, and (2) narrow-function tools (Motion for scheduling, Otter for transcription, Fireflies for calls) that solve one problem well but fragment the executive's workflow. No product in market delivers a unified, self-improving, agent-swarm-based executive operating system with knowledge graph memory, immersive environments, and proactive intelligence. SETH occupies this whitespace.</w:t>
      </w:r>
    </w:p>
    <w:p>
      <w:pPr>
        <w:pStyle w:val="Heading1"/>
      </w:pPr>
      <w:r>
        <w:t>3. Feature Architecture</w:t>
      </w:r>
    </w:p>
    <w:p>
      <w:pPr>
        <w:pStyle w:val="Heading2"/>
      </w:pPr>
      <w:r>
        <w:t>3A. Adaptive Agent Swarm (5 Specialists)</w:t>
      </w:r>
    </w:p>
    <w:p>
      <w:r>
        <w:t>SETH deploys five embedded specialist agents, each with distinct domain expertise, coordinated by an adaptive routing engine that scores agents on capability, historical success rate, domain expertise, latency, and recency. The system supports single-agent dispatch, automatic best-match routing, and multi-agent team formation for complex, cross-domain tasks.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fill="0A0F1E"/>
          </w:tcPr>
          <w:p>
            <w:pPr>
              <w:jc w:val="center"/>
            </w:pPr>
            <w:r/>
            <w:r>
              <w:rPr>
                <w:rFonts w:ascii="Calibri" w:hAnsi="Calibri"/>
                <w:b/>
                <w:color w:val="FFFFFF"/>
                <w:sz w:val="19"/>
              </w:rPr>
              <w:t>Agent</w:t>
            </w:r>
          </w:p>
        </w:tc>
        <w:tc>
          <w:tcPr>
            <w:tcW w:type="dxa" w:w="1440"/>
            <w:shd w:fill="0A0F1E"/>
          </w:tcPr>
          <w:p>
            <w:pPr>
              <w:jc w:val="center"/>
            </w:pPr>
            <w:r/>
            <w:r>
              <w:rPr>
                <w:rFonts w:ascii="Calibri" w:hAnsi="Calibri"/>
                <w:b/>
                <w:color w:val="FFFFFF"/>
                <w:sz w:val="19"/>
              </w:rPr>
              <w:t>Codename</w:t>
            </w:r>
          </w:p>
        </w:tc>
        <w:tc>
          <w:tcPr>
            <w:tcW w:type="dxa" w:w="2592"/>
            <w:shd w:fill="0A0F1E"/>
          </w:tcPr>
          <w:p>
            <w:pPr>
              <w:jc w:val="center"/>
            </w:pPr>
            <w:r/>
            <w:r>
              <w:rPr>
                <w:rFonts w:ascii="Calibri" w:hAnsi="Calibri"/>
                <w:b/>
                <w:color w:val="FFFFFF"/>
                <w:sz w:val="19"/>
              </w:rPr>
              <w:t>Domain</w:t>
            </w:r>
          </w:p>
        </w:tc>
        <w:tc>
          <w:tcPr>
            <w:tcW w:type="dxa" w:w="3600"/>
            <w:shd w:fill="0A0F1E"/>
          </w:tcPr>
          <w:p>
            <w:pPr>
              <w:jc w:val="center"/>
            </w:pPr>
            <w:r/>
            <w:r>
              <w:rPr>
                <w:rFonts w:ascii="Calibri" w:hAnsi="Calibri"/>
                <w:b/>
                <w:color w:val="FFFFFF"/>
                <w:sz w:val="19"/>
              </w:rPr>
              <w:t>Primary Functions</w:t>
            </w:r>
          </w:p>
        </w:tc>
      </w:tr>
      <w:tr>
        <w:tc>
          <w:tcPr>
            <w:tcW w:type="dxa" w:w="2016"/>
            <w:shd w:fill="F8FAFC"/>
          </w:tcPr>
          <w:p>
            <w:r/>
            <w:r>
              <w:rPr>
                <w:rFonts w:ascii="Calibri" w:hAnsi="Calibri"/>
                <w:sz w:val="18"/>
              </w:rPr>
              <w:t>Research &amp; Intelligence</w:t>
            </w:r>
          </w:p>
        </w:tc>
        <w:tc>
          <w:tcPr>
            <w:tcW w:type="dxa" w:w="1440"/>
            <w:shd w:fill="F8FAFC"/>
          </w:tcPr>
          <w:p>
            <w:r/>
            <w:r>
              <w:rPr>
                <w:rFonts w:ascii="Calibri" w:hAnsi="Calibri"/>
                <w:sz w:val="18"/>
              </w:rPr>
              <w:t>SENTINEL</w:t>
            </w:r>
          </w:p>
        </w:tc>
        <w:tc>
          <w:tcPr>
            <w:tcW w:type="dxa" w:w="2592"/>
            <w:shd w:fill="F8FAFC"/>
          </w:tcPr>
          <w:p>
            <w:r/>
            <w:r>
              <w:rPr>
                <w:rFonts w:ascii="Calibri" w:hAnsi="Calibri"/>
                <w:sz w:val="18"/>
              </w:rPr>
              <w:t>OSINT, market shifts, competitive intel</w:t>
            </w:r>
          </w:p>
        </w:tc>
        <w:tc>
          <w:tcPr>
            <w:tcW w:type="dxa" w:w="3600"/>
            <w:shd w:fill="F8FAFC"/>
          </w:tcPr>
          <w:p>
            <w:r/>
            <w:r>
              <w:rPr>
                <w:rFonts w:ascii="Calibri" w:hAnsi="Calibri"/>
                <w:sz w:val="18"/>
              </w:rPr>
              <w:t>Deep-web research, trend analysis, intelligence digests</w:t>
            </w:r>
          </w:p>
        </w:tc>
      </w:tr>
      <w:tr>
        <w:tc>
          <w:tcPr>
            <w:tcW w:type="dxa" w:w="2016"/>
            <w:shd w:fill="FFFFFF"/>
          </w:tcPr>
          <w:p>
            <w:r/>
            <w:r>
              <w:rPr>
                <w:rFonts w:ascii="Calibri" w:hAnsi="Calibri"/>
                <w:sz w:val="18"/>
              </w:rPr>
              <w:t>Financial Strategy</w:t>
            </w:r>
          </w:p>
        </w:tc>
        <w:tc>
          <w:tcPr>
            <w:tcW w:type="dxa" w:w="1440"/>
            <w:shd w:fill="FFFFFF"/>
          </w:tcPr>
          <w:p>
            <w:r/>
            <w:r>
              <w:rPr>
                <w:rFonts w:ascii="Calibri" w:hAnsi="Calibri"/>
                <w:sz w:val="18"/>
              </w:rPr>
              <w:t>ARCHITECT</w:t>
            </w:r>
          </w:p>
        </w:tc>
        <w:tc>
          <w:tcPr>
            <w:tcW w:type="dxa" w:w="2592"/>
            <w:shd w:fill="FFFFFF"/>
          </w:tcPr>
          <w:p>
            <w:r/>
            <w:r>
              <w:rPr>
                <w:rFonts w:ascii="Calibri" w:hAnsi="Calibri"/>
                <w:sz w:val="18"/>
              </w:rPr>
              <w:t>Wealth architecture, capital markets</w:t>
            </w:r>
          </w:p>
        </w:tc>
        <w:tc>
          <w:tcPr>
            <w:tcW w:type="dxa" w:w="3600"/>
            <w:shd w:fill="FFFFFF"/>
          </w:tcPr>
          <w:p>
            <w:r/>
            <w:r>
              <w:rPr>
                <w:rFonts w:ascii="Calibri" w:hAnsi="Calibri"/>
                <w:sz w:val="18"/>
              </w:rPr>
              <w:t>Portfolio analysis, deal evaluation, tax strategy</w:t>
            </w:r>
          </w:p>
        </w:tc>
      </w:tr>
      <w:tr>
        <w:tc>
          <w:tcPr>
            <w:tcW w:type="dxa" w:w="2016"/>
            <w:shd w:fill="F8FAFC"/>
          </w:tcPr>
          <w:p>
            <w:r/>
            <w:r>
              <w:rPr>
                <w:rFonts w:ascii="Calibri" w:hAnsi="Calibri"/>
                <w:sz w:val="18"/>
              </w:rPr>
              <w:t>Communications</w:t>
            </w:r>
          </w:p>
        </w:tc>
        <w:tc>
          <w:tcPr>
            <w:tcW w:type="dxa" w:w="1440"/>
            <w:shd w:fill="F8FAFC"/>
          </w:tcPr>
          <w:p>
            <w:r/>
            <w:r>
              <w:rPr>
                <w:rFonts w:ascii="Calibri" w:hAnsi="Calibri"/>
                <w:sz w:val="18"/>
              </w:rPr>
              <w:t>HERALD</w:t>
            </w:r>
          </w:p>
        </w:tc>
        <w:tc>
          <w:tcPr>
            <w:tcW w:type="dxa" w:w="2592"/>
            <w:shd w:fill="F8FAFC"/>
          </w:tcPr>
          <w:p>
            <w:r/>
            <w:r>
              <w:rPr>
                <w:rFonts w:ascii="Calibri" w:hAnsi="Calibri"/>
                <w:sz w:val="18"/>
              </w:rPr>
              <w:t>Persuasion, narrative strategy</w:t>
            </w:r>
          </w:p>
        </w:tc>
        <w:tc>
          <w:tcPr>
            <w:tcW w:type="dxa" w:w="3600"/>
            <w:shd w:fill="F8FAFC"/>
          </w:tcPr>
          <w:p>
            <w:r/>
            <w:r>
              <w:rPr>
                <w:rFonts w:ascii="Calibri" w:hAnsi="Calibri"/>
                <w:sz w:val="18"/>
              </w:rPr>
              <w:t>Executive comms, pitch decks, stakeholder messaging</w:t>
            </w:r>
          </w:p>
        </w:tc>
      </w:tr>
      <w:tr>
        <w:tc>
          <w:tcPr>
            <w:tcW w:type="dxa" w:w="2016"/>
            <w:shd w:fill="FFFFFF"/>
          </w:tcPr>
          <w:p>
            <w:r/>
            <w:r>
              <w:rPr>
                <w:rFonts w:ascii="Calibri" w:hAnsi="Calibri"/>
                <w:sz w:val="18"/>
              </w:rPr>
              <w:t>Operational Security</w:t>
            </w:r>
          </w:p>
        </w:tc>
        <w:tc>
          <w:tcPr>
            <w:tcW w:type="dxa" w:w="1440"/>
            <w:shd w:fill="FFFFFF"/>
          </w:tcPr>
          <w:p>
            <w:r/>
            <w:r>
              <w:rPr>
                <w:rFonts w:ascii="Calibri" w:hAnsi="Calibri"/>
                <w:sz w:val="18"/>
              </w:rPr>
              <w:t>PHANTOM</w:t>
            </w:r>
          </w:p>
        </w:tc>
        <w:tc>
          <w:tcPr>
            <w:tcW w:type="dxa" w:w="2592"/>
            <w:shd w:fill="FFFFFF"/>
          </w:tcPr>
          <w:p>
            <w:r/>
            <w:r>
              <w:rPr>
                <w:rFonts w:ascii="Calibri" w:hAnsi="Calibri"/>
                <w:sz w:val="18"/>
              </w:rPr>
              <w:t>Digital footprint, privacy</w:t>
            </w:r>
          </w:p>
        </w:tc>
        <w:tc>
          <w:tcPr>
            <w:tcW w:type="dxa" w:w="3600"/>
            <w:shd w:fill="FFFFFF"/>
          </w:tcPr>
          <w:p>
            <w:r/>
            <w:r>
              <w:rPr>
                <w:rFonts w:ascii="Calibri" w:hAnsi="Calibri"/>
                <w:sz w:val="18"/>
              </w:rPr>
              <w:t>OPSEC audits, data broker opt-outs, exposure reduction</w:t>
            </w:r>
          </w:p>
        </w:tc>
      </w:tr>
      <w:tr>
        <w:tc>
          <w:tcPr>
            <w:tcW w:type="dxa" w:w="2016"/>
            <w:shd w:fill="F8FAFC"/>
          </w:tcPr>
          <w:p>
            <w:r/>
            <w:r>
              <w:rPr>
                <w:rFonts w:ascii="Calibri" w:hAnsi="Calibri"/>
                <w:sz w:val="18"/>
              </w:rPr>
              <w:t>Brand Strategy</w:t>
            </w:r>
          </w:p>
        </w:tc>
        <w:tc>
          <w:tcPr>
            <w:tcW w:type="dxa" w:w="1440"/>
            <w:shd w:fill="F8FAFC"/>
          </w:tcPr>
          <w:p>
            <w:r/>
            <w:r>
              <w:rPr>
                <w:rFonts w:ascii="Calibri" w:hAnsi="Calibri"/>
                <w:sz w:val="18"/>
              </w:rPr>
              <w:t>VANGUARD</w:t>
            </w:r>
          </w:p>
        </w:tc>
        <w:tc>
          <w:tcPr>
            <w:tcW w:type="dxa" w:w="2592"/>
            <w:shd w:fill="F8FAFC"/>
          </w:tcPr>
          <w:p>
            <w:r/>
            <w:r>
              <w:rPr>
                <w:rFonts w:ascii="Calibri" w:hAnsi="Calibri"/>
                <w:sz w:val="18"/>
              </w:rPr>
              <w:t>Positioning, reputation management</w:t>
            </w:r>
          </w:p>
        </w:tc>
        <w:tc>
          <w:tcPr>
            <w:tcW w:type="dxa" w:w="3600"/>
            <w:shd w:fill="F8FAFC"/>
          </w:tcPr>
          <w:p>
            <w:r/>
            <w:r>
              <w:rPr>
                <w:rFonts w:ascii="Calibri" w:hAnsi="Calibri"/>
                <w:sz w:val="18"/>
              </w:rPr>
              <w:t>Brand audits, competitive positioning, narrative framing</w:t>
            </w:r>
          </w:p>
        </w:tc>
      </w:tr>
    </w:tbl>
    <w:p/>
    <w:p>
      <w:r>
        <w:t>The routing engine learns from every dispatch—recording outcomes and adjusting domain scores—so SETH becomes more accurate at agent selection over time without manual configuration.</w:t>
      </w:r>
    </w:p>
    <w:p>
      <w:pPr>
        <w:pStyle w:val="Heading2"/>
      </w:pPr>
      <w:r>
        <w:t>3B. Cortex Self-Improvement Engine</w:t>
      </w:r>
    </w:p>
    <w:p>
      <w:r>
        <w:t>Cortex is SETH's cognitive backbone—an adaptive learning engine that observes every interaction, detects behavioral patterns, and generates periodic reflections on its own performance. It operates across six interconnected subsystems: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0A0F1E"/>
          </w:tcPr>
          <w:p>
            <w:pPr>
              <w:jc w:val="center"/>
            </w:pPr>
            <w:r/>
            <w:r>
              <w:rPr>
                <w:rFonts w:ascii="Calibri" w:hAnsi="Calibri"/>
                <w:b/>
                <w:color w:val="FFFFFF"/>
                <w:sz w:val="19"/>
              </w:rPr>
              <w:t>Subsystem</w:t>
            </w:r>
          </w:p>
        </w:tc>
        <w:tc>
          <w:tcPr>
            <w:tcW w:type="dxa" w:w="4320"/>
            <w:shd w:fill="0A0F1E"/>
          </w:tcPr>
          <w:p>
            <w:pPr>
              <w:jc w:val="center"/>
            </w:pPr>
            <w:r/>
            <w:r>
              <w:rPr>
                <w:rFonts w:ascii="Calibri" w:hAnsi="Calibri"/>
                <w:b/>
                <w:color w:val="FFFFFF"/>
                <w:sz w:val="19"/>
              </w:rPr>
              <w:t>Function</w:t>
            </w:r>
          </w:p>
        </w:tc>
        <w:tc>
          <w:tcPr>
            <w:tcW w:type="dxa" w:w="3168"/>
            <w:shd w:fill="0A0F1E"/>
          </w:tcPr>
          <w:p>
            <w:pPr>
              <w:jc w:val="center"/>
            </w:pPr>
            <w:r/>
            <w:r>
              <w:rPr>
                <w:rFonts w:ascii="Calibri" w:hAnsi="Calibri"/>
                <w:b/>
                <w:color w:val="FFFFFF"/>
                <w:sz w:val="19"/>
              </w:rPr>
              <w:t>Impact</w:t>
            </w:r>
          </w:p>
        </w:tc>
      </w:tr>
      <w:tr>
        <w:tc>
          <w:tcPr>
            <w:tcW w:type="dxa" w:w="2160"/>
            <w:shd w:fill="F8FAFC"/>
          </w:tcPr>
          <w:p>
            <w:r/>
            <w:r>
              <w:rPr>
                <w:rFonts w:ascii="Calibri" w:hAnsi="Calibri"/>
                <w:sz w:val="18"/>
              </w:rPr>
              <w:t>Observation Layer</w:t>
            </w:r>
          </w:p>
        </w:tc>
        <w:tc>
          <w:tcPr>
            <w:tcW w:type="dxa" w:w="4320"/>
            <w:shd w:fill="F8FAFC"/>
          </w:tcPr>
          <w:p>
            <w:r/>
            <w:r>
              <w:rPr>
                <w:rFonts w:ascii="Calibri" w:hAnsi="Calibri"/>
                <w:sz w:val="18"/>
              </w:rPr>
              <w:t>Records every chat, task completion, agent dispatch, and memory creation as structured telemetry</w:t>
            </w:r>
          </w:p>
        </w:tc>
        <w:tc>
          <w:tcPr>
            <w:tcW w:type="dxa" w:w="3168"/>
            <w:shd w:fill="F8FAFC"/>
          </w:tcPr>
          <w:p>
            <w:r/>
            <w:r>
              <w:rPr>
                <w:rFonts w:ascii="Calibri" w:hAnsi="Calibri"/>
                <w:sz w:val="18"/>
              </w:rPr>
              <w:t>Creates a living audit trail of all executive-system interactions</w:t>
            </w:r>
          </w:p>
        </w:tc>
      </w:tr>
      <w:tr>
        <w:tc>
          <w:tcPr>
            <w:tcW w:type="dxa" w:w="2160"/>
            <w:shd w:fill="FFFFFF"/>
          </w:tcPr>
          <w:p>
            <w:r/>
            <w:r>
              <w:rPr>
                <w:rFonts w:ascii="Calibri" w:hAnsi="Calibri"/>
                <w:sz w:val="18"/>
              </w:rPr>
              <w:t>Pattern Detection</w:t>
            </w:r>
          </w:p>
        </w:tc>
        <w:tc>
          <w:tcPr>
            <w:tcW w:type="dxa" w:w="4320"/>
            <w:shd w:fill="FFFFFF"/>
          </w:tcPr>
          <w:p>
            <w:r/>
            <w:r>
              <w:rPr>
                <w:rFonts w:ascii="Calibri" w:hAnsi="Calibri"/>
                <w:sz w:val="18"/>
              </w:rPr>
              <w:t>LLM-powered analysis of recent observations to identify behavioral patterns and trends</w:t>
            </w:r>
          </w:p>
        </w:tc>
        <w:tc>
          <w:tcPr>
            <w:tcW w:type="dxa" w:w="3168"/>
            <w:shd w:fill="FFFFFF"/>
          </w:tcPr>
          <w:p>
            <w:r/>
            <w:r>
              <w:rPr>
                <w:rFonts w:ascii="Calibri" w:hAnsi="Calibri"/>
                <w:sz w:val="18"/>
              </w:rPr>
              <w:t>Surfaces insights like "User completes financial tasks 3× faster in morning sessions"</w:t>
            </w:r>
          </w:p>
        </w:tc>
      </w:tr>
      <w:tr>
        <w:tc>
          <w:tcPr>
            <w:tcW w:type="dxa" w:w="2160"/>
            <w:shd w:fill="F8FAFC"/>
          </w:tcPr>
          <w:p>
            <w:r/>
            <w:r>
              <w:rPr>
                <w:rFonts w:ascii="Calibri" w:hAnsi="Calibri"/>
                <w:sz w:val="18"/>
              </w:rPr>
              <w:t>Reflections Engine</w:t>
            </w:r>
          </w:p>
        </w:tc>
        <w:tc>
          <w:tcPr>
            <w:tcW w:type="dxa" w:w="4320"/>
            <w:shd w:fill="F8FAFC"/>
          </w:tcPr>
          <w:p>
            <w:r/>
            <w:r>
              <w:rPr>
                <w:rFonts w:ascii="Calibri" w:hAnsi="Calibri"/>
                <w:sz w:val="18"/>
              </w:rPr>
              <w:t>Generates daily/weekly/monthly self-analysis reports with scores, wins, and bottlenecks</w:t>
            </w:r>
          </w:p>
        </w:tc>
        <w:tc>
          <w:tcPr>
            <w:tcW w:type="dxa" w:w="3168"/>
            <w:shd w:fill="F8FAFC"/>
          </w:tcPr>
          <w:p>
            <w:r/>
            <w:r>
              <w:rPr>
                <w:rFonts w:ascii="Calibri" w:hAnsi="Calibri"/>
                <w:sz w:val="18"/>
              </w:rPr>
              <w:t>Provides an executive's personal performance dashboard—for their AI</w:t>
            </w:r>
          </w:p>
        </w:tc>
      </w:tr>
      <w:tr>
        <w:tc>
          <w:tcPr>
            <w:tcW w:type="dxa" w:w="2160"/>
            <w:shd w:fill="FFFFFF"/>
          </w:tcPr>
          <w:p>
            <w:r/>
            <w:r>
              <w:rPr>
                <w:rFonts w:ascii="Calibri" w:hAnsi="Calibri"/>
                <w:sz w:val="18"/>
              </w:rPr>
              <w:t>Contradiction Detection</w:t>
            </w:r>
          </w:p>
        </w:tc>
        <w:tc>
          <w:tcPr>
            <w:tcW w:type="dxa" w:w="4320"/>
            <w:shd w:fill="FFFFFF"/>
          </w:tcPr>
          <w:p>
            <w:r/>
            <w:r>
              <w:rPr>
                <w:rFonts w:ascii="Calibri" w:hAnsi="Calibri"/>
                <w:sz w:val="18"/>
              </w:rPr>
              <w:t>Cross-references memories, decisions, and observations for conflicting signals</w:t>
            </w:r>
          </w:p>
        </w:tc>
        <w:tc>
          <w:tcPr>
            <w:tcW w:type="dxa" w:w="3168"/>
            <w:shd w:fill="FFFFFF"/>
          </w:tcPr>
          <w:p>
            <w:r/>
            <w:r>
              <w:rPr>
                <w:rFonts w:ascii="Calibri" w:hAnsi="Calibri"/>
                <w:sz w:val="18"/>
              </w:rPr>
              <w:t>Alerts when stated goals conflict with actual behavior (e.g., "Prioritizes growth but rejects all expansion deals")</w:t>
            </w:r>
          </w:p>
        </w:tc>
      </w:tr>
      <w:tr>
        <w:tc>
          <w:tcPr>
            <w:tcW w:type="dxa" w:w="2160"/>
            <w:shd w:fill="F8FAFC"/>
          </w:tcPr>
          <w:p>
            <w:r/>
            <w:r>
              <w:rPr>
                <w:rFonts w:ascii="Calibri" w:hAnsi="Calibri"/>
                <w:sz w:val="18"/>
              </w:rPr>
              <w:t>Strategic Drift Analysis</w:t>
            </w:r>
          </w:p>
        </w:tc>
        <w:tc>
          <w:tcPr>
            <w:tcW w:type="dxa" w:w="4320"/>
            <w:shd w:fill="F8FAFC"/>
          </w:tcPr>
          <w:p>
            <w:r/>
            <w:r>
              <w:rPr>
                <w:rFonts w:ascii="Calibri" w:hAnsi="Calibri"/>
                <w:sz w:val="18"/>
              </w:rPr>
              <w:t>Compares stated objectives against recent actions to calculate a drift score</w:t>
            </w:r>
          </w:p>
        </w:tc>
        <w:tc>
          <w:tcPr>
            <w:tcW w:type="dxa" w:w="3168"/>
            <w:shd w:fill="F8FAFC"/>
          </w:tcPr>
          <w:p>
            <w:r/>
            <w:r>
              <w:rPr>
                <w:rFonts w:ascii="Calibri" w:hAnsi="Calibri"/>
                <w:sz w:val="18"/>
              </w:rPr>
              <w:t>Proactive alert: "Your actions are 34% misaligned with stated Q2 objectives"</w:t>
            </w:r>
          </w:p>
        </w:tc>
      </w:tr>
      <w:tr>
        <w:tc>
          <w:tcPr>
            <w:tcW w:type="dxa" w:w="2160"/>
            <w:shd w:fill="FFFFFF"/>
          </w:tcPr>
          <w:p>
            <w:r/>
            <w:r>
              <w:rPr>
                <w:rFonts w:ascii="Calibri" w:hAnsi="Calibri"/>
                <w:sz w:val="18"/>
              </w:rPr>
              <w:t>Cognitive Load Monitor</w:t>
            </w:r>
          </w:p>
        </w:tc>
        <w:tc>
          <w:tcPr>
            <w:tcW w:type="dxa" w:w="4320"/>
            <w:shd w:fill="FFFFFF"/>
          </w:tcPr>
          <w:p>
            <w:r/>
            <w:r>
              <w:rPr>
                <w:rFonts w:ascii="Calibri" w:hAnsi="Calibri"/>
                <w:sz w:val="18"/>
              </w:rPr>
              <w:t>Analyzes activity volume, pending tasks, overdue items, and context-switching frequency</w:t>
            </w:r>
          </w:p>
        </w:tc>
        <w:tc>
          <w:tcPr>
            <w:tcW w:type="dxa" w:w="3168"/>
            <w:shd w:fill="FFFFFF"/>
          </w:tcPr>
          <w:p>
            <w:r/>
            <w:r>
              <w:rPr>
                <w:rFonts w:ascii="Calibri" w:hAnsi="Calibri"/>
                <w:sz w:val="18"/>
              </w:rPr>
              <w:t>Warns when load reaches critical levels; recommends delegation or deferrals</w:t>
            </w:r>
          </w:p>
        </w:tc>
      </w:tr>
    </w:tbl>
    <w:p>
      <w:pPr>
        <w:pStyle w:val="Heading2"/>
      </w:pPr>
      <w:r>
        <w:t>3C. Knowledge Graph &amp; Memory System</w:t>
      </w:r>
    </w:p>
    <w:p>
      <w:r>
        <w:t>SETH maintains a living knowledge graph that automatically extracts entities (people, projects, organizations, concepts) and relationships from every conversation and memory. This graph feeds directly into the chat context pipeline through a zero-LLM-call retrieval system.</w:t>
      </w:r>
    </w:p>
    <w:p>
      <w:r>
        <w:rPr>
          <w:b/>
        </w:rPr>
        <w:t>Memory Architecture:</w:t>
      </w:r>
    </w:p>
    <w:p>
      <w:pPr>
        <w:pStyle w:val="ListBullet"/>
        <w:spacing w:after="60"/>
      </w:pPr>
      <w:r>
        <w:rPr>
          <w:rFonts w:ascii="Calibri" w:hAnsi="Calibri"/>
          <w:b/>
          <w:sz w:val="21"/>
        </w:rPr>
        <w:t xml:space="preserve">Temporal Decay: </w:t>
      </w:r>
      <w:r>
        <w:rPr>
          <w:sz w:val="21"/>
        </w:rPr>
        <w:t>Memories lose strength over time (configurable decay rate) unless reinforced by access. Pinned memories are immune to decay.</w:t>
      </w:r>
    </w:p>
    <w:p>
      <w:pPr>
        <w:pStyle w:val="ListBullet"/>
        <w:spacing w:after="60"/>
      </w:pPr>
      <w:r>
        <w:rPr>
          <w:rFonts w:ascii="Calibri" w:hAnsi="Calibri"/>
          <w:b/>
          <w:sz w:val="21"/>
        </w:rPr>
        <w:t xml:space="preserve">Weighted Retrieval: </w:t>
      </w:r>
      <w:r>
        <w:rPr>
          <w:sz w:val="21"/>
        </w:rPr>
        <w:t>Memories are ranked by effective strength × importance, not just recency—ensuring high-value context surfaces first.</w:t>
      </w:r>
    </w:p>
    <w:p>
      <w:pPr>
        <w:pStyle w:val="ListBullet"/>
        <w:spacing w:after="60"/>
      </w:pPr>
      <w:r>
        <w:rPr>
          <w:rFonts w:ascii="Calibri" w:hAnsi="Calibri"/>
          <w:b/>
          <w:sz w:val="21"/>
        </w:rPr>
        <w:t xml:space="preserve">Graph-Aware Context: </w:t>
      </w:r>
      <w:r>
        <w:rPr>
          <w:sz w:val="21"/>
        </w:rPr>
        <w:t>6-factor composite scoring (relevance 30%, recency 20%, importance 15%, contradiction probability 13%, project linkage 12%, strategic significance 10%) injects the top 15 graph items into every conversation.</w:t>
      </w:r>
    </w:p>
    <w:p>
      <w:pPr>
        <w:pStyle w:val="ListBullet"/>
        <w:spacing w:after="60"/>
      </w:pPr>
      <w:r>
        <w:rPr>
          <w:rFonts w:ascii="Calibri" w:hAnsi="Calibri"/>
          <w:b/>
          <w:sz w:val="21"/>
        </w:rPr>
        <w:t xml:space="preserve">Entity Extraction: </w:t>
      </w:r>
      <w:r>
        <w:rPr>
          <w:sz w:val="21"/>
        </w:rPr>
        <w:t>Automatic extraction of people, projects, organizations, and concepts from all text inputs—building the graph passively.</w:t>
      </w:r>
    </w:p>
    <w:p>
      <w:pPr>
        <w:pStyle w:val="ListBullet"/>
        <w:spacing w:after="60"/>
      </w:pPr>
      <w:r>
        <w:rPr>
          <w:rFonts w:ascii="Calibri" w:hAnsi="Calibri"/>
          <w:b/>
          <w:sz w:val="21"/>
        </w:rPr>
        <w:t xml:space="preserve">Project Linking: </w:t>
      </w:r>
      <w:r>
        <w:rPr>
          <w:sz w:val="21"/>
        </w:rPr>
        <w:t>Auto-detects project mentions and links related entities, memories, tasks, and observations to projects.</w:t>
      </w:r>
    </w:p>
    <w:p>
      <w:pPr>
        <w:pStyle w:val="Heading2"/>
      </w:pPr>
      <w:r>
        <w:t>3D. Immersive Operational Environments</w:t>
      </w:r>
    </w:p>
    <w:p>
      <w:r>
        <w:t>SETH transforms the work interface from static dashboard to living spatial experience. Each module (Chat, Tasks, Calendar, Cortex, etc.) renders within a distinct 360° panoramic environment—a Command Center for chat, a War Room for tasks, an Observatory for Cortex analytics.</w:t>
      </w:r>
    </w:p>
    <w:p>
      <w:pPr>
        <w:pStyle w:val="ListBullet"/>
        <w:spacing w:after="60"/>
      </w:pPr>
      <w:r>
        <w:rPr>
          <w:rFonts w:ascii="Calibri" w:hAnsi="Calibri"/>
          <w:b/>
          <w:sz w:val="21"/>
        </w:rPr>
        <w:t xml:space="preserve">TTS-Reactive Presence: </w:t>
      </w:r>
      <w:r>
        <w:rPr>
          <w:sz w:val="21"/>
        </w:rPr>
        <w:t>When SETH speaks, the environment responds—subtle electric-blue pulse glows and scroll acceleration create a sense of inhabited intelligence.</w:t>
      </w:r>
    </w:p>
    <w:p>
      <w:pPr>
        <w:pStyle w:val="ListBullet"/>
        <w:spacing w:after="60"/>
      </w:pPr>
      <w:r>
        <w:rPr>
          <w:rFonts w:ascii="Calibri" w:hAnsi="Calibri"/>
          <w:b/>
          <w:sz w:val="21"/>
        </w:rPr>
        <w:t xml:space="preserve">Cortex Alert Overlays: </w:t>
      </w:r>
      <w:r>
        <w:rPr>
          <w:sz w:val="21"/>
        </w:rPr>
        <w:t>Contradiction alerts paint red, memory decay triggers amber, new patterns flash blue—environmental awareness without notification fatigue.</w:t>
      </w:r>
    </w:p>
    <w:p>
      <w:pPr>
        <w:pStyle w:val="ListBullet"/>
        <w:spacing w:after="60"/>
      </w:pPr>
      <w:r>
        <w:rPr>
          <w:rFonts w:ascii="Calibri" w:hAnsi="Calibri"/>
          <w:b/>
          <w:sz w:val="21"/>
        </w:rPr>
        <w:t xml:space="preserve">Decision-Thread Environments: </w:t>
      </w:r>
      <w:r>
        <w:rPr>
          <w:sz w:val="21"/>
        </w:rPr>
        <w:t>Each conversation gets its own lazily-generated panorama after 3+ messages, creating a spatial anchor for complex decision-making contexts.</w:t>
      </w:r>
    </w:p>
    <w:p>
      <w:pPr>
        <w:pStyle w:val="ListBullet"/>
        <w:spacing w:after="60"/>
      </w:pPr>
      <w:r>
        <w:rPr>
          <w:rFonts w:ascii="Calibri" w:hAnsi="Calibri"/>
          <w:b/>
          <w:sz w:val="21"/>
        </w:rPr>
        <w:t xml:space="preserve">Performance Optimized: </w:t>
      </w:r>
      <w:r>
        <w:rPr>
          <w:sz w:val="21"/>
        </w:rPr>
        <w:t>Respects prefers-reduced-motion, pauses on hidden tabs, with graceful fallbacks.</w:t>
      </w:r>
    </w:p>
    <w:p>
      <w:pPr>
        <w:pStyle w:val="Heading2"/>
      </w:pPr>
      <w:r>
        <w:t>3E. Voice Control &amp; Wake Word</w:t>
      </w:r>
    </w:p>
    <w:p>
      <w:r>
        <w:t>SETH supports hands-free operation via the "Seth" wake word with Web Speech API integration and ElevenLabs TTS for natural voice synthesis. The interface includes compact pill toggles for voice controls and an animated "Seth Listening" indicator—designed for executives who operate across contexts (driving, walking, in meetings) where screen interaction is impractical.</w:t>
      </w:r>
    </w:p>
    <w:p>
      <w:pPr>
        <w:pStyle w:val="Heading2"/>
      </w:pPr>
      <w:r>
        <w:t>3F. Complete Module Map</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fill="0A0F1E"/>
          </w:tcPr>
          <w:p>
            <w:pPr>
              <w:jc w:val="center"/>
            </w:pPr>
            <w:r/>
            <w:r>
              <w:rPr>
                <w:rFonts w:ascii="Calibri" w:hAnsi="Calibri"/>
                <w:b/>
                <w:color w:val="FFFFFF"/>
                <w:sz w:val="19"/>
              </w:rPr>
              <w:t>Module</w:t>
            </w:r>
          </w:p>
        </w:tc>
        <w:tc>
          <w:tcPr>
            <w:tcW w:type="dxa" w:w="1440"/>
            <w:shd w:fill="0A0F1E"/>
          </w:tcPr>
          <w:p>
            <w:pPr>
              <w:jc w:val="center"/>
            </w:pPr>
            <w:r/>
            <w:r>
              <w:rPr>
                <w:rFonts w:ascii="Calibri" w:hAnsi="Calibri"/>
                <w:b/>
                <w:color w:val="FFFFFF"/>
                <w:sz w:val="19"/>
              </w:rPr>
              <w:t>Section</w:t>
            </w:r>
          </w:p>
        </w:tc>
        <w:tc>
          <w:tcPr>
            <w:tcW w:type="dxa" w:w="6480"/>
            <w:shd w:fill="0A0F1E"/>
          </w:tcPr>
          <w:p>
            <w:pPr>
              <w:jc w:val="center"/>
            </w:pPr>
            <w:r/>
            <w:r>
              <w:rPr>
                <w:rFonts w:ascii="Calibri" w:hAnsi="Calibri"/>
                <w:b/>
                <w:color w:val="FFFFFF"/>
                <w:sz w:val="19"/>
              </w:rPr>
              <w:t>Capabilities</w:t>
            </w:r>
          </w:p>
        </w:tc>
      </w:tr>
      <w:tr>
        <w:tc>
          <w:tcPr>
            <w:tcW w:type="dxa" w:w="1728"/>
            <w:shd w:fill="F8FAFC"/>
          </w:tcPr>
          <w:p>
            <w:r/>
            <w:r>
              <w:rPr>
                <w:rFonts w:ascii="Calibri" w:hAnsi="Calibri"/>
                <w:sz w:val="18"/>
              </w:rPr>
              <w:t>Chat</w:t>
            </w:r>
          </w:p>
        </w:tc>
        <w:tc>
          <w:tcPr>
            <w:tcW w:type="dxa" w:w="1440"/>
            <w:shd w:fill="F8FAFC"/>
          </w:tcPr>
          <w:p>
            <w:r/>
            <w:r>
              <w:rPr>
                <w:rFonts w:ascii="Calibri" w:hAnsi="Calibri"/>
                <w:sz w:val="18"/>
              </w:rPr>
              <w:t>Core</w:t>
            </w:r>
          </w:p>
        </w:tc>
        <w:tc>
          <w:tcPr>
            <w:tcW w:type="dxa" w:w="6480"/>
            <w:shd w:fill="F8FAFC"/>
          </w:tcPr>
          <w:p>
            <w:r/>
            <w:r>
              <w:rPr>
                <w:rFonts w:ascii="Calibri" w:hAnsi="Calibri"/>
                <w:sz w:val="18"/>
              </w:rPr>
              <w:t>Streaming AI conversation, tool execution, agent delegation, knowledge-graph-enriched context, voice I/O</w:t>
            </w:r>
          </w:p>
        </w:tc>
      </w:tr>
      <w:tr>
        <w:tc>
          <w:tcPr>
            <w:tcW w:type="dxa" w:w="1728"/>
            <w:shd w:fill="FFFFFF"/>
          </w:tcPr>
          <w:p>
            <w:r/>
            <w:r>
              <w:rPr>
                <w:rFonts w:ascii="Calibri" w:hAnsi="Calibri"/>
                <w:sz w:val="18"/>
              </w:rPr>
              <w:t>Tasks</w:t>
            </w:r>
          </w:p>
        </w:tc>
        <w:tc>
          <w:tcPr>
            <w:tcW w:type="dxa" w:w="1440"/>
            <w:shd w:fill="FFFFFF"/>
          </w:tcPr>
          <w:p>
            <w:r/>
            <w:r>
              <w:rPr>
                <w:rFonts w:ascii="Calibri" w:hAnsi="Calibri"/>
                <w:sz w:val="18"/>
              </w:rPr>
              <w:t>Core</w:t>
            </w:r>
          </w:p>
        </w:tc>
        <w:tc>
          <w:tcPr>
            <w:tcW w:type="dxa" w:w="6480"/>
            <w:shd w:fill="FFFFFF"/>
          </w:tcPr>
          <w:p>
            <w:r/>
            <w:r>
              <w:rPr>
                <w:rFonts w:ascii="Calibri" w:hAnsi="Calibri"/>
                <w:sz w:val="18"/>
              </w:rPr>
              <w:t>Task CRUD, priority management, auto-execution with approval workflows (Level 2-3 confirmation), archival system</w:t>
            </w:r>
          </w:p>
        </w:tc>
      </w:tr>
      <w:tr>
        <w:tc>
          <w:tcPr>
            <w:tcW w:type="dxa" w:w="1728"/>
            <w:shd w:fill="F8FAFC"/>
          </w:tcPr>
          <w:p>
            <w:r/>
            <w:r>
              <w:rPr>
                <w:rFonts w:ascii="Calibri" w:hAnsi="Calibri"/>
                <w:sz w:val="18"/>
              </w:rPr>
              <w:t>Memories</w:t>
            </w:r>
          </w:p>
        </w:tc>
        <w:tc>
          <w:tcPr>
            <w:tcW w:type="dxa" w:w="1440"/>
            <w:shd w:fill="F8FAFC"/>
          </w:tcPr>
          <w:p>
            <w:r/>
            <w:r>
              <w:rPr>
                <w:rFonts w:ascii="Calibri" w:hAnsi="Calibri"/>
                <w:sz w:val="18"/>
              </w:rPr>
              <w:t>Core</w:t>
            </w:r>
          </w:p>
        </w:tc>
        <w:tc>
          <w:tcPr>
            <w:tcW w:type="dxa" w:w="6480"/>
            <w:shd w:fill="F8FAFC"/>
          </w:tcPr>
          <w:p>
            <w:r/>
            <w:r>
              <w:rPr>
                <w:rFonts w:ascii="Calibri" w:hAnsi="Calibri"/>
                <w:sz w:val="18"/>
              </w:rPr>
              <w:t>Context/decision/preference/note storage with decay, reinforcement, weighted retrieval, and consolidation</w:t>
            </w:r>
          </w:p>
        </w:tc>
      </w:tr>
      <w:tr>
        <w:tc>
          <w:tcPr>
            <w:tcW w:type="dxa" w:w="1728"/>
            <w:shd w:fill="FFFFFF"/>
          </w:tcPr>
          <w:p>
            <w:r/>
            <w:r>
              <w:rPr>
                <w:rFonts w:ascii="Calibri" w:hAnsi="Calibri"/>
                <w:sz w:val="18"/>
              </w:rPr>
              <w:t>Watches</w:t>
            </w:r>
          </w:p>
        </w:tc>
        <w:tc>
          <w:tcPr>
            <w:tcW w:type="dxa" w:w="1440"/>
            <w:shd w:fill="FFFFFF"/>
          </w:tcPr>
          <w:p>
            <w:r/>
            <w:r>
              <w:rPr>
                <w:rFonts w:ascii="Calibri" w:hAnsi="Calibri"/>
                <w:sz w:val="18"/>
              </w:rPr>
              <w:t>Intelligence</w:t>
            </w:r>
          </w:p>
        </w:tc>
        <w:tc>
          <w:tcPr>
            <w:tcW w:type="dxa" w:w="6480"/>
            <w:shd w:fill="FFFFFF"/>
          </w:tcPr>
          <w:p>
            <w:r/>
            <w:r>
              <w:rPr>
                <w:rFonts w:ascii="Calibri" w:hAnsi="Calibri"/>
                <w:sz w:val="18"/>
              </w:rPr>
              <w:t>Configurable intelligence monitors for tracking topics, markets, or entities with automated scanning</w:t>
            </w:r>
          </w:p>
        </w:tc>
      </w:tr>
      <w:tr>
        <w:tc>
          <w:tcPr>
            <w:tcW w:type="dxa" w:w="1728"/>
            <w:shd w:fill="F8FAFC"/>
          </w:tcPr>
          <w:p>
            <w:r/>
            <w:r>
              <w:rPr>
                <w:rFonts w:ascii="Calibri" w:hAnsi="Calibri"/>
                <w:sz w:val="18"/>
              </w:rPr>
              <w:t>Agents</w:t>
            </w:r>
          </w:p>
        </w:tc>
        <w:tc>
          <w:tcPr>
            <w:tcW w:type="dxa" w:w="1440"/>
            <w:shd w:fill="F8FAFC"/>
          </w:tcPr>
          <w:p>
            <w:r/>
            <w:r>
              <w:rPr>
                <w:rFonts w:ascii="Calibri" w:hAnsi="Calibri"/>
                <w:sz w:val="18"/>
              </w:rPr>
              <w:t>Intelligence</w:t>
            </w:r>
          </w:p>
        </w:tc>
        <w:tc>
          <w:tcPr>
            <w:tcW w:type="dxa" w:w="6480"/>
            <w:shd w:fill="F8FAFC"/>
          </w:tcPr>
          <w:p>
            <w:r/>
            <w:r>
              <w:rPr>
                <w:rFonts w:ascii="Calibri" w:hAnsi="Calibri"/>
                <w:sz w:val="18"/>
              </w:rPr>
              <w:t>Agent management, dispatch monitoring, performance analytics, domain score tracking</w:t>
            </w:r>
          </w:p>
        </w:tc>
      </w:tr>
      <w:tr>
        <w:tc>
          <w:tcPr>
            <w:tcW w:type="dxa" w:w="1728"/>
            <w:shd w:fill="FFFFFF"/>
          </w:tcPr>
          <w:p>
            <w:r/>
            <w:r>
              <w:rPr>
                <w:rFonts w:ascii="Calibri" w:hAnsi="Calibri"/>
                <w:sz w:val="18"/>
              </w:rPr>
              <w:t>Brand</w:t>
            </w:r>
          </w:p>
        </w:tc>
        <w:tc>
          <w:tcPr>
            <w:tcW w:type="dxa" w:w="1440"/>
            <w:shd w:fill="FFFFFF"/>
          </w:tcPr>
          <w:p>
            <w:r/>
            <w:r>
              <w:rPr>
                <w:rFonts w:ascii="Calibri" w:hAnsi="Calibri"/>
                <w:sz w:val="18"/>
              </w:rPr>
              <w:t>Intelligence</w:t>
            </w:r>
          </w:p>
        </w:tc>
        <w:tc>
          <w:tcPr>
            <w:tcW w:type="dxa" w:w="6480"/>
            <w:shd w:fill="FFFFFF"/>
          </w:tcPr>
          <w:p>
            <w:r/>
            <w:r>
              <w:rPr>
                <w:rFonts w:ascii="Calibri" w:hAnsi="Calibri"/>
                <w:sz w:val="18"/>
              </w:rPr>
              <w:t>Brand auditing, competitive positioning analysis, narrative strategy with VANGUARD agent</w:t>
            </w:r>
          </w:p>
        </w:tc>
      </w:tr>
      <w:tr>
        <w:tc>
          <w:tcPr>
            <w:tcW w:type="dxa" w:w="1728"/>
            <w:shd w:fill="F8FAFC"/>
          </w:tcPr>
          <w:p>
            <w:r/>
            <w:r>
              <w:rPr>
                <w:rFonts w:ascii="Calibri" w:hAnsi="Calibri"/>
                <w:sz w:val="18"/>
              </w:rPr>
              <w:t>Automations</w:t>
            </w:r>
          </w:p>
        </w:tc>
        <w:tc>
          <w:tcPr>
            <w:tcW w:type="dxa" w:w="1440"/>
            <w:shd w:fill="F8FAFC"/>
          </w:tcPr>
          <w:p>
            <w:r/>
            <w:r>
              <w:rPr>
                <w:rFonts w:ascii="Calibri" w:hAnsi="Calibri"/>
                <w:sz w:val="18"/>
              </w:rPr>
              <w:t>Tools</w:t>
            </w:r>
          </w:p>
        </w:tc>
        <w:tc>
          <w:tcPr>
            <w:tcW w:type="dxa" w:w="6480"/>
            <w:shd w:fill="F8FAFC"/>
          </w:tcPr>
          <w:p>
            <w:r/>
            <w:r>
              <w:rPr>
                <w:rFonts w:ascii="Calibri" w:hAnsi="Calibri"/>
                <w:sz w:val="18"/>
              </w:rPr>
              <w:t>Workflow automation configuration and management</w:t>
            </w:r>
          </w:p>
        </w:tc>
      </w:tr>
      <w:tr>
        <w:tc>
          <w:tcPr>
            <w:tcW w:type="dxa" w:w="1728"/>
            <w:shd w:fill="FFFFFF"/>
          </w:tcPr>
          <w:p>
            <w:r/>
            <w:r>
              <w:rPr>
                <w:rFonts w:ascii="Calibri" w:hAnsi="Calibri"/>
                <w:sz w:val="18"/>
              </w:rPr>
              <w:t>Environments</w:t>
            </w:r>
          </w:p>
        </w:tc>
        <w:tc>
          <w:tcPr>
            <w:tcW w:type="dxa" w:w="1440"/>
            <w:shd w:fill="FFFFFF"/>
          </w:tcPr>
          <w:p>
            <w:r/>
            <w:r>
              <w:rPr>
                <w:rFonts w:ascii="Calibri" w:hAnsi="Calibri"/>
                <w:sz w:val="18"/>
              </w:rPr>
              <w:t>Tools</w:t>
            </w:r>
          </w:p>
        </w:tc>
        <w:tc>
          <w:tcPr>
            <w:tcW w:type="dxa" w:w="6480"/>
            <w:shd w:fill="FFFFFF"/>
          </w:tcPr>
          <w:p>
            <w:r/>
            <w:r>
              <w:rPr>
                <w:rFonts w:ascii="Calibri" w:hAnsi="Calibri"/>
                <w:sz w:val="18"/>
              </w:rPr>
              <w:t>360° skybox generation and management with Blockade Labs integration</w:t>
            </w:r>
          </w:p>
        </w:tc>
      </w:tr>
      <w:tr>
        <w:tc>
          <w:tcPr>
            <w:tcW w:type="dxa" w:w="1728"/>
            <w:shd w:fill="F8FAFC"/>
          </w:tcPr>
          <w:p>
            <w:r/>
            <w:r>
              <w:rPr>
                <w:rFonts w:ascii="Calibri" w:hAnsi="Calibri"/>
                <w:sz w:val="18"/>
              </w:rPr>
              <w:t>Calendar</w:t>
            </w:r>
          </w:p>
        </w:tc>
        <w:tc>
          <w:tcPr>
            <w:tcW w:type="dxa" w:w="1440"/>
            <w:shd w:fill="F8FAFC"/>
          </w:tcPr>
          <w:p>
            <w:r/>
            <w:r>
              <w:rPr>
                <w:rFonts w:ascii="Calibri" w:hAnsi="Calibri"/>
                <w:sz w:val="18"/>
              </w:rPr>
              <w:t>Tools</w:t>
            </w:r>
          </w:p>
        </w:tc>
        <w:tc>
          <w:tcPr>
            <w:tcW w:type="dxa" w:w="6480"/>
            <w:shd w:fill="F8FAFC"/>
          </w:tcPr>
          <w:p>
            <w:r/>
            <w:r>
              <w:rPr>
                <w:rFonts w:ascii="Calibri" w:hAnsi="Calibri"/>
                <w:sz w:val="18"/>
              </w:rPr>
              <w:t>Schedule management and event tracking</w:t>
            </w:r>
          </w:p>
        </w:tc>
      </w:tr>
      <w:tr>
        <w:tc>
          <w:tcPr>
            <w:tcW w:type="dxa" w:w="1728"/>
            <w:shd w:fill="FFFFFF"/>
          </w:tcPr>
          <w:p>
            <w:r/>
            <w:r>
              <w:rPr>
                <w:rFonts w:ascii="Calibri" w:hAnsi="Calibri"/>
                <w:sz w:val="18"/>
              </w:rPr>
              <w:t>Email</w:t>
            </w:r>
          </w:p>
        </w:tc>
        <w:tc>
          <w:tcPr>
            <w:tcW w:type="dxa" w:w="1440"/>
            <w:shd w:fill="FFFFFF"/>
          </w:tcPr>
          <w:p>
            <w:r/>
            <w:r>
              <w:rPr>
                <w:rFonts w:ascii="Calibri" w:hAnsi="Calibri"/>
                <w:sz w:val="18"/>
              </w:rPr>
              <w:t>Tools</w:t>
            </w:r>
          </w:p>
        </w:tc>
        <w:tc>
          <w:tcPr>
            <w:tcW w:type="dxa" w:w="6480"/>
            <w:shd w:fill="FFFFFF"/>
          </w:tcPr>
          <w:p>
            <w:r/>
            <w:r>
              <w:rPr>
                <w:rFonts w:ascii="Calibri" w:hAnsi="Calibri"/>
                <w:sz w:val="18"/>
              </w:rPr>
              <w:t>Email composition and management</w:t>
            </w:r>
          </w:p>
        </w:tc>
      </w:tr>
      <w:tr>
        <w:tc>
          <w:tcPr>
            <w:tcW w:type="dxa" w:w="1728"/>
            <w:shd w:fill="F8FAFC"/>
          </w:tcPr>
          <w:p>
            <w:r/>
            <w:r>
              <w:rPr>
                <w:rFonts w:ascii="Calibri" w:hAnsi="Calibri"/>
                <w:sz w:val="18"/>
              </w:rPr>
              <w:t>Cortex</w:t>
            </w:r>
          </w:p>
        </w:tc>
        <w:tc>
          <w:tcPr>
            <w:tcW w:type="dxa" w:w="1440"/>
            <w:shd w:fill="F8FAFC"/>
          </w:tcPr>
          <w:p>
            <w:r/>
            <w:r>
              <w:rPr>
                <w:rFonts w:ascii="Calibri" w:hAnsi="Calibri"/>
                <w:sz w:val="18"/>
              </w:rPr>
              <w:t>System</w:t>
            </w:r>
          </w:p>
        </w:tc>
        <w:tc>
          <w:tcPr>
            <w:tcW w:type="dxa" w:w="6480"/>
            <w:shd w:fill="F8FAFC"/>
          </w:tcPr>
          <w:p>
            <w:r/>
            <w:r>
              <w:rPr>
                <w:rFonts w:ascii="Calibri" w:hAnsi="Calibri"/>
                <w:sz w:val="18"/>
              </w:rPr>
              <w:t>7-tab analytics dashboard: Overview, Patterns, Reflections, Contradictions, Relationships, Insights, Agent Routing</w:t>
            </w:r>
          </w:p>
        </w:tc>
      </w:tr>
      <w:tr>
        <w:tc>
          <w:tcPr>
            <w:tcW w:type="dxa" w:w="1728"/>
            <w:shd w:fill="FFFFFF"/>
          </w:tcPr>
          <w:p>
            <w:r/>
            <w:r>
              <w:rPr>
                <w:rFonts w:ascii="Calibri" w:hAnsi="Calibri"/>
                <w:sz w:val="18"/>
              </w:rPr>
              <w:t>System</w:t>
            </w:r>
          </w:p>
        </w:tc>
        <w:tc>
          <w:tcPr>
            <w:tcW w:type="dxa" w:w="1440"/>
            <w:shd w:fill="FFFFFF"/>
          </w:tcPr>
          <w:p>
            <w:r/>
            <w:r>
              <w:rPr>
                <w:rFonts w:ascii="Calibri" w:hAnsi="Calibri"/>
                <w:sz w:val="18"/>
              </w:rPr>
              <w:t>System</w:t>
            </w:r>
          </w:p>
        </w:tc>
        <w:tc>
          <w:tcPr>
            <w:tcW w:type="dxa" w:w="6480"/>
            <w:shd w:fill="FFFFFF"/>
          </w:tcPr>
          <w:p>
            <w:r/>
            <w:r>
              <w:rPr>
                <w:rFonts w:ascii="Calibri" w:hAnsi="Calibri"/>
                <w:sz w:val="18"/>
              </w:rPr>
              <w:t>System health statistics and monitoring</w:t>
            </w:r>
          </w:p>
        </w:tc>
      </w:tr>
      <w:tr>
        <w:tc>
          <w:tcPr>
            <w:tcW w:type="dxa" w:w="1728"/>
            <w:shd w:fill="F8FAFC"/>
          </w:tcPr>
          <w:p>
            <w:r/>
            <w:r>
              <w:rPr>
                <w:rFonts w:ascii="Calibri" w:hAnsi="Calibri"/>
                <w:sz w:val="18"/>
              </w:rPr>
              <w:t>Settings</w:t>
            </w:r>
          </w:p>
        </w:tc>
        <w:tc>
          <w:tcPr>
            <w:tcW w:type="dxa" w:w="1440"/>
            <w:shd w:fill="F8FAFC"/>
          </w:tcPr>
          <w:p>
            <w:r/>
            <w:r>
              <w:rPr>
                <w:rFonts w:ascii="Calibri" w:hAnsi="Calibri"/>
                <w:sz w:val="18"/>
              </w:rPr>
              <w:t>System</w:t>
            </w:r>
          </w:p>
        </w:tc>
        <w:tc>
          <w:tcPr>
            <w:tcW w:type="dxa" w:w="6480"/>
            <w:shd w:fill="F8FAFC"/>
          </w:tcPr>
          <w:p>
            <w:r/>
            <w:r>
              <w:rPr>
                <w:rFonts w:ascii="Calibri" w:hAnsi="Calibri"/>
                <w:sz w:val="18"/>
              </w:rPr>
              <w:t>Environment toggles, preference management, reduced-motion controls</w:t>
            </w:r>
          </w:p>
        </w:tc>
      </w:tr>
      <w:tr>
        <w:tc>
          <w:tcPr>
            <w:tcW w:type="dxa" w:w="1728"/>
            <w:shd w:fill="FFFFFF"/>
          </w:tcPr>
          <w:p>
            <w:r/>
            <w:r>
              <w:rPr>
                <w:rFonts w:ascii="Calibri" w:hAnsi="Calibri"/>
                <w:sz w:val="18"/>
              </w:rPr>
              <w:t>Profile</w:t>
            </w:r>
          </w:p>
        </w:tc>
        <w:tc>
          <w:tcPr>
            <w:tcW w:type="dxa" w:w="1440"/>
            <w:shd w:fill="FFFFFF"/>
          </w:tcPr>
          <w:p>
            <w:r/>
            <w:r>
              <w:rPr>
                <w:rFonts w:ascii="Calibri" w:hAnsi="Calibri"/>
                <w:sz w:val="18"/>
              </w:rPr>
              <w:t>System</w:t>
            </w:r>
          </w:p>
        </w:tc>
        <w:tc>
          <w:tcPr>
            <w:tcW w:type="dxa" w:w="6480"/>
            <w:shd w:fill="FFFFFF"/>
          </w:tcPr>
          <w:p>
            <w:r/>
            <w:r>
              <w:rPr>
                <w:rFonts w:ascii="Calibri" w:hAnsi="Calibri"/>
                <w:sz w:val="18"/>
              </w:rPr>
              <w:t>User objectives, preferences, and working style configuration</w:t>
            </w:r>
          </w:p>
        </w:tc>
      </w:tr>
    </w:tbl>
    <w:p>
      <w:pPr>
        <w:pStyle w:val="Heading1"/>
      </w:pPr>
      <w:r>
        <w:t>4. Competitive Landscape</w:t>
      </w:r>
    </w:p>
    <w:p>
      <w:pPr>
        <w:pStyle w:val="Heading2"/>
      </w:pPr>
      <w:r>
        <w:t>4A. Direct Competitor Matrix</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2304"/>
            <w:shd w:fill="0A0F1E"/>
          </w:tcPr>
          <w:p>
            <w:pPr>
              <w:jc w:val="center"/>
            </w:pPr>
            <w:r/>
            <w:r>
              <w:rPr>
                <w:rFonts w:ascii="Calibri" w:hAnsi="Calibri"/>
                <w:b/>
                <w:color w:val="FFFFFF"/>
                <w:sz w:val="19"/>
              </w:rPr>
              <w:t>Capability</w:t>
            </w:r>
          </w:p>
        </w:tc>
        <w:tc>
          <w:tcPr>
            <w:tcW w:type="dxa" w:w="1296"/>
            <w:shd w:fill="0A0F1E"/>
          </w:tcPr>
          <w:p>
            <w:pPr>
              <w:jc w:val="center"/>
            </w:pPr>
            <w:r/>
            <w:r>
              <w:rPr>
                <w:rFonts w:ascii="Calibri" w:hAnsi="Calibri"/>
                <w:b/>
                <w:color w:val="FFFFFF"/>
                <w:sz w:val="19"/>
              </w:rPr>
              <w:t>SETH</w:t>
            </w:r>
          </w:p>
        </w:tc>
        <w:tc>
          <w:tcPr>
            <w:tcW w:type="dxa" w:w="1584"/>
            <w:shd w:fill="0A0F1E"/>
          </w:tcPr>
          <w:p>
            <w:pPr>
              <w:jc w:val="center"/>
            </w:pPr>
            <w:r/>
            <w:r>
              <w:rPr>
                <w:rFonts w:ascii="Calibri" w:hAnsi="Calibri"/>
                <w:b/>
                <w:color w:val="FFFFFF"/>
                <w:sz w:val="19"/>
              </w:rPr>
              <w:t>ChatGPT / Claude</w:t>
            </w:r>
          </w:p>
        </w:tc>
        <w:tc>
          <w:tcPr>
            <w:tcW w:type="dxa" w:w="1224"/>
            <w:shd w:fill="0A0F1E"/>
          </w:tcPr>
          <w:p>
            <w:pPr>
              <w:jc w:val="center"/>
            </w:pPr>
            <w:r/>
            <w:r>
              <w:rPr>
                <w:rFonts w:ascii="Calibri" w:hAnsi="Calibri"/>
                <w:b/>
                <w:color w:val="FFFFFF"/>
                <w:sz w:val="19"/>
              </w:rPr>
              <w:t>alfred_</w:t>
            </w:r>
          </w:p>
        </w:tc>
        <w:tc>
          <w:tcPr>
            <w:tcW w:type="dxa" w:w="1224"/>
            <w:shd w:fill="0A0F1E"/>
          </w:tcPr>
          <w:p>
            <w:pPr>
              <w:jc w:val="center"/>
            </w:pPr>
            <w:r/>
            <w:r>
              <w:rPr>
                <w:rFonts w:ascii="Calibri" w:hAnsi="Calibri"/>
                <w:b/>
                <w:color w:val="FFFFFF"/>
                <w:sz w:val="19"/>
              </w:rPr>
              <w:t>Lindy AI</w:t>
            </w:r>
          </w:p>
        </w:tc>
        <w:tc>
          <w:tcPr>
            <w:tcW w:type="dxa" w:w="1080"/>
            <w:shd w:fill="0A0F1E"/>
          </w:tcPr>
          <w:p>
            <w:pPr>
              <w:jc w:val="center"/>
            </w:pPr>
            <w:r/>
            <w:r>
              <w:rPr>
                <w:rFonts w:ascii="Calibri" w:hAnsi="Calibri"/>
                <w:b/>
                <w:color w:val="FFFFFF"/>
                <w:sz w:val="19"/>
              </w:rPr>
              <w:t>Motion</w:t>
            </w:r>
          </w:p>
        </w:tc>
        <w:tc>
          <w:tcPr>
            <w:tcW w:type="dxa" w:w="1224"/>
            <w:shd w:fill="0A0F1E"/>
          </w:tcPr>
          <w:p>
            <w:pPr>
              <w:jc w:val="center"/>
            </w:pPr>
            <w:r/>
            <w:r>
              <w:rPr>
                <w:rFonts w:ascii="Calibri" w:hAnsi="Calibri"/>
                <w:b/>
                <w:color w:val="FFFFFF"/>
                <w:sz w:val="19"/>
              </w:rPr>
              <w:t>Sai (Simular)</w:t>
            </w:r>
          </w:p>
        </w:tc>
      </w:tr>
      <w:tr>
        <w:tc>
          <w:tcPr>
            <w:tcW w:type="dxa" w:w="2304"/>
            <w:shd w:fill="F8FAFC"/>
          </w:tcPr>
          <w:p>
            <w:r/>
            <w:r>
              <w:rPr>
                <w:rFonts w:ascii="Calibri" w:hAnsi="Calibri"/>
                <w:sz w:val="18"/>
              </w:rPr>
              <w:t>Agent Swarm (Multi-Specialist)</w:t>
            </w:r>
          </w:p>
        </w:tc>
        <w:tc>
          <w:tcPr>
            <w:tcW w:type="dxa" w:w="1296"/>
            <w:shd w:fill="F8FAFC"/>
          </w:tcPr>
          <w:p>
            <w:r/>
            <w:r>
              <w:rPr>
                <w:rFonts w:ascii="Calibri" w:hAnsi="Calibri"/>
                <w:sz w:val="18"/>
              </w:rPr>
              <w:t>✓ 5 specialists</w:t>
            </w:r>
          </w:p>
        </w:tc>
        <w:tc>
          <w:tcPr>
            <w:tcW w:type="dxa" w:w="1584"/>
            <w:shd w:fill="F8FAFC"/>
          </w:tcPr>
          <w:p>
            <w:r/>
            <w:r>
              <w:rPr>
                <w:rFonts w:ascii="Calibri" w:hAnsi="Calibri"/>
                <w:sz w:val="18"/>
              </w:rPr>
              <w:t>✗</w:t>
            </w:r>
          </w:p>
        </w:tc>
        <w:tc>
          <w:tcPr>
            <w:tcW w:type="dxa" w:w="1224"/>
            <w:shd w:fill="F8FAFC"/>
          </w:tcPr>
          <w:p>
            <w:r/>
            <w:r>
              <w:rPr>
                <w:rFonts w:ascii="Calibri" w:hAnsi="Calibri"/>
                <w:sz w:val="18"/>
              </w:rPr>
              <w:t>✗</w:t>
            </w:r>
          </w:p>
        </w:tc>
        <w:tc>
          <w:tcPr>
            <w:tcW w:type="dxa" w:w="1224"/>
            <w:shd w:fill="F8FAFC"/>
          </w:tcPr>
          <w:p>
            <w:r/>
            <w:r>
              <w:rPr>
                <w:rFonts w:ascii="Calibri" w:hAnsi="Calibri"/>
                <w:sz w:val="18"/>
              </w:rPr>
              <w:t>✓ Custom agents</w:t>
            </w:r>
          </w:p>
        </w:tc>
        <w:tc>
          <w:tcPr>
            <w:tcW w:type="dxa" w:w="1080"/>
            <w:shd w:fill="F8FAFC"/>
          </w:tcPr>
          <w:p>
            <w:r/>
            <w:r>
              <w:rPr>
                <w:rFonts w:ascii="Calibri" w:hAnsi="Calibri"/>
                <w:sz w:val="18"/>
              </w:rPr>
              <w:t>✗</w:t>
            </w:r>
          </w:p>
        </w:tc>
        <w:tc>
          <w:tcPr>
            <w:tcW w:type="dxa" w:w="1224"/>
            <w:shd w:fill="F8FAFC"/>
          </w:tcPr>
          <w:p>
            <w:r/>
            <w:r>
              <w:rPr>
                <w:rFonts w:ascii="Calibri" w:hAnsi="Calibri"/>
                <w:sz w:val="18"/>
              </w:rPr>
              <w:t>✗</w:t>
            </w:r>
          </w:p>
        </w:tc>
      </w:tr>
      <w:tr>
        <w:tc>
          <w:tcPr>
            <w:tcW w:type="dxa" w:w="2304"/>
            <w:shd w:fill="FFFFFF"/>
          </w:tcPr>
          <w:p>
            <w:r/>
            <w:r>
              <w:rPr>
                <w:rFonts w:ascii="Calibri" w:hAnsi="Calibri"/>
                <w:sz w:val="18"/>
              </w:rPr>
              <w:t>Adaptive Routing Engine</w:t>
            </w:r>
          </w:p>
        </w:tc>
        <w:tc>
          <w:tcPr>
            <w:tcW w:type="dxa" w:w="1296"/>
            <w:shd w:fill="FFFFFF"/>
          </w:tcPr>
          <w:p>
            <w:r/>
            <w:r>
              <w:rPr>
                <w:rFonts w:ascii="Calibri" w:hAnsi="Calibri"/>
                <w:sz w:val="18"/>
              </w:rPr>
              <w:t>✓ ML-scored</w:t>
            </w:r>
          </w:p>
        </w:tc>
        <w:tc>
          <w:tcPr>
            <w:tcW w:type="dxa" w:w="1584"/>
            <w:shd w:fill="FFFFFF"/>
          </w:tcPr>
          <w:p>
            <w:r/>
            <w:r>
              <w:rPr>
                <w:rFonts w:ascii="Calibri" w:hAnsi="Calibri"/>
                <w:sz w:val="18"/>
              </w:rPr>
              <w:t>✗</w:t>
            </w:r>
          </w:p>
        </w:tc>
        <w:tc>
          <w:tcPr>
            <w:tcW w:type="dxa" w:w="1224"/>
            <w:shd w:fill="FFFFFF"/>
          </w:tcPr>
          <w:p>
            <w:r/>
            <w:r>
              <w:rPr>
                <w:rFonts w:ascii="Calibri" w:hAnsi="Calibri"/>
                <w:sz w:val="18"/>
              </w:rPr>
              <w:t>✗</w:t>
            </w:r>
          </w:p>
        </w:tc>
        <w:tc>
          <w:tcPr>
            <w:tcW w:type="dxa" w:w="1224"/>
            <w:shd w:fill="FFFFFF"/>
          </w:tcPr>
          <w:p>
            <w:r/>
            <w:r>
              <w:rPr>
                <w:rFonts w:ascii="Calibri" w:hAnsi="Calibri"/>
                <w:sz w:val="18"/>
              </w:rPr>
              <w:t>✗</w:t>
            </w:r>
          </w:p>
        </w:tc>
        <w:tc>
          <w:tcPr>
            <w:tcW w:type="dxa" w:w="1080"/>
            <w:shd w:fill="FFFFFF"/>
          </w:tcPr>
          <w:p>
            <w:r/>
            <w:r>
              <w:rPr>
                <w:rFonts w:ascii="Calibri" w:hAnsi="Calibri"/>
                <w:sz w:val="18"/>
              </w:rPr>
              <w:t>✗</w:t>
            </w:r>
          </w:p>
        </w:tc>
        <w:tc>
          <w:tcPr>
            <w:tcW w:type="dxa" w:w="1224"/>
            <w:shd w:fill="FFFFFF"/>
          </w:tcPr>
          <w:p>
            <w:r/>
            <w:r>
              <w:rPr>
                <w:rFonts w:ascii="Calibri" w:hAnsi="Calibri"/>
                <w:sz w:val="18"/>
              </w:rPr>
              <w:t>✗</w:t>
            </w:r>
          </w:p>
        </w:tc>
      </w:tr>
      <w:tr>
        <w:tc>
          <w:tcPr>
            <w:tcW w:type="dxa" w:w="2304"/>
            <w:shd w:fill="F8FAFC"/>
          </w:tcPr>
          <w:p>
            <w:r/>
            <w:r>
              <w:rPr>
                <w:rFonts w:ascii="Calibri" w:hAnsi="Calibri"/>
                <w:sz w:val="18"/>
              </w:rPr>
              <w:t>Self-Improving (Cortex)</w:t>
            </w:r>
          </w:p>
        </w:tc>
        <w:tc>
          <w:tcPr>
            <w:tcW w:type="dxa" w:w="1296"/>
            <w:shd w:fill="F8FAFC"/>
          </w:tcPr>
          <w:p>
            <w:r/>
            <w:r>
              <w:rPr>
                <w:rFonts w:ascii="Calibri" w:hAnsi="Calibri"/>
                <w:sz w:val="18"/>
              </w:rPr>
              <w:t>✓ Full engine</w:t>
            </w:r>
          </w:p>
        </w:tc>
        <w:tc>
          <w:tcPr>
            <w:tcW w:type="dxa" w:w="1584"/>
            <w:shd w:fill="F8FAFC"/>
          </w:tcPr>
          <w:p>
            <w:r/>
            <w:r>
              <w:rPr>
                <w:rFonts w:ascii="Calibri" w:hAnsi="Calibri"/>
                <w:sz w:val="18"/>
              </w:rPr>
              <w:t>✗</w:t>
            </w:r>
          </w:p>
        </w:tc>
        <w:tc>
          <w:tcPr>
            <w:tcW w:type="dxa" w:w="1224"/>
            <w:shd w:fill="F8FAFC"/>
          </w:tcPr>
          <w:p>
            <w:r/>
            <w:r>
              <w:rPr>
                <w:rFonts w:ascii="Calibri" w:hAnsi="Calibri"/>
                <w:sz w:val="18"/>
              </w:rPr>
              <w:t>✗</w:t>
            </w:r>
          </w:p>
        </w:tc>
        <w:tc>
          <w:tcPr>
            <w:tcW w:type="dxa" w:w="1224"/>
            <w:shd w:fill="F8FAFC"/>
          </w:tcPr>
          <w:p>
            <w:r/>
            <w:r>
              <w:rPr>
                <w:rFonts w:ascii="Calibri" w:hAnsi="Calibri"/>
                <w:sz w:val="18"/>
              </w:rPr>
              <w:t>✗</w:t>
            </w:r>
          </w:p>
        </w:tc>
        <w:tc>
          <w:tcPr>
            <w:tcW w:type="dxa" w:w="1080"/>
            <w:shd w:fill="F8FAFC"/>
          </w:tcPr>
          <w:p>
            <w:r/>
            <w:r>
              <w:rPr>
                <w:rFonts w:ascii="Calibri" w:hAnsi="Calibri"/>
                <w:sz w:val="18"/>
              </w:rPr>
              <w:t>✗</w:t>
            </w:r>
          </w:p>
        </w:tc>
        <w:tc>
          <w:tcPr>
            <w:tcW w:type="dxa" w:w="1224"/>
            <w:shd w:fill="F8FAFC"/>
          </w:tcPr>
          <w:p>
            <w:r/>
            <w:r>
              <w:rPr>
                <w:rFonts w:ascii="Calibri" w:hAnsi="Calibri"/>
                <w:sz w:val="18"/>
              </w:rPr>
              <w:t>✗</w:t>
            </w:r>
          </w:p>
        </w:tc>
      </w:tr>
      <w:tr>
        <w:tc>
          <w:tcPr>
            <w:tcW w:type="dxa" w:w="2304"/>
            <w:shd w:fill="FFFFFF"/>
          </w:tcPr>
          <w:p>
            <w:r/>
            <w:r>
              <w:rPr>
                <w:rFonts w:ascii="Calibri" w:hAnsi="Calibri"/>
                <w:sz w:val="18"/>
              </w:rPr>
              <w:t>Knowledge Graph</w:t>
            </w:r>
          </w:p>
        </w:tc>
        <w:tc>
          <w:tcPr>
            <w:tcW w:type="dxa" w:w="1296"/>
            <w:shd w:fill="FFFFFF"/>
          </w:tcPr>
          <w:p>
            <w:r/>
            <w:r>
              <w:rPr>
                <w:rFonts w:ascii="Calibri" w:hAnsi="Calibri"/>
                <w:sz w:val="18"/>
              </w:rPr>
              <w:t>✓ Auto-built</w:t>
            </w:r>
          </w:p>
        </w:tc>
        <w:tc>
          <w:tcPr>
            <w:tcW w:type="dxa" w:w="1584"/>
            <w:shd w:fill="FFFFFF"/>
          </w:tcPr>
          <w:p>
            <w:r/>
            <w:r>
              <w:rPr>
                <w:rFonts w:ascii="Calibri" w:hAnsi="Calibri"/>
                <w:sz w:val="18"/>
              </w:rPr>
              <w:t>✗</w:t>
            </w:r>
          </w:p>
        </w:tc>
        <w:tc>
          <w:tcPr>
            <w:tcW w:type="dxa" w:w="1224"/>
            <w:shd w:fill="FFFFFF"/>
          </w:tcPr>
          <w:p>
            <w:r/>
            <w:r>
              <w:rPr>
                <w:rFonts w:ascii="Calibri" w:hAnsi="Calibri"/>
                <w:sz w:val="18"/>
              </w:rPr>
              <w:t>✗</w:t>
            </w:r>
          </w:p>
        </w:tc>
        <w:tc>
          <w:tcPr>
            <w:tcW w:type="dxa" w:w="1224"/>
            <w:shd w:fill="FFFFFF"/>
          </w:tcPr>
          <w:p>
            <w:r/>
            <w:r>
              <w:rPr>
                <w:rFonts w:ascii="Calibri" w:hAnsi="Calibri"/>
                <w:sz w:val="18"/>
              </w:rPr>
              <w:t>✗</w:t>
            </w:r>
          </w:p>
        </w:tc>
        <w:tc>
          <w:tcPr>
            <w:tcW w:type="dxa" w:w="1080"/>
            <w:shd w:fill="FFFFFF"/>
          </w:tcPr>
          <w:p>
            <w:r/>
            <w:r>
              <w:rPr>
                <w:rFonts w:ascii="Calibri" w:hAnsi="Calibri"/>
                <w:sz w:val="18"/>
              </w:rPr>
              <w:t>✗</w:t>
            </w:r>
          </w:p>
        </w:tc>
        <w:tc>
          <w:tcPr>
            <w:tcW w:type="dxa" w:w="1224"/>
            <w:shd w:fill="FFFFFF"/>
          </w:tcPr>
          <w:p>
            <w:r/>
            <w:r>
              <w:rPr>
                <w:rFonts w:ascii="Calibri" w:hAnsi="Calibri"/>
                <w:sz w:val="18"/>
              </w:rPr>
              <w:t>✗</w:t>
            </w:r>
          </w:p>
        </w:tc>
      </w:tr>
      <w:tr>
        <w:tc>
          <w:tcPr>
            <w:tcW w:type="dxa" w:w="2304"/>
            <w:shd w:fill="F8FAFC"/>
          </w:tcPr>
          <w:p>
            <w:r/>
            <w:r>
              <w:rPr>
                <w:rFonts w:ascii="Calibri" w:hAnsi="Calibri"/>
                <w:sz w:val="18"/>
              </w:rPr>
              <w:t>Memory with Decay</w:t>
            </w:r>
          </w:p>
        </w:tc>
        <w:tc>
          <w:tcPr>
            <w:tcW w:type="dxa" w:w="1296"/>
            <w:shd w:fill="F8FAFC"/>
          </w:tcPr>
          <w:p>
            <w:r/>
            <w:r>
              <w:rPr>
                <w:rFonts w:ascii="Calibri" w:hAnsi="Calibri"/>
                <w:sz w:val="18"/>
              </w:rPr>
              <w:t>✓ Weighted</w:t>
            </w:r>
          </w:p>
        </w:tc>
        <w:tc>
          <w:tcPr>
            <w:tcW w:type="dxa" w:w="1584"/>
            <w:shd w:fill="F8FAFC"/>
          </w:tcPr>
          <w:p>
            <w:r/>
            <w:r>
              <w:rPr>
                <w:rFonts w:ascii="Calibri" w:hAnsi="Calibri"/>
                <w:sz w:val="18"/>
              </w:rPr>
              <w:t>Basic context</w:t>
            </w:r>
          </w:p>
        </w:tc>
        <w:tc>
          <w:tcPr>
            <w:tcW w:type="dxa" w:w="1224"/>
            <w:shd w:fill="F8FAFC"/>
          </w:tcPr>
          <w:p>
            <w:r/>
            <w:r>
              <w:rPr>
                <w:rFonts w:ascii="Calibri" w:hAnsi="Calibri"/>
                <w:sz w:val="18"/>
              </w:rPr>
              <w:t>✓ Learns prefs</w:t>
            </w:r>
          </w:p>
        </w:tc>
        <w:tc>
          <w:tcPr>
            <w:tcW w:type="dxa" w:w="1224"/>
            <w:shd w:fill="F8FAFC"/>
          </w:tcPr>
          <w:p>
            <w:r/>
            <w:r>
              <w:rPr>
                <w:rFonts w:ascii="Calibri" w:hAnsi="Calibri"/>
                <w:sz w:val="18"/>
              </w:rPr>
              <w:t>✓ Memory</w:t>
            </w:r>
          </w:p>
        </w:tc>
        <w:tc>
          <w:tcPr>
            <w:tcW w:type="dxa" w:w="1080"/>
            <w:shd w:fill="F8FAFC"/>
          </w:tcPr>
          <w:p>
            <w:r/>
            <w:r>
              <w:rPr>
                <w:rFonts w:ascii="Calibri" w:hAnsi="Calibri"/>
                <w:sz w:val="18"/>
              </w:rPr>
              <w:t>✗</w:t>
            </w:r>
          </w:p>
        </w:tc>
        <w:tc>
          <w:tcPr>
            <w:tcW w:type="dxa" w:w="1224"/>
            <w:shd w:fill="F8FAFC"/>
          </w:tcPr>
          <w:p>
            <w:r/>
            <w:r>
              <w:rPr>
                <w:rFonts w:ascii="Calibri" w:hAnsi="Calibri"/>
                <w:sz w:val="18"/>
              </w:rPr>
              <w:t>✗</w:t>
            </w:r>
          </w:p>
        </w:tc>
      </w:tr>
      <w:tr>
        <w:tc>
          <w:tcPr>
            <w:tcW w:type="dxa" w:w="2304"/>
            <w:shd w:fill="FFFFFF"/>
          </w:tcPr>
          <w:p>
            <w:r/>
            <w:r>
              <w:rPr>
                <w:rFonts w:ascii="Calibri" w:hAnsi="Calibri"/>
                <w:sz w:val="18"/>
              </w:rPr>
              <w:t>Contradiction Detection</w:t>
            </w:r>
          </w:p>
        </w:tc>
        <w:tc>
          <w:tcPr>
            <w:tcW w:type="dxa" w:w="1296"/>
            <w:shd w:fill="FFFFFF"/>
          </w:tcPr>
          <w:p>
            <w:r/>
            <w:r>
              <w:rPr>
                <w:rFonts w:ascii="Calibri" w:hAnsi="Calibri"/>
                <w:sz w:val="18"/>
              </w:rPr>
              <w:t>✓</w:t>
            </w:r>
          </w:p>
        </w:tc>
        <w:tc>
          <w:tcPr>
            <w:tcW w:type="dxa" w:w="1584"/>
            <w:shd w:fill="FFFFFF"/>
          </w:tcPr>
          <w:p>
            <w:r/>
            <w:r>
              <w:rPr>
                <w:rFonts w:ascii="Calibri" w:hAnsi="Calibri"/>
                <w:sz w:val="18"/>
              </w:rPr>
              <w:t>✗</w:t>
            </w:r>
          </w:p>
        </w:tc>
        <w:tc>
          <w:tcPr>
            <w:tcW w:type="dxa" w:w="1224"/>
            <w:shd w:fill="FFFFFF"/>
          </w:tcPr>
          <w:p>
            <w:r/>
            <w:r>
              <w:rPr>
                <w:rFonts w:ascii="Calibri" w:hAnsi="Calibri"/>
                <w:sz w:val="18"/>
              </w:rPr>
              <w:t>✗</w:t>
            </w:r>
          </w:p>
        </w:tc>
        <w:tc>
          <w:tcPr>
            <w:tcW w:type="dxa" w:w="1224"/>
            <w:shd w:fill="FFFFFF"/>
          </w:tcPr>
          <w:p>
            <w:r/>
            <w:r>
              <w:rPr>
                <w:rFonts w:ascii="Calibri" w:hAnsi="Calibri"/>
                <w:sz w:val="18"/>
              </w:rPr>
              <w:t>✗</w:t>
            </w:r>
          </w:p>
        </w:tc>
        <w:tc>
          <w:tcPr>
            <w:tcW w:type="dxa" w:w="1080"/>
            <w:shd w:fill="FFFFFF"/>
          </w:tcPr>
          <w:p>
            <w:r/>
            <w:r>
              <w:rPr>
                <w:rFonts w:ascii="Calibri" w:hAnsi="Calibri"/>
                <w:sz w:val="18"/>
              </w:rPr>
              <w:t>✗</w:t>
            </w:r>
          </w:p>
        </w:tc>
        <w:tc>
          <w:tcPr>
            <w:tcW w:type="dxa" w:w="1224"/>
            <w:shd w:fill="FFFFFF"/>
          </w:tcPr>
          <w:p>
            <w:r/>
            <w:r>
              <w:rPr>
                <w:rFonts w:ascii="Calibri" w:hAnsi="Calibri"/>
                <w:sz w:val="18"/>
              </w:rPr>
              <w:t>✗</w:t>
            </w:r>
          </w:p>
        </w:tc>
      </w:tr>
      <w:tr>
        <w:tc>
          <w:tcPr>
            <w:tcW w:type="dxa" w:w="2304"/>
            <w:shd w:fill="F8FAFC"/>
          </w:tcPr>
          <w:p>
            <w:r/>
            <w:r>
              <w:rPr>
                <w:rFonts w:ascii="Calibri" w:hAnsi="Calibri"/>
                <w:sz w:val="18"/>
              </w:rPr>
              <w:t>Strategic Drift Analysis</w:t>
            </w:r>
          </w:p>
        </w:tc>
        <w:tc>
          <w:tcPr>
            <w:tcW w:type="dxa" w:w="1296"/>
            <w:shd w:fill="F8FAFC"/>
          </w:tcPr>
          <w:p>
            <w:r/>
            <w:r>
              <w:rPr>
                <w:rFonts w:ascii="Calibri" w:hAnsi="Calibri"/>
                <w:sz w:val="18"/>
              </w:rPr>
              <w:t>✓</w:t>
            </w:r>
          </w:p>
        </w:tc>
        <w:tc>
          <w:tcPr>
            <w:tcW w:type="dxa" w:w="1584"/>
            <w:shd w:fill="F8FAFC"/>
          </w:tcPr>
          <w:p>
            <w:r/>
            <w:r>
              <w:rPr>
                <w:rFonts w:ascii="Calibri" w:hAnsi="Calibri"/>
                <w:sz w:val="18"/>
              </w:rPr>
              <w:t>✗</w:t>
            </w:r>
          </w:p>
        </w:tc>
        <w:tc>
          <w:tcPr>
            <w:tcW w:type="dxa" w:w="1224"/>
            <w:shd w:fill="F8FAFC"/>
          </w:tcPr>
          <w:p>
            <w:r/>
            <w:r>
              <w:rPr>
                <w:rFonts w:ascii="Calibri" w:hAnsi="Calibri"/>
                <w:sz w:val="18"/>
              </w:rPr>
              <w:t>✗</w:t>
            </w:r>
          </w:p>
        </w:tc>
        <w:tc>
          <w:tcPr>
            <w:tcW w:type="dxa" w:w="1224"/>
            <w:shd w:fill="F8FAFC"/>
          </w:tcPr>
          <w:p>
            <w:r/>
            <w:r>
              <w:rPr>
                <w:rFonts w:ascii="Calibri" w:hAnsi="Calibri"/>
                <w:sz w:val="18"/>
              </w:rPr>
              <w:t>✗</w:t>
            </w:r>
          </w:p>
        </w:tc>
        <w:tc>
          <w:tcPr>
            <w:tcW w:type="dxa" w:w="1080"/>
            <w:shd w:fill="F8FAFC"/>
          </w:tcPr>
          <w:p>
            <w:r/>
            <w:r>
              <w:rPr>
                <w:rFonts w:ascii="Calibri" w:hAnsi="Calibri"/>
                <w:sz w:val="18"/>
              </w:rPr>
              <w:t>✗</w:t>
            </w:r>
          </w:p>
        </w:tc>
        <w:tc>
          <w:tcPr>
            <w:tcW w:type="dxa" w:w="1224"/>
            <w:shd w:fill="F8FAFC"/>
          </w:tcPr>
          <w:p>
            <w:r/>
            <w:r>
              <w:rPr>
                <w:rFonts w:ascii="Calibri" w:hAnsi="Calibri"/>
                <w:sz w:val="18"/>
              </w:rPr>
              <w:t>✗</w:t>
            </w:r>
          </w:p>
        </w:tc>
      </w:tr>
      <w:tr>
        <w:tc>
          <w:tcPr>
            <w:tcW w:type="dxa" w:w="2304"/>
            <w:shd w:fill="FFFFFF"/>
          </w:tcPr>
          <w:p>
            <w:r/>
            <w:r>
              <w:rPr>
                <w:rFonts w:ascii="Calibri" w:hAnsi="Calibri"/>
                <w:sz w:val="18"/>
              </w:rPr>
              <w:t>Cognitive Load Monitor</w:t>
            </w:r>
          </w:p>
        </w:tc>
        <w:tc>
          <w:tcPr>
            <w:tcW w:type="dxa" w:w="1296"/>
            <w:shd w:fill="FFFFFF"/>
          </w:tcPr>
          <w:p>
            <w:r/>
            <w:r>
              <w:rPr>
                <w:rFonts w:ascii="Calibri" w:hAnsi="Calibri"/>
                <w:sz w:val="18"/>
              </w:rPr>
              <w:t>✓</w:t>
            </w:r>
          </w:p>
        </w:tc>
        <w:tc>
          <w:tcPr>
            <w:tcW w:type="dxa" w:w="1584"/>
            <w:shd w:fill="FFFFFF"/>
          </w:tcPr>
          <w:p>
            <w:r/>
            <w:r>
              <w:rPr>
                <w:rFonts w:ascii="Calibri" w:hAnsi="Calibri"/>
                <w:sz w:val="18"/>
              </w:rPr>
              <w:t>✗</w:t>
            </w:r>
          </w:p>
        </w:tc>
        <w:tc>
          <w:tcPr>
            <w:tcW w:type="dxa" w:w="1224"/>
            <w:shd w:fill="FFFFFF"/>
          </w:tcPr>
          <w:p>
            <w:r/>
            <w:r>
              <w:rPr>
                <w:rFonts w:ascii="Calibri" w:hAnsi="Calibri"/>
                <w:sz w:val="18"/>
              </w:rPr>
              <w:t>✗</w:t>
            </w:r>
          </w:p>
        </w:tc>
        <w:tc>
          <w:tcPr>
            <w:tcW w:type="dxa" w:w="1224"/>
            <w:shd w:fill="FFFFFF"/>
          </w:tcPr>
          <w:p>
            <w:r/>
            <w:r>
              <w:rPr>
                <w:rFonts w:ascii="Calibri" w:hAnsi="Calibri"/>
                <w:sz w:val="18"/>
              </w:rPr>
              <w:t>✗</w:t>
            </w:r>
          </w:p>
        </w:tc>
        <w:tc>
          <w:tcPr>
            <w:tcW w:type="dxa" w:w="1080"/>
            <w:shd w:fill="FFFFFF"/>
          </w:tcPr>
          <w:p>
            <w:r/>
            <w:r>
              <w:rPr>
                <w:rFonts w:ascii="Calibri" w:hAnsi="Calibri"/>
                <w:sz w:val="18"/>
              </w:rPr>
              <w:t>✗</w:t>
            </w:r>
          </w:p>
        </w:tc>
        <w:tc>
          <w:tcPr>
            <w:tcW w:type="dxa" w:w="1224"/>
            <w:shd w:fill="FFFFFF"/>
          </w:tcPr>
          <w:p>
            <w:r/>
            <w:r>
              <w:rPr>
                <w:rFonts w:ascii="Calibri" w:hAnsi="Calibri"/>
                <w:sz w:val="18"/>
              </w:rPr>
              <w:t>✗</w:t>
            </w:r>
          </w:p>
        </w:tc>
      </w:tr>
      <w:tr>
        <w:tc>
          <w:tcPr>
            <w:tcW w:type="dxa" w:w="2304"/>
            <w:shd w:fill="F8FAFC"/>
          </w:tcPr>
          <w:p>
            <w:r/>
            <w:r>
              <w:rPr>
                <w:rFonts w:ascii="Calibri" w:hAnsi="Calibri"/>
                <w:sz w:val="18"/>
              </w:rPr>
              <w:t>Immersive Environments</w:t>
            </w:r>
          </w:p>
        </w:tc>
        <w:tc>
          <w:tcPr>
            <w:tcW w:type="dxa" w:w="1296"/>
            <w:shd w:fill="F8FAFC"/>
          </w:tcPr>
          <w:p>
            <w:r/>
            <w:r>
              <w:rPr>
                <w:rFonts w:ascii="Calibri" w:hAnsi="Calibri"/>
                <w:sz w:val="18"/>
              </w:rPr>
              <w:t>✓ 360° reactive</w:t>
            </w:r>
          </w:p>
        </w:tc>
        <w:tc>
          <w:tcPr>
            <w:tcW w:type="dxa" w:w="1584"/>
            <w:shd w:fill="F8FAFC"/>
          </w:tcPr>
          <w:p>
            <w:r/>
            <w:r>
              <w:rPr>
                <w:rFonts w:ascii="Calibri" w:hAnsi="Calibri"/>
                <w:sz w:val="18"/>
              </w:rPr>
              <w:t>✗</w:t>
            </w:r>
          </w:p>
        </w:tc>
        <w:tc>
          <w:tcPr>
            <w:tcW w:type="dxa" w:w="1224"/>
            <w:shd w:fill="F8FAFC"/>
          </w:tcPr>
          <w:p>
            <w:r/>
            <w:r>
              <w:rPr>
                <w:rFonts w:ascii="Calibri" w:hAnsi="Calibri"/>
                <w:sz w:val="18"/>
              </w:rPr>
              <w:t>✗</w:t>
            </w:r>
          </w:p>
        </w:tc>
        <w:tc>
          <w:tcPr>
            <w:tcW w:type="dxa" w:w="1224"/>
            <w:shd w:fill="F8FAFC"/>
          </w:tcPr>
          <w:p>
            <w:r/>
            <w:r>
              <w:rPr>
                <w:rFonts w:ascii="Calibri" w:hAnsi="Calibri"/>
                <w:sz w:val="18"/>
              </w:rPr>
              <w:t>✗</w:t>
            </w:r>
          </w:p>
        </w:tc>
        <w:tc>
          <w:tcPr>
            <w:tcW w:type="dxa" w:w="1080"/>
            <w:shd w:fill="F8FAFC"/>
          </w:tcPr>
          <w:p>
            <w:r/>
            <w:r>
              <w:rPr>
                <w:rFonts w:ascii="Calibri" w:hAnsi="Calibri"/>
                <w:sz w:val="18"/>
              </w:rPr>
              <w:t>✗</w:t>
            </w:r>
          </w:p>
        </w:tc>
        <w:tc>
          <w:tcPr>
            <w:tcW w:type="dxa" w:w="1224"/>
            <w:shd w:fill="F8FAFC"/>
          </w:tcPr>
          <w:p>
            <w:r/>
            <w:r>
              <w:rPr>
                <w:rFonts w:ascii="Calibri" w:hAnsi="Calibri"/>
                <w:sz w:val="18"/>
              </w:rPr>
              <w:t>✗</w:t>
            </w:r>
          </w:p>
        </w:tc>
      </w:tr>
      <w:tr>
        <w:tc>
          <w:tcPr>
            <w:tcW w:type="dxa" w:w="2304"/>
            <w:shd w:fill="FFFFFF"/>
          </w:tcPr>
          <w:p>
            <w:r/>
            <w:r>
              <w:rPr>
                <w:rFonts w:ascii="Calibri" w:hAnsi="Calibri"/>
                <w:sz w:val="18"/>
              </w:rPr>
              <w:t>Voice + Wake Word</w:t>
            </w:r>
          </w:p>
        </w:tc>
        <w:tc>
          <w:tcPr>
            <w:tcW w:type="dxa" w:w="1296"/>
            <w:shd w:fill="FFFFFF"/>
          </w:tcPr>
          <w:p>
            <w:r/>
            <w:r>
              <w:rPr>
                <w:rFonts w:ascii="Calibri" w:hAnsi="Calibri"/>
                <w:sz w:val="18"/>
              </w:rPr>
              <w:t>✓ "Seth"</w:t>
            </w:r>
          </w:p>
        </w:tc>
        <w:tc>
          <w:tcPr>
            <w:tcW w:type="dxa" w:w="1584"/>
            <w:shd w:fill="FFFFFF"/>
          </w:tcPr>
          <w:p>
            <w:r/>
            <w:r>
              <w:rPr>
                <w:rFonts w:ascii="Calibri" w:hAnsi="Calibri"/>
                <w:sz w:val="18"/>
              </w:rPr>
              <w:t>✓ Voice mode</w:t>
            </w:r>
          </w:p>
        </w:tc>
        <w:tc>
          <w:tcPr>
            <w:tcW w:type="dxa" w:w="1224"/>
            <w:shd w:fill="FFFFFF"/>
          </w:tcPr>
          <w:p>
            <w:r/>
            <w:r>
              <w:rPr>
                <w:rFonts w:ascii="Calibri" w:hAnsi="Calibri"/>
                <w:sz w:val="18"/>
              </w:rPr>
              <w:t>✗</w:t>
            </w:r>
          </w:p>
        </w:tc>
        <w:tc>
          <w:tcPr>
            <w:tcW w:type="dxa" w:w="1224"/>
            <w:shd w:fill="FFFFFF"/>
          </w:tcPr>
          <w:p>
            <w:r/>
            <w:r>
              <w:rPr>
                <w:rFonts w:ascii="Calibri" w:hAnsi="Calibri"/>
                <w:sz w:val="18"/>
              </w:rPr>
              <w:t>✗</w:t>
            </w:r>
          </w:p>
        </w:tc>
        <w:tc>
          <w:tcPr>
            <w:tcW w:type="dxa" w:w="1080"/>
            <w:shd w:fill="FFFFFF"/>
          </w:tcPr>
          <w:p>
            <w:r/>
            <w:r>
              <w:rPr>
                <w:rFonts w:ascii="Calibri" w:hAnsi="Calibri"/>
                <w:sz w:val="18"/>
              </w:rPr>
              <w:t>✗</w:t>
            </w:r>
          </w:p>
        </w:tc>
        <w:tc>
          <w:tcPr>
            <w:tcW w:type="dxa" w:w="1224"/>
            <w:shd w:fill="FFFFFF"/>
          </w:tcPr>
          <w:p>
            <w:r/>
            <w:r>
              <w:rPr>
                <w:rFonts w:ascii="Calibri" w:hAnsi="Calibri"/>
                <w:sz w:val="18"/>
              </w:rPr>
              <w:t>✗</w:t>
            </w:r>
          </w:p>
        </w:tc>
      </w:tr>
      <w:tr>
        <w:tc>
          <w:tcPr>
            <w:tcW w:type="dxa" w:w="2304"/>
            <w:shd w:fill="F8FAFC"/>
          </w:tcPr>
          <w:p>
            <w:r/>
            <w:r>
              <w:rPr>
                <w:rFonts w:ascii="Calibri" w:hAnsi="Calibri"/>
                <w:sz w:val="18"/>
              </w:rPr>
              <w:t>PWA (Mobile Install)</w:t>
            </w:r>
          </w:p>
        </w:tc>
        <w:tc>
          <w:tcPr>
            <w:tcW w:type="dxa" w:w="1296"/>
            <w:shd w:fill="F8FAFC"/>
          </w:tcPr>
          <w:p>
            <w:r/>
            <w:r>
              <w:rPr>
                <w:rFonts w:ascii="Calibri" w:hAnsi="Calibri"/>
                <w:sz w:val="18"/>
              </w:rPr>
              <w:t>✓</w:t>
            </w:r>
          </w:p>
        </w:tc>
        <w:tc>
          <w:tcPr>
            <w:tcW w:type="dxa" w:w="1584"/>
            <w:shd w:fill="F8FAFC"/>
          </w:tcPr>
          <w:p>
            <w:r/>
            <w:r>
              <w:rPr>
                <w:rFonts w:ascii="Calibri" w:hAnsi="Calibri"/>
                <w:sz w:val="18"/>
              </w:rPr>
              <w:t>✓ (native app)</w:t>
            </w:r>
          </w:p>
        </w:tc>
        <w:tc>
          <w:tcPr>
            <w:tcW w:type="dxa" w:w="1224"/>
            <w:shd w:fill="F8FAFC"/>
          </w:tcPr>
          <w:p>
            <w:r/>
            <w:r>
              <w:rPr>
                <w:rFonts w:ascii="Calibri" w:hAnsi="Calibri"/>
                <w:sz w:val="18"/>
              </w:rPr>
              <w:t>✗</w:t>
            </w:r>
          </w:p>
        </w:tc>
        <w:tc>
          <w:tcPr>
            <w:tcW w:type="dxa" w:w="1224"/>
            <w:shd w:fill="F8FAFC"/>
          </w:tcPr>
          <w:p>
            <w:r/>
            <w:r>
              <w:rPr>
                <w:rFonts w:ascii="Calibri" w:hAnsi="Calibri"/>
                <w:sz w:val="18"/>
              </w:rPr>
              <w:t>✗</w:t>
            </w:r>
          </w:p>
        </w:tc>
        <w:tc>
          <w:tcPr>
            <w:tcW w:type="dxa" w:w="1080"/>
            <w:shd w:fill="F8FAFC"/>
          </w:tcPr>
          <w:p>
            <w:r/>
            <w:r>
              <w:rPr>
                <w:rFonts w:ascii="Calibri" w:hAnsi="Calibri"/>
                <w:sz w:val="18"/>
              </w:rPr>
              <w:t>✓ (native)</w:t>
            </w:r>
          </w:p>
        </w:tc>
        <w:tc>
          <w:tcPr>
            <w:tcW w:type="dxa" w:w="1224"/>
            <w:shd w:fill="F8FAFC"/>
          </w:tcPr>
          <w:p>
            <w:r/>
            <w:r>
              <w:rPr>
                <w:rFonts w:ascii="Calibri" w:hAnsi="Calibri"/>
                <w:sz w:val="18"/>
              </w:rPr>
              <w:t>✓ (desktop)</w:t>
            </w:r>
          </w:p>
        </w:tc>
      </w:tr>
      <w:tr>
        <w:tc>
          <w:tcPr>
            <w:tcW w:type="dxa" w:w="2304"/>
            <w:shd w:fill="FFFFFF"/>
          </w:tcPr>
          <w:p>
            <w:r/>
            <w:r>
              <w:rPr>
                <w:rFonts w:ascii="Calibri" w:hAnsi="Calibri"/>
                <w:sz w:val="18"/>
              </w:rPr>
              <w:t>Task Management</w:t>
            </w:r>
          </w:p>
        </w:tc>
        <w:tc>
          <w:tcPr>
            <w:tcW w:type="dxa" w:w="1296"/>
            <w:shd w:fill="FFFFFF"/>
          </w:tcPr>
          <w:p>
            <w:r/>
            <w:r>
              <w:rPr>
                <w:rFonts w:ascii="Calibri" w:hAnsi="Calibri"/>
                <w:sz w:val="18"/>
              </w:rPr>
              <w:t>✓ with approvals</w:t>
            </w:r>
          </w:p>
        </w:tc>
        <w:tc>
          <w:tcPr>
            <w:tcW w:type="dxa" w:w="1584"/>
            <w:shd w:fill="FFFFFF"/>
          </w:tcPr>
          <w:p>
            <w:r/>
            <w:r>
              <w:rPr>
                <w:rFonts w:ascii="Calibri" w:hAnsi="Calibri"/>
                <w:sz w:val="18"/>
              </w:rPr>
              <w:t>✗</w:t>
            </w:r>
          </w:p>
        </w:tc>
        <w:tc>
          <w:tcPr>
            <w:tcW w:type="dxa" w:w="1224"/>
            <w:shd w:fill="FFFFFF"/>
          </w:tcPr>
          <w:p>
            <w:r/>
            <w:r>
              <w:rPr>
                <w:rFonts w:ascii="Calibri" w:hAnsi="Calibri"/>
                <w:sz w:val="18"/>
              </w:rPr>
              <w:t>✓ Task extraction</w:t>
            </w:r>
          </w:p>
        </w:tc>
        <w:tc>
          <w:tcPr>
            <w:tcW w:type="dxa" w:w="1224"/>
            <w:shd w:fill="FFFFFF"/>
          </w:tcPr>
          <w:p>
            <w:r/>
            <w:r>
              <w:rPr>
                <w:rFonts w:ascii="Calibri" w:hAnsi="Calibri"/>
                <w:sz w:val="18"/>
              </w:rPr>
              <w:t>✓</w:t>
            </w:r>
          </w:p>
        </w:tc>
        <w:tc>
          <w:tcPr>
            <w:tcW w:type="dxa" w:w="1080"/>
            <w:shd w:fill="FFFFFF"/>
          </w:tcPr>
          <w:p>
            <w:r/>
            <w:r>
              <w:rPr>
                <w:rFonts w:ascii="Calibri" w:hAnsi="Calibri"/>
                <w:sz w:val="18"/>
              </w:rPr>
              <w:t>✓ Core focus</w:t>
            </w:r>
          </w:p>
        </w:tc>
        <w:tc>
          <w:tcPr>
            <w:tcW w:type="dxa" w:w="1224"/>
            <w:shd w:fill="FFFFFF"/>
          </w:tcPr>
          <w:p>
            <w:r/>
            <w:r>
              <w:rPr>
                <w:rFonts w:ascii="Calibri" w:hAnsi="Calibri"/>
                <w:sz w:val="18"/>
              </w:rPr>
              <w:t>✓</w:t>
            </w:r>
          </w:p>
        </w:tc>
      </w:tr>
      <w:tr>
        <w:tc>
          <w:tcPr>
            <w:tcW w:type="dxa" w:w="2304"/>
            <w:shd w:fill="F8FAFC"/>
          </w:tcPr>
          <w:p>
            <w:r/>
            <w:r>
              <w:rPr>
                <w:rFonts w:ascii="Calibri" w:hAnsi="Calibri"/>
                <w:sz w:val="18"/>
              </w:rPr>
              <w:t>Email Management</w:t>
            </w:r>
          </w:p>
        </w:tc>
        <w:tc>
          <w:tcPr>
            <w:tcW w:type="dxa" w:w="1296"/>
            <w:shd w:fill="F8FAFC"/>
          </w:tcPr>
          <w:p>
            <w:r/>
            <w:r>
              <w:rPr>
                <w:rFonts w:ascii="Calibri" w:hAnsi="Calibri"/>
                <w:sz w:val="18"/>
              </w:rPr>
              <w:t>✓</w:t>
            </w:r>
          </w:p>
        </w:tc>
        <w:tc>
          <w:tcPr>
            <w:tcW w:type="dxa" w:w="1584"/>
            <w:shd w:fill="F8FAFC"/>
          </w:tcPr>
          <w:p>
            <w:r/>
            <w:r>
              <w:rPr>
                <w:rFonts w:ascii="Calibri" w:hAnsi="Calibri"/>
                <w:sz w:val="18"/>
              </w:rPr>
              <w:t>✗</w:t>
            </w:r>
          </w:p>
        </w:tc>
        <w:tc>
          <w:tcPr>
            <w:tcW w:type="dxa" w:w="1224"/>
            <w:shd w:fill="F8FAFC"/>
          </w:tcPr>
          <w:p>
            <w:r/>
            <w:r>
              <w:rPr>
                <w:rFonts w:ascii="Calibri" w:hAnsi="Calibri"/>
                <w:sz w:val="18"/>
              </w:rPr>
              <w:t>✓ Core focus</w:t>
            </w:r>
          </w:p>
        </w:tc>
        <w:tc>
          <w:tcPr>
            <w:tcW w:type="dxa" w:w="1224"/>
            <w:shd w:fill="F8FAFC"/>
          </w:tcPr>
          <w:p>
            <w:r/>
            <w:r>
              <w:rPr>
                <w:rFonts w:ascii="Calibri" w:hAnsi="Calibri"/>
                <w:sz w:val="18"/>
              </w:rPr>
              <w:t>✓</w:t>
            </w:r>
          </w:p>
        </w:tc>
        <w:tc>
          <w:tcPr>
            <w:tcW w:type="dxa" w:w="1080"/>
            <w:shd w:fill="F8FAFC"/>
          </w:tcPr>
          <w:p>
            <w:r/>
            <w:r>
              <w:rPr>
                <w:rFonts w:ascii="Calibri" w:hAnsi="Calibri"/>
                <w:sz w:val="18"/>
              </w:rPr>
              <w:t>✗</w:t>
            </w:r>
          </w:p>
        </w:tc>
        <w:tc>
          <w:tcPr>
            <w:tcW w:type="dxa" w:w="1224"/>
            <w:shd w:fill="F8FAFC"/>
          </w:tcPr>
          <w:p>
            <w:r/>
            <w:r>
              <w:rPr>
                <w:rFonts w:ascii="Calibri" w:hAnsi="Calibri"/>
                <w:sz w:val="18"/>
              </w:rPr>
              <w:t>✓</w:t>
            </w:r>
          </w:p>
        </w:tc>
      </w:tr>
      <w:tr>
        <w:tc>
          <w:tcPr>
            <w:tcW w:type="dxa" w:w="2304"/>
            <w:shd w:fill="FFFFFF"/>
          </w:tcPr>
          <w:p>
            <w:r/>
            <w:r>
              <w:rPr>
                <w:rFonts w:ascii="Calibri" w:hAnsi="Calibri"/>
                <w:sz w:val="18"/>
              </w:rPr>
              <w:t>Autonomous Operation</w:t>
            </w:r>
          </w:p>
        </w:tc>
        <w:tc>
          <w:tcPr>
            <w:tcW w:type="dxa" w:w="1296"/>
            <w:shd w:fill="FFFFFF"/>
          </w:tcPr>
          <w:p>
            <w:r/>
            <w:r>
              <w:rPr>
                <w:rFonts w:ascii="Calibri" w:hAnsi="Calibri"/>
                <w:sz w:val="18"/>
              </w:rPr>
              <w:t>✓ Continuous</w:t>
            </w:r>
          </w:p>
        </w:tc>
        <w:tc>
          <w:tcPr>
            <w:tcW w:type="dxa" w:w="1584"/>
            <w:shd w:fill="FFFFFF"/>
          </w:tcPr>
          <w:p>
            <w:r/>
            <w:r>
              <w:rPr>
                <w:rFonts w:ascii="Calibri" w:hAnsi="Calibri"/>
                <w:sz w:val="18"/>
              </w:rPr>
              <w:t>✗ On-demand</w:t>
            </w:r>
          </w:p>
        </w:tc>
        <w:tc>
          <w:tcPr>
            <w:tcW w:type="dxa" w:w="1224"/>
            <w:shd w:fill="FFFFFF"/>
          </w:tcPr>
          <w:p>
            <w:r/>
            <w:r>
              <w:rPr>
                <w:rFonts w:ascii="Calibri" w:hAnsi="Calibri"/>
                <w:sz w:val="18"/>
              </w:rPr>
              <w:t>✓ Continuous</w:t>
            </w:r>
          </w:p>
        </w:tc>
        <w:tc>
          <w:tcPr>
            <w:tcW w:type="dxa" w:w="1224"/>
            <w:shd w:fill="FFFFFF"/>
          </w:tcPr>
          <w:p>
            <w:r/>
            <w:r>
              <w:rPr>
                <w:rFonts w:ascii="Calibri" w:hAnsi="Calibri"/>
                <w:sz w:val="18"/>
              </w:rPr>
              <w:t>✓ Continuous</w:t>
            </w:r>
          </w:p>
        </w:tc>
        <w:tc>
          <w:tcPr>
            <w:tcW w:type="dxa" w:w="1080"/>
            <w:shd w:fill="FFFFFF"/>
          </w:tcPr>
          <w:p>
            <w:r/>
            <w:r>
              <w:rPr>
                <w:rFonts w:ascii="Calibri" w:hAnsi="Calibri"/>
                <w:sz w:val="18"/>
              </w:rPr>
              <w:t>✓ Background</w:t>
            </w:r>
          </w:p>
        </w:tc>
        <w:tc>
          <w:tcPr>
            <w:tcW w:type="dxa" w:w="1224"/>
            <w:shd w:fill="FFFFFF"/>
          </w:tcPr>
          <w:p>
            <w:r/>
            <w:r>
              <w:rPr>
                <w:rFonts w:ascii="Calibri" w:hAnsi="Calibri"/>
                <w:sz w:val="18"/>
              </w:rPr>
              <w:t>✓ Continuous</w:t>
            </w:r>
          </w:p>
        </w:tc>
      </w:tr>
      <w:tr>
        <w:tc>
          <w:tcPr>
            <w:tcW w:type="dxa" w:w="2304"/>
            <w:shd w:fill="F8FAFC"/>
          </w:tcPr>
          <w:p>
            <w:r/>
            <w:r>
              <w:rPr>
                <w:rFonts w:ascii="Calibri" w:hAnsi="Calibri"/>
                <w:sz w:val="18"/>
              </w:rPr>
              <w:t>Pricing Model</w:t>
            </w:r>
          </w:p>
        </w:tc>
        <w:tc>
          <w:tcPr>
            <w:tcW w:type="dxa" w:w="1296"/>
            <w:shd w:fill="F8FAFC"/>
          </w:tcPr>
          <w:p>
            <w:r/>
            <w:r>
              <w:rPr>
                <w:rFonts w:ascii="Calibri" w:hAnsi="Calibri"/>
                <w:sz w:val="18"/>
              </w:rPr>
              <w:t>Self-hosted</w:t>
            </w:r>
          </w:p>
        </w:tc>
        <w:tc>
          <w:tcPr>
            <w:tcW w:type="dxa" w:w="1584"/>
            <w:shd w:fill="F8FAFC"/>
          </w:tcPr>
          <w:p>
            <w:r/>
            <w:r>
              <w:rPr>
                <w:rFonts w:ascii="Calibri" w:hAnsi="Calibri"/>
                <w:sz w:val="18"/>
              </w:rPr>
              <w:t>$20–200/mo</w:t>
            </w:r>
          </w:p>
        </w:tc>
        <w:tc>
          <w:tcPr>
            <w:tcW w:type="dxa" w:w="1224"/>
            <w:shd w:fill="F8FAFC"/>
          </w:tcPr>
          <w:p>
            <w:r/>
            <w:r>
              <w:rPr>
                <w:rFonts w:ascii="Calibri" w:hAnsi="Calibri"/>
                <w:sz w:val="18"/>
              </w:rPr>
              <w:t>$29/mo</w:t>
            </w:r>
          </w:p>
        </w:tc>
        <w:tc>
          <w:tcPr>
            <w:tcW w:type="dxa" w:w="1224"/>
            <w:shd w:fill="F8FAFC"/>
          </w:tcPr>
          <w:p>
            <w:r/>
            <w:r>
              <w:rPr>
                <w:rFonts w:ascii="Calibri" w:hAnsi="Calibri"/>
                <w:sz w:val="18"/>
              </w:rPr>
              <w:t>$49–199/mo</w:t>
            </w:r>
          </w:p>
        </w:tc>
        <w:tc>
          <w:tcPr>
            <w:tcW w:type="dxa" w:w="1080"/>
            <w:shd w:fill="F8FAFC"/>
          </w:tcPr>
          <w:p>
            <w:r/>
            <w:r>
              <w:rPr>
                <w:rFonts w:ascii="Calibri" w:hAnsi="Calibri"/>
                <w:sz w:val="18"/>
              </w:rPr>
              <w:t>$19–34/mo</w:t>
            </w:r>
          </w:p>
        </w:tc>
        <w:tc>
          <w:tcPr>
            <w:tcW w:type="dxa" w:w="1224"/>
            <w:shd w:fill="F8FAFC"/>
          </w:tcPr>
          <w:p>
            <w:r/>
            <w:r>
              <w:rPr>
                <w:rFonts w:ascii="Calibri" w:hAnsi="Calibri"/>
                <w:sz w:val="18"/>
              </w:rPr>
              <w:t>Waitlist</w:t>
            </w:r>
          </w:p>
        </w:tc>
      </w:tr>
    </w:tbl>
    <w:p>
      <w:pPr>
        <w:pStyle w:val="Heading2"/>
      </w:pPr>
      <w:r>
        <w:t>4B. Competitive Positioning</w:t>
      </w:r>
    </w:p>
    <w:p>
      <w:r>
        <w:t>SETH occupies a unique position in the market. Rather than competing on any single axis (scheduling, email, transcription), it competes on architectural completeness—offering a unified executive intelligence platform that no competitor replicates. Below is a positioning analysis against each major category:</w:t>
      </w:r>
    </w:p>
    <w:p>
      <w:pPr>
        <w:pStyle w:val="Heading3"/>
      </w:pPr>
      <w:r>
        <w:t>vs. General-Purpose AI (ChatGPT, Claude, Gemini)</w:t>
      </w:r>
    </w:p>
    <w:p>
      <w:r>
        <w:t>These tools are powerful on-demand reasoning engines but fundamentally reactive—they wait to be prompted. They lack persistent memory across sessions, cannot observe user behavior autonomously, have no concept of strategic drift or contradiction detection, and cannot dispatch specialized agents. SETH treats these models as infrastructure (routing to them under the hood) while adding every layer they lack: memory, observation, agent coordination, proactive intelligence, and environmental immersion.</w:t>
      </w:r>
    </w:p>
    <w:p>
      <w:pPr>
        <w:pStyle w:val="Heading3"/>
      </w:pPr>
      <w:r>
        <w:t>vs. Autonomous Assistants (alfred_, Lindy, Carly, Sai)</w:t>
      </w:r>
    </w:p>
    <w:p>
      <w:r>
        <w:t>This is SETH's closest competitive category. These tools run continuously and can manage email/scheduling workflows. However, none offer: (a) a self-improving cognitive engine that detects its own behavioral patterns, (b) a knowledge graph that automatically maps entities and relationships, (c) contradiction detection across the user's entire decision history, (d) strategic drift analysis comparing stated objectives to actual behavior, or (e) immersive operational environments. Lindy comes closest with custom agent configuration, but lacks Cortex's self-reflective learning loop.</w:t>
      </w:r>
    </w:p>
    <w:p>
      <w:pPr>
        <w:pStyle w:val="Heading3"/>
      </w:pPr>
      <w:r>
        <w:t>vs. Scheduling/Productivity Tools (Motion, Reclaim)</w:t>
      </w:r>
    </w:p>
    <w:p>
      <w:r>
        <w:t>These are single-function tools that SETH subsumes. SETH includes task management with autonomous execution and approval workflows, calendar integration, and cognitive load monitoring—while also delivering the full intelligence and strategic layer that these tools never attempt.</w:t>
      </w:r>
    </w:p>
    <w:p>
      <w:pPr>
        <w:pStyle w:val="Heading1"/>
      </w:pPr>
      <w:r>
        <w:t>5. Ideal Customer Profile &amp; Use Cases</w:t>
      </w:r>
    </w:p>
    <w:p>
      <w:pPr>
        <w:pStyle w:val="Heading2"/>
      </w:pPr>
      <w:r>
        <w:t>Primary Persona: The Consequential Executive</w:t>
      </w:r>
    </w:p>
    <w:p>
      <w:r>
        <w:t>SETH is built for principals who operate at the intersection of capital, influence, and information asymmetry. They are not trying to be more productive—they are trying to be more consequential. Their time is not scarce because they lack organization; it is scarce because every decision they make carries outsized impact.</w:t>
      </w:r>
    </w:p>
    <w:tbl>
      <w:tblPr>
        <w:tblStyle w:val="TableGrid"/>
        <w:tblW w:type="auto" w:w="0"/>
        <w:jc w:val="center"/>
        <w:tblLook w:firstColumn="1" w:firstRow="1" w:lastColumn="0" w:lastRow="0" w:noHBand="0" w:noVBand="1" w:val="04A0"/>
      </w:tblPr>
      <w:tblGrid>
        <w:gridCol w:w="4824"/>
        <w:gridCol w:w="4824"/>
      </w:tblGrid>
      <w:tr>
        <w:tc>
          <w:tcPr>
            <w:tcW w:type="dxa" w:w="2160"/>
            <w:shd w:fill="0A0F1E"/>
          </w:tcPr>
          <w:p>
            <w:pPr>
              <w:jc w:val="center"/>
            </w:pPr>
            <w:r/>
            <w:r>
              <w:rPr>
                <w:rFonts w:ascii="Calibri" w:hAnsi="Calibri"/>
                <w:b/>
                <w:color w:val="FFFFFF"/>
                <w:sz w:val="19"/>
              </w:rPr>
              <w:t>Attribute</w:t>
            </w:r>
          </w:p>
        </w:tc>
        <w:tc>
          <w:tcPr>
            <w:tcW w:type="dxa" w:w="7488"/>
            <w:shd w:fill="0A0F1E"/>
          </w:tcPr>
          <w:p>
            <w:pPr>
              <w:jc w:val="center"/>
            </w:pPr>
            <w:r/>
            <w:r>
              <w:rPr>
                <w:rFonts w:ascii="Calibri" w:hAnsi="Calibri"/>
                <w:b/>
                <w:color w:val="FFFFFF"/>
                <w:sz w:val="19"/>
              </w:rPr>
              <w:t>Description</w:t>
            </w:r>
          </w:p>
        </w:tc>
      </w:tr>
      <w:tr>
        <w:tc>
          <w:tcPr>
            <w:tcW w:type="dxa" w:w="2160"/>
            <w:shd w:fill="F8FAFC"/>
          </w:tcPr>
          <w:p>
            <w:r/>
            <w:r>
              <w:rPr>
                <w:rFonts w:ascii="Calibri" w:hAnsi="Calibri"/>
                <w:sz w:val="18"/>
              </w:rPr>
              <w:t>Title Range</w:t>
            </w:r>
          </w:p>
        </w:tc>
        <w:tc>
          <w:tcPr>
            <w:tcW w:type="dxa" w:w="7488"/>
            <w:shd w:fill="F8FAFC"/>
          </w:tcPr>
          <w:p>
            <w:r/>
            <w:r>
              <w:rPr>
                <w:rFonts w:ascii="Calibri" w:hAnsi="Calibri"/>
                <w:sz w:val="18"/>
              </w:rPr>
              <w:t>CEO, Managing Partner, Principal, Fund Manager, Founder, Board Member</w:t>
            </w:r>
          </w:p>
        </w:tc>
      </w:tr>
      <w:tr>
        <w:tc>
          <w:tcPr>
            <w:tcW w:type="dxa" w:w="2160"/>
            <w:shd w:fill="FFFFFF"/>
          </w:tcPr>
          <w:p>
            <w:r/>
            <w:r>
              <w:rPr>
                <w:rFonts w:ascii="Calibri" w:hAnsi="Calibri"/>
                <w:sz w:val="18"/>
              </w:rPr>
              <w:t>Decision Volume</w:t>
            </w:r>
          </w:p>
        </w:tc>
        <w:tc>
          <w:tcPr>
            <w:tcW w:type="dxa" w:w="7488"/>
            <w:shd w:fill="FFFFFF"/>
          </w:tcPr>
          <w:p>
            <w:r/>
            <w:r>
              <w:rPr>
                <w:rFonts w:ascii="Calibri" w:hAnsi="Calibri"/>
                <w:sz w:val="18"/>
              </w:rPr>
              <w:t>50+ consequential decisions per week across multiple domains</w:t>
            </w:r>
          </w:p>
        </w:tc>
      </w:tr>
      <w:tr>
        <w:tc>
          <w:tcPr>
            <w:tcW w:type="dxa" w:w="2160"/>
            <w:shd w:fill="F8FAFC"/>
          </w:tcPr>
          <w:p>
            <w:r/>
            <w:r>
              <w:rPr>
                <w:rFonts w:ascii="Calibri" w:hAnsi="Calibri"/>
                <w:sz w:val="18"/>
              </w:rPr>
              <w:t>Information Load</w:t>
            </w:r>
          </w:p>
        </w:tc>
        <w:tc>
          <w:tcPr>
            <w:tcW w:type="dxa" w:w="7488"/>
            <w:shd w:fill="F8FAFC"/>
          </w:tcPr>
          <w:p>
            <w:r/>
            <w:r>
              <w:rPr>
                <w:rFonts w:ascii="Calibri" w:hAnsi="Calibri"/>
                <w:sz w:val="18"/>
              </w:rPr>
              <w:t>Receives 200+ emails/day; manages 10+ active projects simultaneously</w:t>
            </w:r>
          </w:p>
        </w:tc>
      </w:tr>
      <w:tr>
        <w:tc>
          <w:tcPr>
            <w:tcW w:type="dxa" w:w="2160"/>
            <w:shd w:fill="FFFFFF"/>
          </w:tcPr>
          <w:p>
            <w:r/>
            <w:r>
              <w:rPr>
                <w:rFonts w:ascii="Calibri" w:hAnsi="Calibri"/>
                <w:sz w:val="18"/>
              </w:rPr>
              <w:t>Pain Point</w:t>
            </w:r>
          </w:p>
        </w:tc>
        <w:tc>
          <w:tcPr>
            <w:tcW w:type="dxa" w:w="7488"/>
            <w:shd w:fill="FFFFFF"/>
          </w:tcPr>
          <w:p>
            <w:r/>
            <w:r>
              <w:rPr>
                <w:rFonts w:ascii="Calibri" w:hAnsi="Calibri"/>
                <w:sz w:val="18"/>
              </w:rPr>
              <w:t>Cannot afford cognitive overhead on logistics; needs intelligence, not reminders</w:t>
            </w:r>
          </w:p>
        </w:tc>
      </w:tr>
      <w:tr>
        <w:tc>
          <w:tcPr>
            <w:tcW w:type="dxa" w:w="2160"/>
            <w:shd w:fill="F8FAFC"/>
          </w:tcPr>
          <w:p>
            <w:r/>
            <w:r>
              <w:rPr>
                <w:rFonts w:ascii="Calibri" w:hAnsi="Calibri"/>
                <w:sz w:val="18"/>
              </w:rPr>
              <w:t>Current Stack</w:t>
            </w:r>
          </w:p>
        </w:tc>
        <w:tc>
          <w:tcPr>
            <w:tcW w:type="dxa" w:w="7488"/>
            <w:shd w:fill="F8FAFC"/>
          </w:tcPr>
          <w:p>
            <w:r/>
            <w:r>
              <w:rPr>
                <w:rFonts w:ascii="Calibri" w:hAnsi="Calibri"/>
                <w:sz w:val="18"/>
              </w:rPr>
              <w:t>3-5 disconnected tools (ChatGPT + calendar app + email client + note app + CRM)</w:t>
            </w:r>
          </w:p>
        </w:tc>
      </w:tr>
      <w:tr>
        <w:tc>
          <w:tcPr>
            <w:tcW w:type="dxa" w:w="2160"/>
            <w:shd w:fill="FFFFFF"/>
          </w:tcPr>
          <w:p>
            <w:r/>
            <w:r>
              <w:rPr>
                <w:rFonts w:ascii="Calibri" w:hAnsi="Calibri"/>
                <w:sz w:val="18"/>
              </w:rPr>
              <w:t>Budget</w:t>
            </w:r>
          </w:p>
        </w:tc>
        <w:tc>
          <w:tcPr>
            <w:tcW w:type="dxa" w:w="7488"/>
            <w:shd w:fill="FFFFFF"/>
          </w:tcPr>
          <w:p>
            <w:r/>
            <w:r>
              <w:rPr>
                <w:rFonts w:ascii="Calibri" w:hAnsi="Calibri"/>
                <w:sz w:val="18"/>
              </w:rPr>
              <w:t>$500–$5,000/month for tools that create leverage (vs. $90–160K/yr for human EA)</w:t>
            </w:r>
          </w:p>
        </w:tc>
      </w:tr>
      <w:tr>
        <w:tc>
          <w:tcPr>
            <w:tcW w:type="dxa" w:w="2160"/>
            <w:shd w:fill="F8FAFC"/>
          </w:tcPr>
          <w:p>
            <w:r/>
            <w:r>
              <w:rPr>
                <w:rFonts w:ascii="Calibri" w:hAnsi="Calibri"/>
                <w:sz w:val="18"/>
              </w:rPr>
              <w:t>Privacy Sensitivity</w:t>
            </w:r>
          </w:p>
        </w:tc>
        <w:tc>
          <w:tcPr>
            <w:tcW w:type="dxa" w:w="7488"/>
            <w:shd w:fill="F8FAFC"/>
          </w:tcPr>
          <w:p>
            <w:r/>
            <w:r>
              <w:rPr>
                <w:rFonts w:ascii="Calibri" w:hAnsi="Calibri"/>
                <w:sz w:val="18"/>
              </w:rPr>
              <w:t>High — deals with proprietary deal flow, NDA-bound information, strategic plans</w:t>
            </w:r>
          </w:p>
        </w:tc>
      </w:tr>
    </w:tbl>
    <w:p>
      <w:pPr>
        <w:pStyle w:val="Heading2"/>
      </w:pPr>
      <w:r>
        <w:t>Use Case Scenarios</w:t>
      </w:r>
    </w:p>
    <w:p>
      <w:pPr>
        <w:pStyle w:val="Heading3"/>
      </w:pPr>
      <w:r>
        <w:t>UC1: Deal Flow Intelligence</w:t>
      </w:r>
    </w:p>
    <w:p>
      <w:r>
        <w:t>A fund manager receives a term sheet. They paste it into SETH. SENTINEL runs competitive intelligence on the company. ARCHITECT evaluates the financial structure. Cortex surfaces related entities from the knowledge graph ("You discussed this sector 3 weeks ago with [contact]—here's that context"). SETH detects a contradiction: "You stated a preference for Series B+ only, but this is a seed round." The principal makes an informed decision in minutes instead of hours.</w:t>
      </w:r>
    </w:p>
    <w:p>
      <w:pPr>
        <w:pStyle w:val="Heading3"/>
      </w:pPr>
      <w:r>
        <w:t>UC2: Narrative Control &amp; Stakeholder Comms</w:t>
      </w:r>
    </w:p>
    <w:p>
      <w:r>
        <w:t>A CEO needs to communicate a strategic pivot to board members, investors, and employees—three audiences, three framings. HERALD drafts all three communications with appropriate tone and emphasis. VANGUARD audits the messaging against the company's brand positioning. SETH's memory system recalls previous board communications to ensure consistency. The cognitive load monitor flags that the executive is at elevated load—recommending delegation of the employee all-hands draft to a direct report.</w:t>
      </w:r>
    </w:p>
    <w:p>
      <w:pPr>
        <w:pStyle w:val="Heading3"/>
      </w:pPr>
      <w:r>
        <w:t>UC3: Operational Security Audit</w:t>
      </w:r>
    </w:p>
    <w:p>
      <w:r>
        <w:t>A high-net-worth individual asks SETH to assess their digital exposure. PHANTOM runs a comprehensive OPSEC audit—data broker presence, social media footprint, domain registrations tied to their identity. The knowledge graph maps all entities (companies, domains, social profiles) linked to the principal. Results are delivered with actionable remediation steps, prioritized by risk severity.</w:t>
      </w:r>
    </w:p>
    <w:p>
      <w:pPr>
        <w:pStyle w:val="Heading3"/>
      </w:pPr>
      <w:r>
        <w:t>UC4: Strategic Alignment Check</w:t>
      </w:r>
    </w:p>
    <w:p>
      <w:r>
        <w:t>It's the end of Q1. The executive asks SETH for a strategic drift analysis. Cortex compares their stated Q1 objectives (from Profile) against all actions taken—tasks completed, meetings held, agents dispatched, decisions recorded. The output: "Your actions are 28% misaligned with stated objectives. Primary drift areas: talent acquisition (stated priority, zero actions), M&amp;A pipeline (3× more activity than planned)." No other AI assistant on the market can produce this analysis.</w:t>
      </w:r>
    </w:p>
    <w:p>
      <w:pPr>
        <w:pStyle w:val="Heading1"/>
      </w:pPr>
      <w:r>
        <w:t>6. Technical Differentiators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0A0F1E"/>
          </w:tcPr>
          <w:p>
            <w:pPr>
              <w:jc w:val="center"/>
            </w:pPr>
            <w:r/>
            <w:r>
              <w:rPr>
                <w:rFonts w:ascii="Calibri" w:hAnsi="Calibri"/>
                <w:b/>
                <w:color w:val="FFFFFF"/>
                <w:sz w:val="19"/>
              </w:rPr>
              <w:t>Differentiator</w:t>
            </w:r>
          </w:p>
        </w:tc>
        <w:tc>
          <w:tcPr>
            <w:tcW w:type="dxa" w:w="4032"/>
            <w:shd w:fill="0A0F1E"/>
          </w:tcPr>
          <w:p>
            <w:pPr>
              <w:jc w:val="center"/>
            </w:pPr>
            <w:r/>
            <w:r>
              <w:rPr>
                <w:rFonts w:ascii="Calibri" w:hAnsi="Calibri"/>
                <w:b/>
                <w:color w:val="FFFFFF"/>
                <w:sz w:val="19"/>
              </w:rPr>
              <w:t>What It Means</w:t>
            </w:r>
          </w:p>
        </w:tc>
        <w:tc>
          <w:tcPr>
            <w:tcW w:type="dxa" w:w="3456"/>
            <w:shd w:fill="0A0F1E"/>
          </w:tcPr>
          <w:p>
            <w:pPr>
              <w:jc w:val="center"/>
            </w:pPr>
            <w:r/>
            <w:r>
              <w:rPr>
                <w:rFonts w:ascii="Calibri" w:hAnsi="Calibri"/>
                <w:b/>
                <w:color w:val="FFFFFF"/>
                <w:sz w:val="19"/>
              </w:rPr>
              <w:t>Why It Matters</w:t>
            </w:r>
          </w:p>
        </w:tc>
      </w:tr>
      <w:tr>
        <w:tc>
          <w:tcPr>
            <w:tcW w:type="dxa" w:w="2160"/>
            <w:shd w:fill="F8FAFC"/>
          </w:tcPr>
          <w:p>
            <w:r/>
            <w:r>
              <w:rPr>
                <w:rFonts w:ascii="Calibri" w:hAnsi="Calibri"/>
                <w:sz w:val="18"/>
              </w:rPr>
              <w:t>3-Tier Model Routing</w:t>
            </w:r>
          </w:p>
        </w:tc>
        <w:tc>
          <w:tcPr>
            <w:tcW w:type="dxa" w:w="4032"/>
            <w:shd w:fill="F8FAFC"/>
          </w:tcPr>
          <w:p>
            <w:r/>
            <w:r>
              <w:rPr>
                <w:rFonts w:ascii="Calibri" w:hAnsi="Calibri"/>
                <w:sz w:val="18"/>
              </w:rPr>
              <w:t>Venice (privacy), OpenRouter (tools/reasoning)—SETH routes each request to the optimal model</w:t>
            </w:r>
          </w:p>
        </w:tc>
        <w:tc>
          <w:tcPr>
            <w:tcW w:type="dxa" w:w="3456"/>
            <w:shd w:fill="F8FAFC"/>
          </w:tcPr>
          <w:p>
            <w:r/>
            <w:r>
              <w:rPr>
                <w:rFonts w:ascii="Calibri" w:hAnsi="Calibri"/>
                <w:sz w:val="18"/>
              </w:rPr>
              <w:t>Cost efficiency + privacy control + best-in-class output for each task type</w:t>
            </w:r>
          </w:p>
        </w:tc>
      </w:tr>
      <w:tr>
        <w:tc>
          <w:tcPr>
            <w:tcW w:type="dxa" w:w="2160"/>
            <w:shd w:fill="FFFFFF"/>
          </w:tcPr>
          <w:p>
            <w:r/>
            <w:r>
              <w:rPr>
                <w:rFonts w:ascii="Calibri" w:hAnsi="Calibri"/>
                <w:sz w:val="18"/>
              </w:rPr>
              <w:t>Graph-Aware Context (Zero LLM Call)</w:t>
            </w:r>
          </w:p>
        </w:tc>
        <w:tc>
          <w:tcPr>
            <w:tcW w:type="dxa" w:w="4032"/>
            <w:shd w:fill="FFFFFF"/>
          </w:tcPr>
          <w:p>
            <w:r/>
            <w:r>
              <w:rPr>
                <w:rFonts w:ascii="Calibri" w:hAnsi="Calibri"/>
                <w:sz w:val="18"/>
              </w:rPr>
              <w:t>Knowledge graph items are injected into context via token matching and 1-hop walks—no additional API calls</w:t>
            </w:r>
          </w:p>
        </w:tc>
        <w:tc>
          <w:tcPr>
            <w:tcW w:type="dxa" w:w="3456"/>
            <w:shd w:fill="FFFFFF"/>
          </w:tcPr>
          <w:p>
            <w:r/>
            <w:r>
              <w:rPr>
                <w:rFonts w:ascii="Calibri" w:hAnsi="Calibri"/>
                <w:sz w:val="18"/>
              </w:rPr>
              <w:t>Richer context at zero marginal cost; scales without increasing LLM spend</w:t>
            </w:r>
          </w:p>
        </w:tc>
      </w:tr>
      <w:tr>
        <w:tc>
          <w:tcPr>
            <w:tcW w:type="dxa" w:w="2160"/>
            <w:shd w:fill="F8FAFC"/>
          </w:tcPr>
          <w:p>
            <w:r/>
            <w:r>
              <w:rPr>
                <w:rFonts w:ascii="Calibri" w:hAnsi="Calibri"/>
                <w:sz w:val="18"/>
              </w:rPr>
              <w:t>6-Factor Composite Scoring</w:t>
            </w:r>
          </w:p>
        </w:tc>
        <w:tc>
          <w:tcPr>
            <w:tcW w:type="dxa" w:w="4032"/>
            <w:shd w:fill="F8FAFC"/>
          </w:tcPr>
          <w:p>
            <w:r/>
            <w:r>
              <w:rPr>
                <w:rFonts w:ascii="Calibri" w:hAnsi="Calibri"/>
                <w:sz w:val="18"/>
              </w:rPr>
              <w:t>Relevance, recency, importance, contradiction probability, project linkage, strategic significance</w:t>
            </w:r>
          </w:p>
        </w:tc>
        <w:tc>
          <w:tcPr>
            <w:tcW w:type="dxa" w:w="3456"/>
            <w:shd w:fill="F8FAFC"/>
          </w:tcPr>
          <w:p>
            <w:r/>
            <w:r>
              <w:rPr>
                <w:rFonts w:ascii="Calibri" w:hAnsi="Calibri"/>
                <w:sz w:val="18"/>
              </w:rPr>
              <w:t>Context quality far exceeds simple recency or keyword matching</w:t>
            </w:r>
          </w:p>
        </w:tc>
      </w:tr>
      <w:tr>
        <w:tc>
          <w:tcPr>
            <w:tcW w:type="dxa" w:w="2160"/>
            <w:shd w:fill="FFFFFF"/>
          </w:tcPr>
          <w:p>
            <w:r/>
            <w:r>
              <w:rPr>
                <w:rFonts w:ascii="Calibri" w:hAnsi="Calibri"/>
                <w:sz w:val="18"/>
              </w:rPr>
              <w:t>Adaptive Agent Routing</w:t>
            </w:r>
          </w:p>
        </w:tc>
        <w:tc>
          <w:tcPr>
            <w:tcW w:type="dxa" w:w="4032"/>
            <w:shd w:fill="FFFFFF"/>
          </w:tcPr>
          <w:p>
            <w:r/>
            <w:r>
              <w:rPr>
                <w:rFonts w:ascii="Calibri" w:hAnsi="Calibri"/>
                <w:sz w:val="18"/>
              </w:rPr>
              <w:t>Multi-factor scoring engine learns from dispatch outcomes; supports auto, team, and direct modes</w:t>
            </w:r>
          </w:p>
        </w:tc>
        <w:tc>
          <w:tcPr>
            <w:tcW w:type="dxa" w:w="3456"/>
            <w:shd w:fill="FFFFFF"/>
          </w:tcPr>
          <w:p>
            <w:r/>
            <w:r>
              <w:rPr>
                <w:rFonts w:ascii="Calibri" w:hAnsi="Calibri"/>
                <w:sz w:val="18"/>
              </w:rPr>
              <w:t>Agent selection accuracy improves over time without manual tuning</w:t>
            </w:r>
          </w:p>
        </w:tc>
      </w:tr>
      <w:tr>
        <w:tc>
          <w:tcPr>
            <w:tcW w:type="dxa" w:w="2160"/>
            <w:shd w:fill="F8FAFC"/>
          </w:tcPr>
          <w:p>
            <w:r/>
            <w:r>
              <w:rPr>
                <w:rFonts w:ascii="Calibri" w:hAnsi="Calibri"/>
                <w:sz w:val="18"/>
              </w:rPr>
              <w:t>PWA Architecture</w:t>
            </w:r>
          </w:p>
        </w:tc>
        <w:tc>
          <w:tcPr>
            <w:tcW w:type="dxa" w:w="4032"/>
            <w:shd w:fill="F8FAFC"/>
          </w:tcPr>
          <w:p>
            <w:r/>
            <w:r>
              <w:rPr>
                <w:rFonts w:ascii="Calibri" w:hAnsi="Calibri"/>
                <w:sz w:val="18"/>
              </w:rPr>
              <w:t>Installable on any device; works offline; push notifications; home screen icon</w:t>
            </w:r>
          </w:p>
        </w:tc>
        <w:tc>
          <w:tcPr>
            <w:tcW w:type="dxa" w:w="3456"/>
            <w:shd w:fill="F8FAFC"/>
          </w:tcPr>
          <w:p>
            <w:r/>
            <w:r>
              <w:rPr>
                <w:rFonts w:ascii="Calibri" w:hAnsi="Calibri"/>
                <w:sz w:val="18"/>
              </w:rPr>
              <w:t>No app store dependency; instant deployment; cross-platform from a single codebase</w:t>
            </w:r>
          </w:p>
        </w:tc>
      </w:tr>
      <w:tr>
        <w:tc>
          <w:tcPr>
            <w:tcW w:type="dxa" w:w="2160"/>
            <w:shd w:fill="FFFFFF"/>
          </w:tcPr>
          <w:p>
            <w:r/>
            <w:r>
              <w:rPr>
                <w:rFonts w:ascii="Calibri" w:hAnsi="Calibri"/>
                <w:sz w:val="18"/>
              </w:rPr>
              <w:t>Self-Hosted Sovereignty</w:t>
            </w:r>
          </w:p>
        </w:tc>
        <w:tc>
          <w:tcPr>
            <w:tcW w:type="dxa" w:w="4032"/>
            <w:shd w:fill="FFFFFF"/>
          </w:tcPr>
          <w:p>
            <w:r/>
            <w:r>
              <w:rPr>
                <w:rFonts w:ascii="Calibri" w:hAnsi="Calibri"/>
                <w:sz w:val="18"/>
              </w:rPr>
              <w:t>SETH runs on the principal's own infrastructure—no third-party SaaS has access to their data</w:t>
            </w:r>
          </w:p>
        </w:tc>
        <w:tc>
          <w:tcPr>
            <w:tcW w:type="dxa" w:w="3456"/>
            <w:shd w:fill="FFFFFF"/>
          </w:tcPr>
          <w:p>
            <w:r/>
            <w:r>
              <w:rPr>
                <w:rFonts w:ascii="Calibri" w:hAnsi="Calibri"/>
                <w:sz w:val="18"/>
              </w:rPr>
              <w:t>Critical for executives handling NDA-bound, proprietary, or sensitive strategic information</w:t>
            </w:r>
          </w:p>
        </w:tc>
      </w:tr>
    </w:tbl>
    <w:p>
      <w:pPr>
        <w:pStyle w:val="Heading1"/>
      </w:pPr>
      <w:r>
        <w:t>7. Go-to-Market Positioning</w:t>
      </w:r>
    </w:p>
    <w:p>
      <w:pPr>
        <w:pStyle w:val="Heading2"/>
      </w:pPr>
      <w:r>
        <w:t>Messaging Framework</w:t>
      </w:r>
    </w:p>
    <w:p>
      <w:r>
        <w:rPr>
          <w:b/>
        </w:rPr>
        <w:t xml:space="preserve">Primary Tagline: </w:t>
      </w:r>
      <w:r>
        <w:rPr>
          <w:i/>
          <w:color w:val="3B82F6"/>
        </w:rPr>
        <w:t>"Infrastructure masquerading as interface."</w:t>
      </w:r>
    </w:p>
    <w:p>
      <w:r>
        <w:rPr>
          <w:b/>
        </w:rPr>
        <w:t xml:space="preserve">Supporting Message: </w:t>
      </w:r>
      <w:r>
        <w:t>"SETH doesn't help you be more productive. It makes productivity irrelevant as a constraint."</w:t>
      </w:r>
    </w:p>
    <w:p>
      <w:r>
        <w:rPr>
          <w:b/>
        </w:rPr>
        <w:t xml:space="preserve">Positioning Statement: </w:t>
      </w:r>
      <w:r>
        <w:t>For high-stakes executives who need an operating system—not an assistant—SETH is the only AI platform that combines a five-specialist agent swarm, self-improving cognitive engine, knowledge graph memory, and immersive operational environments into a single sovereign infrastructure layer.</w:t>
      </w:r>
    </w:p>
    <w:p>
      <w:pPr>
        <w:pStyle w:val="Heading3"/>
      </w:pPr>
      <w:r>
        <w:t>Key Messaging Pillars</w:t>
      </w:r>
    </w:p>
    <w:p>
      <w:pPr>
        <w:pStyle w:val="ListBullet"/>
        <w:spacing w:after="60"/>
      </w:pPr>
      <w:r>
        <w:rPr>
          <w:rFonts w:ascii="Calibri" w:hAnsi="Calibri"/>
          <w:b/>
          <w:sz w:val="21"/>
        </w:rPr>
        <w:t xml:space="preserve">Sovereign Intelligence: </w:t>
      </w:r>
      <w:r>
        <w:rPr>
          <w:sz w:val="21"/>
        </w:rPr>
        <w:t>Your data never leaves your infrastructure. No third-party SaaS has access. Full sovereignty over the most sensitive strategic information.</w:t>
      </w:r>
    </w:p>
    <w:p>
      <w:pPr>
        <w:pStyle w:val="ListBullet"/>
        <w:spacing w:after="60"/>
      </w:pPr>
      <w:r>
        <w:rPr>
          <w:rFonts w:ascii="Calibri" w:hAnsi="Calibri"/>
          <w:b/>
          <w:sz w:val="21"/>
        </w:rPr>
        <w:t xml:space="preserve">Self-Improving by Design: </w:t>
      </w:r>
      <w:r>
        <w:rPr>
          <w:sz w:val="21"/>
        </w:rPr>
        <w:t>SETH doesn't just respond—it observes, learns, detects contradictions, measures strategic drift, and evolves its own behavior over time.</w:t>
      </w:r>
    </w:p>
    <w:p>
      <w:pPr>
        <w:pStyle w:val="ListBullet"/>
        <w:spacing w:after="60"/>
      </w:pPr>
      <w:r>
        <w:rPr>
          <w:rFonts w:ascii="Calibri" w:hAnsi="Calibri"/>
          <w:b/>
          <w:sz w:val="21"/>
        </w:rPr>
        <w:t xml:space="preserve">Agent Swarm Architecture: </w:t>
      </w:r>
      <w:r>
        <w:rPr>
          <w:sz w:val="21"/>
        </w:rPr>
        <w:t>Five specialized agents, adaptively routed, capable of single-agent precision or multi-agent team formation for complex cross-domain operations.</w:t>
      </w:r>
    </w:p>
    <w:p>
      <w:pPr>
        <w:pStyle w:val="ListBullet"/>
        <w:spacing w:after="60"/>
      </w:pPr>
      <w:r>
        <w:rPr>
          <w:rFonts w:ascii="Calibri" w:hAnsi="Calibri"/>
          <w:b/>
          <w:sz w:val="21"/>
        </w:rPr>
        <w:t xml:space="preserve">Consequence Over Productivity: </w:t>
      </w:r>
      <w:r>
        <w:rPr>
          <w:sz w:val="21"/>
        </w:rPr>
        <w:t>Built for principals who measure output in impact, not task completion. SETH eliminates categories of work, not individual to-do items.</w:t>
      </w:r>
    </w:p>
    <w:p>
      <w:pPr>
        <w:pStyle w:val="ListBullet"/>
        <w:spacing w:after="60"/>
      </w:pPr>
      <w:r>
        <w:rPr>
          <w:rFonts w:ascii="Calibri" w:hAnsi="Calibri"/>
          <w:b/>
          <w:sz w:val="21"/>
        </w:rPr>
        <w:t xml:space="preserve">Spatial Intelligence: </w:t>
      </w:r>
      <w:r>
        <w:rPr>
          <w:sz w:val="21"/>
        </w:rPr>
        <w:t>Immersive 360° environments that react to voice, alerts, and context—turning every interaction into an embodied experience.</w:t>
      </w:r>
    </w:p>
    <w:p>
      <w:pPr>
        <w:pStyle w:val="Heading2"/>
      </w:pPr>
      <w:r>
        <w:t>Channels &amp; Distribution</w:t>
      </w:r>
    </w:p>
    <w:p>
      <w:pPr>
        <w:pStyle w:val="ListBullet"/>
        <w:spacing w:after="60"/>
      </w:pPr>
      <w:r>
        <w:rPr>
          <w:rFonts w:ascii="Calibri" w:hAnsi="Calibri"/>
          <w:b/>
          <w:sz w:val="21"/>
        </w:rPr>
        <w:t xml:space="preserve">Direct Outreach: </w:t>
      </w:r>
      <w:r>
        <w:rPr>
          <w:sz w:val="21"/>
        </w:rPr>
        <w:t>Warm introductions through professional networks targeting managing partners, fund managers, and C-suite operators.</w:t>
      </w:r>
    </w:p>
    <w:p>
      <w:pPr>
        <w:pStyle w:val="ListBullet"/>
        <w:spacing w:after="60"/>
      </w:pPr>
      <w:r>
        <w:rPr>
          <w:rFonts w:ascii="Calibri" w:hAnsi="Calibri"/>
          <w:b/>
          <w:sz w:val="21"/>
        </w:rPr>
        <w:t xml:space="preserve">Content Strategy: </w:t>
      </w:r>
      <w:r>
        <w:rPr>
          <w:sz w:val="21"/>
        </w:rPr>
        <w:t>Thought leadership on "the infrastructure layer between the principal and the world"—positioning SETH as a category creator, not a feature competitor.</w:t>
      </w:r>
    </w:p>
    <w:p>
      <w:pPr>
        <w:pStyle w:val="ListBullet"/>
        <w:spacing w:after="60"/>
      </w:pPr>
      <w:r>
        <w:rPr>
          <w:rFonts w:ascii="Calibri" w:hAnsi="Calibri"/>
          <w:b/>
          <w:sz w:val="21"/>
        </w:rPr>
        <w:t xml:space="preserve">Exclusive Demo: </w:t>
      </w:r>
      <w:r>
        <w:rPr>
          <w:sz w:val="21"/>
        </w:rPr>
        <w:t>White-glove onboarding for initial cohort. Each deployment is tailored to the principal's workflow, knowledge base, and objectives.</w:t>
      </w:r>
    </w:p>
    <w:p>
      <w:pPr>
        <w:pStyle w:val="ListBullet"/>
        <w:spacing w:after="60"/>
      </w:pPr>
      <w:r>
        <w:rPr>
          <w:rFonts w:ascii="Calibri" w:hAnsi="Calibri"/>
          <w:b/>
          <w:sz w:val="21"/>
        </w:rPr>
        <w:t xml:space="preserve">Strategic Partnerships: </w:t>
      </w:r>
      <w:r>
        <w:rPr>
          <w:sz w:val="21"/>
        </w:rPr>
        <w:t>Family offices, private equity firms, and boutique advisory firms as distribution channels—environments where SETH's privacy-first architecture is a non-negotiable requirement.</w:t>
      </w:r>
    </w:p>
    <w:p>
      <w:pPr>
        <w:pStyle w:val="Heading1"/>
      </w:pPr>
      <w:r>
        <w:t>8. Appendix: System Architecture Summary</w:t>
      </w:r>
    </w:p>
    <w:p>
      <w:r>
        <w:t>The following is a high-level overview of SETH's technical stack and data flow architecture, provided for technical due diligence and engineering review.</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fill="0A0F1E"/>
          </w:tcPr>
          <w:p>
            <w:pPr>
              <w:jc w:val="center"/>
            </w:pPr>
            <w:r/>
            <w:r>
              <w:rPr>
                <w:rFonts w:ascii="Calibri" w:hAnsi="Calibri"/>
                <w:b/>
                <w:color w:val="FFFFFF"/>
                <w:sz w:val="19"/>
              </w:rPr>
              <w:t>Layer</w:t>
            </w:r>
          </w:p>
        </w:tc>
        <w:tc>
          <w:tcPr>
            <w:tcW w:type="dxa" w:w="3744"/>
            <w:shd w:fill="0A0F1E"/>
          </w:tcPr>
          <w:p>
            <w:pPr>
              <w:jc w:val="center"/>
            </w:pPr>
            <w:r/>
            <w:r>
              <w:rPr>
                <w:rFonts w:ascii="Calibri" w:hAnsi="Calibri"/>
                <w:b/>
                <w:color w:val="FFFFFF"/>
                <w:sz w:val="19"/>
              </w:rPr>
              <w:t>Technology</w:t>
            </w:r>
          </w:p>
        </w:tc>
        <w:tc>
          <w:tcPr>
            <w:tcW w:type="dxa" w:w="4032"/>
            <w:shd w:fill="0A0F1E"/>
          </w:tcPr>
          <w:p>
            <w:pPr>
              <w:jc w:val="center"/>
            </w:pPr>
            <w:r/>
            <w:r>
              <w:rPr>
                <w:rFonts w:ascii="Calibri" w:hAnsi="Calibri"/>
                <w:b/>
                <w:color w:val="FFFFFF"/>
                <w:sz w:val="19"/>
              </w:rPr>
              <w:t>Notes</w:t>
            </w:r>
          </w:p>
        </w:tc>
      </w:tr>
      <w:tr>
        <w:tc>
          <w:tcPr>
            <w:tcW w:type="dxa" w:w="1872"/>
            <w:shd w:fill="F8FAFC"/>
          </w:tcPr>
          <w:p>
            <w:r/>
            <w:r>
              <w:rPr>
                <w:rFonts w:ascii="Calibri" w:hAnsi="Calibri"/>
                <w:sz w:val="18"/>
              </w:rPr>
              <w:t>Frontend</w:t>
            </w:r>
          </w:p>
        </w:tc>
        <w:tc>
          <w:tcPr>
            <w:tcW w:type="dxa" w:w="3744"/>
            <w:shd w:fill="F8FAFC"/>
          </w:tcPr>
          <w:p>
            <w:r/>
            <w:r>
              <w:rPr>
                <w:rFonts w:ascii="Calibri" w:hAnsi="Calibri"/>
                <w:sz w:val="18"/>
              </w:rPr>
              <w:t>React/Next.js 14 (App Router), Tailwind CSS, Framer Motion</w:t>
            </w:r>
          </w:p>
        </w:tc>
        <w:tc>
          <w:tcPr>
            <w:tcW w:type="dxa" w:w="4032"/>
            <w:shd w:fill="F8FAFC"/>
          </w:tcPr>
          <w:p>
            <w:r/>
            <w:r>
              <w:rPr>
                <w:rFonts w:ascii="Calibri" w:hAnsi="Calibri"/>
                <w:sz w:val="18"/>
              </w:rPr>
              <w:t>PWA-enabled, responsive, SSR/SSG hybrid</w:t>
            </w:r>
          </w:p>
        </w:tc>
      </w:tr>
      <w:tr>
        <w:tc>
          <w:tcPr>
            <w:tcW w:type="dxa" w:w="1872"/>
            <w:shd w:fill="FFFFFF"/>
          </w:tcPr>
          <w:p>
            <w:r/>
            <w:r>
              <w:rPr>
                <w:rFonts w:ascii="Calibri" w:hAnsi="Calibri"/>
                <w:sz w:val="18"/>
              </w:rPr>
              <w:t>Backend</w:t>
            </w:r>
          </w:p>
        </w:tc>
        <w:tc>
          <w:tcPr>
            <w:tcW w:type="dxa" w:w="3744"/>
            <w:shd w:fill="FFFFFF"/>
          </w:tcPr>
          <w:p>
            <w:r/>
            <w:r>
              <w:rPr>
                <w:rFonts w:ascii="Calibri" w:hAnsi="Calibri"/>
                <w:sz w:val="18"/>
              </w:rPr>
              <w:t>Next.js API Routes (Node.js)</w:t>
            </w:r>
          </w:p>
        </w:tc>
        <w:tc>
          <w:tcPr>
            <w:tcW w:type="dxa" w:w="4032"/>
            <w:shd w:fill="FFFFFF"/>
          </w:tcPr>
          <w:p>
            <w:r/>
            <w:r>
              <w:rPr>
                <w:rFonts w:ascii="Calibri" w:hAnsi="Calibri"/>
                <w:sz w:val="18"/>
              </w:rPr>
              <w:t>force-dynamic on all routes; session-gated</w:t>
            </w:r>
          </w:p>
        </w:tc>
      </w:tr>
      <w:tr>
        <w:tc>
          <w:tcPr>
            <w:tcW w:type="dxa" w:w="1872"/>
            <w:shd w:fill="F8FAFC"/>
          </w:tcPr>
          <w:p>
            <w:r/>
            <w:r>
              <w:rPr>
                <w:rFonts w:ascii="Calibri" w:hAnsi="Calibri"/>
                <w:sz w:val="18"/>
              </w:rPr>
              <w:t>Database</w:t>
            </w:r>
          </w:p>
        </w:tc>
        <w:tc>
          <w:tcPr>
            <w:tcW w:type="dxa" w:w="3744"/>
            <w:shd w:fill="F8FAFC"/>
          </w:tcPr>
          <w:p>
            <w:r/>
            <w:r>
              <w:rPr>
                <w:rFonts w:ascii="Calibri" w:hAnsi="Calibri"/>
                <w:sz w:val="18"/>
              </w:rPr>
              <w:t>PostgreSQL via Prisma ORM</w:t>
            </w:r>
          </w:p>
        </w:tc>
        <w:tc>
          <w:tcPr>
            <w:tcW w:type="dxa" w:w="4032"/>
            <w:shd w:fill="F8FAFC"/>
          </w:tcPr>
          <w:p>
            <w:r/>
            <w:r>
              <w:rPr>
                <w:rFonts w:ascii="Calibri" w:hAnsi="Calibri"/>
                <w:sz w:val="18"/>
              </w:rPr>
              <w:t>25+ models including Cortex subsystems</w:t>
            </w:r>
          </w:p>
        </w:tc>
      </w:tr>
      <w:tr>
        <w:tc>
          <w:tcPr>
            <w:tcW w:type="dxa" w:w="1872"/>
            <w:shd w:fill="FFFFFF"/>
          </w:tcPr>
          <w:p>
            <w:r/>
            <w:r>
              <w:rPr>
                <w:rFonts w:ascii="Calibri" w:hAnsi="Calibri"/>
                <w:sz w:val="18"/>
              </w:rPr>
              <w:t>Authentication</w:t>
            </w:r>
          </w:p>
        </w:tc>
        <w:tc>
          <w:tcPr>
            <w:tcW w:type="dxa" w:w="3744"/>
            <w:shd w:fill="FFFFFF"/>
          </w:tcPr>
          <w:p>
            <w:r/>
            <w:r>
              <w:rPr>
                <w:rFonts w:ascii="Calibri" w:hAnsi="Calibri"/>
                <w:sz w:val="18"/>
              </w:rPr>
              <w:t>NextAuth.js (Credentials + Google SSO)</w:t>
            </w:r>
          </w:p>
        </w:tc>
        <w:tc>
          <w:tcPr>
            <w:tcW w:type="dxa" w:w="4032"/>
            <w:shd w:fill="FFFFFF"/>
          </w:tcPr>
          <w:p>
            <w:r/>
            <w:r>
              <w:rPr>
                <w:rFonts w:ascii="Calibri" w:hAnsi="Calibri"/>
                <w:sz w:val="18"/>
              </w:rPr>
              <w:t>Session-based with JWT; middleware-protected routes</w:t>
            </w:r>
          </w:p>
        </w:tc>
      </w:tr>
      <w:tr>
        <w:tc>
          <w:tcPr>
            <w:tcW w:type="dxa" w:w="1872"/>
            <w:shd w:fill="F8FAFC"/>
          </w:tcPr>
          <w:p>
            <w:r/>
            <w:r>
              <w:rPr>
                <w:rFonts w:ascii="Calibri" w:hAnsi="Calibri"/>
                <w:sz w:val="18"/>
              </w:rPr>
              <w:t>AI Routing</w:t>
            </w:r>
          </w:p>
        </w:tc>
        <w:tc>
          <w:tcPr>
            <w:tcW w:type="dxa" w:w="3744"/>
            <w:shd w:fill="F8FAFC"/>
          </w:tcPr>
          <w:p>
            <w:r/>
            <w:r>
              <w:rPr>
                <w:rFonts w:ascii="Calibri" w:hAnsi="Calibri"/>
                <w:sz w:val="18"/>
              </w:rPr>
              <w:t>Venice AI (privacy tier), OpenRouter (tools/reasoning)</w:t>
            </w:r>
          </w:p>
        </w:tc>
        <w:tc>
          <w:tcPr>
            <w:tcW w:type="dxa" w:w="4032"/>
            <w:shd w:fill="F8FAFC"/>
          </w:tcPr>
          <w:p>
            <w:r/>
            <w:r>
              <w:rPr>
                <w:rFonts w:ascii="Calibri" w:hAnsi="Calibri"/>
                <w:sz w:val="18"/>
              </w:rPr>
              <w:t>Model selection based on task classification</w:t>
            </w:r>
          </w:p>
        </w:tc>
      </w:tr>
      <w:tr>
        <w:tc>
          <w:tcPr>
            <w:tcW w:type="dxa" w:w="1872"/>
            <w:shd w:fill="FFFFFF"/>
          </w:tcPr>
          <w:p>
            <w:r/>
            <w:r>
              <w:rPr>
                <w:rFonts w:ascii="Calibri" w:hAnsi="Calibri"/>
                <w:sz w:val="18"/>
              </w:rPr>
              <w:t>Agent Engine</w:t>
            </w:r>
          </w:p>
        </w:tc>
        <w:tc>
          <w:tcPr>
            <w:tcW w:type="dxa" w:w="3744"/>
            <w:shd w:fill="FFFFFF"/>
          </w:tcPr>
          <w:p>
            <w:r/>
            <w:r>
              <w:rPr>
                <w:rFonts w:ascii="Calibri" w:hAnsi="Calibri"/>
                <w:sz w:val="18"/>
              </w:rPr>
              <w:t>Custom adaptive router (lib/agent-router.ts)</w:t>
            </w:r>
          </w:p>
        </w:tc>
        <w:tc>
          <w:tcPr>
            <w:tcW w:type="dxa" w:w="4032"/>
            <w:shd w:fill="FFFFFF"/>
          </w:tcPr>
          <w:p>
            <w:r/>
            <w:r>
              <w:rPr>
                <w:rFonts w:ascii="Calibri" w:hAnsi="Calibri"/>
                <w:sz w:val="18"/>
              </w:rPr>
              <w:t>5-factor scoring, LLM tiebreaker, team formation</w:t>
            </w:r>
          </w:p>
        </w:tc>
      </w:tr>
      <w:tr>
        <w:tc>
          <w:tcPr>
            <w:tcW w:type="dxa" w:w="1872"/>
            <w:shd w:fill="F8FAFC"/>
          </w:tcPr>
          <w:p>
            <w:r/>
            <w:r>
              <w:rPr>
                <w:rFonts w:ascii="Calibri" w:hAnsi="Calibri"/>
                <w:sz w:val="18"/>
              </w:rPr>
              <w:t>Knowledge Graph</w:t>
            </w:r>
          </w:p>
        </w:tc>
        <w:tc>
          <w:tcPr>
            <w:tcW w:type="dxa" w:w="3744"/>
            <w:shd w:fill="F8FAFC"/>
          </w:tcPr>
          <w:p>
            <w:r/>
            <w:r>
              <w:rPr>
                <w:rFonts w:ascii="Calibri" w:hAnsi="Calibri"/>
                <w:sz w:val="18"/>
              </w:rPr>
              <w:t>CortexEntity + CortexRelation (Prisma)</w:t>
            </w:r>
          </w:p>
        </w:tc>
        <w:tc>
          <w:tcPr>
            <w:tcW w:type="dxa" w:w="4032"/>
            <w:shd w:fill="F8FAFC"/>
          </w:tcPr>
          <w:p>
            <w:r/>
            <w:r>
              <w:rPr>
                <w:rFonts w:ascii="Calibri" w:hAnsi="Calibri"/>
                <w:sz w:val="18"/>
              </w:rPr>
              <w:t>Auto-extraction from all text; 1-hop graph walks</w:t>
            </w:r>
          </w:p>
        </w:tc>
      </w:tr>
      <w:tr>
        <w:tc>
          <w:tcPr>
            <w:tcW w:type="dxa" w:w="1872"/>
            <w:shd w:fill="FFFFFF"/>
          </w:tcPr>
          <w:p>
            <w:r/>
            <w:r>
              <w:rPr>
                <w:rFonts w:ascii="Calibri" w:hAnsi="Calibri"/>
                <w:sz w:val="18"/>
              </w:rPr>
              <w:t>Memory System</w:t>
            </w:r>
          </w:p>
        </w:tc>
        <w:tc>
          <w:tcPr>
            <w:tcW w:type="dxa" w:w="3744"/>
            <w:shd w:fill="FFFFFF"/>
          </w:tcPr>
          <w:p>
            <w:r/>
            <w:r>
              <w:rPr>
                <w:rFonts w:ascii="Calibri" w:hAnsi="Calibri"/>
                <w:sz w:val="18"/>
              </w:rPr>
              <w:t>Weighted decay with composite scoring</w:t>
            </w:r>
          </w:p>
        </w:tc>
        <w:tc>
          <w:tcPr>
            <w:tcW w:type="dxa" w:w="4032"/>
            <w:shd w:fill="FFFFFF"/>
          </w:tcPr>
          <w:p>
            <w:r/>
            <w:r>
              <w:rPr>
                <w:rFonts w:ascii="Calibri" w:hAnsi="Calibri"/>
                <w:sz w:val="18"/>
              </w:rPr>
              <w:t>Strength-based ranking; pinning; consolidation</w:t>
            </w:r>
          </w:p>
        </w:tc>
      </w:tr>
      <w:tr>
        <w:tc>
          <w:tcPr>
            <w:tcW w:type="dxa" w:w="1872"/>
            <w:shd w:fill="F8FAFC"/>
          </w:tcPr>
          <w:p>
            <w:r/>
            <w:r>
              <w:rPr>
                <w:rFonts w:ascii="Calibri" w:hAnsi="Calibri"/>
                <w:sz w:val="18"/>
              </w:rPr>
              <w:t>Environments</w:t>
            </w:r>
          </w:p>
        </w:tc>
        <w:tc>
          <w:tcPr>
            <w:tcW w:type="dxa" w:w="3744"/>
            <w:shd w:fill="F8FAFC"/>
          </w:tcPr>
          <w:p>
            <w:r/>
            <w:r>
              <w:rPr>
                <w:rFonts w:ascii="Calibri" w:hAnsi="Calibri"/>
                <w:sz w:val="18"/>
              </w:rPr>
              <w:t>Blockade Labs Skybox API + AudioContext</w:t>
            </w:r>
          </w:p>
        </w:tc>
        <w:tc>
          <w:tcPr>
            <w:tcW w:type="dxa" w:w="4032"/>
            <w:shd w:fill="F8FAFC"/>
          </w:tcPr>
          <w:p>
            <w:r/>
            <w:r>
              <w:rPr>
                <w:rFonts w:ascii="Calibri" w:hAnsi="Calibri"/>
                <w:sz w:val="18"/>
              </w:rPr>
              <w:t>360° panoramas with TTS-reactive rendering</w:t>
            </w:r>
          </w:p>
        </w:tc>
      </w:tr>
      <w:tr>
        <w:tc>
          <w:tcPr>
            <w:tcW w:type="dxa" w:w="1872"/>
            <w:shd w:fill="FFFFFF"/>
          </w:tcPr>
          <w:p>
            <w:r/>
            <w:r>
              <w:rPr>
                <w:rFonts w:ascii="Calibri" w:hAnsi="Calibri"/>
                <w:sz w:val="18"/>
              </w:rPr>
              <w:t>Voice</w:t>
            </w:r>
          </w:p>
        </w:tc>
        <w:tc>
          <w:tcPr>
            <w:tcW w:type="dxa" w:w="3744"/>
            <w:shd w:fill="FFFFFF"/>
          </w:tcPr>
          <w:p>
            <w:r/>
            <w:r>
              <w:rPr>
                <w:rFonts w:ascii="Calibri" w:hAnsi="Calibri"/>
                <w:sz w:val="18"/>
              </w:rPr>
              <w:t>Web Speech API (STT) + ElevenLabs (TTS)</w:t>
            </w:r>
          </w:p>
        </w:tc>
        <w:tc>
          <w:tcPr>
            <w:tcW w:type="dxa" w:w="4032"/>
            <w:shd w:fill="FFFFFF"/>
          </w:tcPr>
          <w:p>
            <w:r/>
            <w:r>
              <w:rPr>
                <w:rFonts w:ascii="Calibri" w:hAnsi="Calibri"/>
                <w:sz w:val="18"/>
              </w:rPr>
              <w:t>Wake word detection; hands-free operation</w:t>
            </w:r>
          </w:p>
        </w:tc>
      </w:tr>
      <w:tr>
        <w:tc>
          <w:tcPr>
            <w:tcW w:type="dxa" w:w="1872"/>
            <w:shd w:fill="F8FAFC"/>
          </w:tcPr>
          <w:p>
            <w:r/>
            <w:r>
              <w:rPr>
                <w:rFonts w:ascii="Calibri" w:hAnsi="Calibri"/>
                <w:sz w:val="18"/>
              </w:rPr>
              <w:t>Deployment</w:t>
            </w:r>
          </w:p>
        </w:tc>
        <w:tc>
          <w:tcPr>
            <w:tcW w:type="dxa" w:w="3744"/>
            <w:shd w:fill="F8FAFC"/>
          </w:tcPr>
          <w:p>
            <w:r/>
            <w:r>
              <w:rPr>
                <w:rFonts w:ascii="Calibri" w:hAnsi="Calibri"/>
                <w:sz w:val="18"/>
              </w:rPr>
              <w:t>Standalone Next.js build; multi-domain</w:t>
            </w:r>
          </w:p>
        </w:tc>
        <w:tc>
          <w:tcPr>
            <w:tcW w:type="dxa" w:w="4032"/>
            <w:shd w:fill="F8FAFC"/>
          </w:tcPr>
          <w:p>
            <w:r/>
            <w:r>
              <w:rPr>
                <w:rFonts w:ascii="Calibri" w:hAnsi="Calibri"/>
                <w:sz w:val="18"/>
              </w:rPr>
              <w:t>Deployed across custom domains</w:t>
            </w:r>
          </w:p>
        </w:tc>
      </w:tr>
    </w:tbl>
    <w:p>
      <w:pPr>
        <w:spacing w:before="80" w:after="80"/>
      </w:pPr>
      <w:r>
        <w:rPr>
          <w:color w:val="3B82F6"/>
          <w:sz w:val="12"/>
        </w:rPr>
        <w:t>────────────────────────────────────────────────────────────────────────────────</w:t>
      </w:r>
    </w:p>
    <w:p>
      <w:pPr>
        <w:spacing w:before="240"/>
        <w:jc w:val="center"/>
      </w:pPr>
      <w:r>
        <w:rPr>
          <w:rFonts w:ascii="Calibri" w:hAnsi="Calibri"/>
          <w:i/>
          <w:color w:val="9CA3AF"/>
          <w:sz w:val="18"/>
        </w:rPr>
        <w:t>SETH  •  Strategic Executive Technology Hub  •  Confidential</w:t>
      </w:r>
    </w:p>
    <w:sectPr w:rsidR="00FC693F" w:rsidRPr="0006063C"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A0F1E"/>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3B82F6"/>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A0F1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