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spacing w:after="100" w:before="0" w:line="240" w:lineRule="auto"/>
        <w:jc w:val="center"/>
        <w:rPr>
          <w:sz w:val="22"/>
          <w:szCs w:val="22"/>
        </w:rPr>
      </w:pPr>
      <w:r w:rsidDel="00000000" w:rsidR="00000000" w:rsidRPr="00000000">
        <w:rPr>
          <w:rFonts w:ascii="Arial" w:cs="Arial" w:eastAsia="Arial" w:hAnsi="Arial"/>
          <w:b w:val="1"/>
          <w:bCs w:val="1"/>
          <w:i w:val="0"/>
          <w:iCs w:val="0"/>
          <w:color w:val="1f5aa6"/>
          <w:sz w:val="22"/>
          <w:szCs w:val="22"/>
          <w:rtl w:val="0"/>
        </w:rPr>
        <w:t xml:space="preserve">SAT-Dengue</w:t>
      </w:r>
      <w:r w:rsidDel="00000000" w:rsidR="00000000" w:rsidRPr="00000000">
        <w:rPr>
          <w:rtl w:val="0"/>
        </w:rPr>
      </w:r>
    </w:p>
    <w:p w:rsidR="00000000" w:rsidDel="00000000" w:rsidP="00000000" w:rsidRDefault="00000000" w:rsidRPr="00000000" w14:paraId="00000005">
      <w:pPr>
        <w:spacing w:after="180" w:before="0" w:line="240" w:lineRule="auto"/>
        <w:jc w:val="center"/>
        <w:rPr>
          <w:sz w:val="22"/>
          <w:szCs w:val="22"/>
        </w:rPr>
      </w:pPr>
      <w:r w:rsidDel="00000000" w:rsidR="00000000" w:rsidRPr="00000000">
        <w:rPr>
          <w:rFonts w:ascii="Arial" w:cs="Arial" w:eastAsia="Arial" w:hAnsi="Arial"/>
          <w:b w:val="0"/>
          <w:bCs w:val="0"/>
          <w:i w:val="1"/>
          <w:iCs w:val="1"/>
          <w:color w:val="203040"/>
          <w:sz w:val="22"/>
          <w:szCs w:val="22"/>
          <w:rtl w:val="0"/>
        </w:rPr>
        <w:t xml:space="preserve">Sistema de Alerta Temprana para Brotes de Dengue en Colombia</w:t>
      </w:r>
      <w:r w:rsidDel="00000000" w:rsidR="00000000" w:rsidRPr="00000000">
        <w:rPr>
          <w:rtl w:val="0"/>
        </w:rPr>
      </w:r>
    </w:p>
    <w:p w:rsidR="00000000" w:rsidDel="00000000" w:rsidP="00000000" w:rsidRDefault="00000000" w:rsidRPr="00000000" w14:paraId="00000006">
      <w:pPr>
        <w:spacing w:after="320" w:before="0" w:line="240" w:lineRule="auto"/>
        <w:jc w:val="center"/>
        <w:rPr>
          <w:sz w:val="22"/>
          <w:szCs w:val="22"/>
        </w:rPr>
      </w:pPr>
      <w:r w:rsidDel="00000000" w:rsidR="00000000" w:rsidRPr="00000000">
        <w:rPr>
          <w:rFonts w:ascii="Arial" w:cs="Arial" w:eastAsia="Arial" w:hAnsi="Arial"/>
          <w:b w:val="1"/>
          <w:bCs w:val="1"/>
          <w:i w:val="0"/>
          <w:iCs w:val="0"/>
          <w:color w:val="1f5aa6"/>
          <w:sz w:val="22"/>
          <w:szCs w:val="22"/>
          <w:rtl w:val="0"/>
        </w:rPr>
        <w:t xml:space="preserve">Entrega 3</w:t>
      </w:r>
      <w:r w:rsidDel="00000000" w:rsidR="00000000" w:rsidRPr="00000000">
        <w:rPr>
          <w:rtl w:val="0"/>
        </w:rPr>
      </w:r>
    </w:p>
    <w:p w:rsidR="00000000" w:rsidDel="00000000" w:rsidP="00000000" w:rsidRDefault="00000000" w:rsidRPr="00000000" w14:paraId="00000007">
      <w:pPr>
        <w:spacing w:after="320" w:before="0" w:line="240" w:lineRule="auto"/>
        <w:jc w:val="center"/>
        <w:rPr>
          <w:sz w:val="22"/>
          <w:szCs w:val="22"/>
        </w:rPr>
      </w:pPr>
      <w:r w:rsidDel="00000000" w:rsidR="00000000" w:rsidRPr="00000000">
        <w:rPr>
          <w:rFonts w:ascii="Arial" w:cs="Arial" w:eastAsia="Arial" w:hAnsi="Arial"/>
          <w:b w:val="0"/>
          <w:bCs w:val="0"/>
          <w:i w:val="0"/>
          <w:iCs w:val="0"/>
          <w:color w:val="203040"/>
          <w:sz w:val="22"/>
          <w:szCs w:val="22"/>
          <w:rtl w:val="0"/>
        </w:rPr>
        <w:t xml:space="preserve">Proyecto de Desarrollo de Soluciones — MAIA</w:t>
      </w:r>
      <w:r w:rsidDel="00000000" w:rsidR="00000000" w:rsidRPr="00000000">
        <w:rPr>
          <w:rtl w:val="0"/>
        </w:rPr>
      </w:r>
    </w:p>
    <w:p w:rsidR="00000000" w:rsidDel="00000000" w:rsidP="00000000" w:rsidRDefault="00000000" w:rsidRPr="00000000" w14:paraId="00000008">
      <w:pPr>
        <w:spacing w:after="100" w:before="0" w:line="240" w:lineRule="auto"/>
        <w:jc w:val="center"/>
        <w:rPr>
          <w:sz w:val="22"/>
          <w:szCs w:val="22"/>
        </w:rPr>
      </w:pPr>
      <w:r w:rsidDel="00000000" w:rsidR="00000000" w:rsidRPr="00000000">
        <w:rPr>
          <w:rFonts w:ascii="Arial" w:cs="Arial" w:eastAsia="Arial" w:hAnsi="Arial"/>
          <w:b w:val="1"/>
          <w:bCs w:val="1"/>
          <w:i w:val="0"/>
          <w:iCs w:val="0"/>
          <w:color w:val="203040"/>
          <w:sz w:val="22"/>
          <w:szCs w:val="22"/>
          <w:rtl w:val="0"/>
        </w:rPr>
        <w:t xml:space="preserve">Grupo 11</w:t>
      </w:r>
      <w:r w:rsidDel="00000000" w:rsidR="00000000" w:rsidRPr="00000000">
        <w:rPr>
          <w:rtl w:val="0"/>
        </w:rPr>
      </w:r>
    </w:p>
    <w:p w:rsidR="00000000" w:rsidDel="00000000" w:rsidP="00000000" w:rsidRDefault="00000000" w:rsidRPr="00000000" w14:paraId="00000009">
      <w:pPr>
        <w:spacing w:after="20" w:before="0" w:line="240" w:lineRule="auto"/>
        <w:jc w:val="center"/>
        <w:rPr>
          <w:sz w:val="22"/>
          <w:szCs w:val="22"/>
        </w:rPr>
      </w:pPr>
      <w:r w:rsidDel="00000000" w:rsidR="00000000" w:rsidRPr="00000000">
        <w:rPr>
          <w:rFonts w:ascii="Arial" w:cs="Arial" w:eastAsia="Arial" w:hAnsi="Arial"/>
          <w:b w:val="0"/>
          <w:bCs w:val="0"/>
          <w:i w:val="0"/>
          <w:iCs w:val="0"/>
          <w:color w:val="203040"/>
          <w:sz w:val="22"/>
          <w:szCs w:val="22"/>
          <w:rtl w:val="0"/>
        </w:rPr>
        <w:t xml:space="preserve">Sergio Ballesteros</w:t>
      </w:r>
      <w:r w:rsidDel="00000000" w:rsidR="00000000" w:rsidRPr="00000000">
        <w:rPr>
          <w:rtl w:val="0"/>
        </w:rPr>
      </w:r>
    </w:p>
    <w:p w:rsidR="00000000" w:rsidDel="00000000" w:rsidP="00000000" w:rsidRDefault="00000000" w:rsidRPr="00000000" w14:paraId="0000000A">
      <w:pPr>
        <w:spacing w:after="20" w:before="0" w:line="240" w:lineRule="auto"/>
        <w:jc w:val="center"/>
        <w:rPr>
          <w:sz w:val="22"/>
          <w:szCs w:val="22"/>
        </w:rPr>
      </w:pPr>
      <w:r w:rsidDel="00000000" w:rsidR="00000000" w:rsidRPr="00000000">
        <w:rPr>
          <w:rFonts w:ascii="Arial" w:cs="Arial" w:eastAsia="Arial" w:hAnsi="Arial"/>
          <w:b w:val="0"/>
          <w:bCs w:val="0"/>
          <w:i w:val="0"/>
          <w:iCs w:val="0"/>
          <w:color w:val="203040"/>
          <w:sz w:val="22"/>
          <w:szCs w:val="22"/>
          <w:rtl w:val="0"/>
        </w:rPr>
        <w:t xml:space="preserve">Stevan Ramirez</w:t>
      </w:r>
      <w:r w:rsidDel="00000000" w:rsidR="00000000" w:rsidRPr="00000000">
        <w:rPr>
          <w:rtl w:val="0"/>
        </w:rPr>
      </w:r>
    </w:p>
    <w:p w:rsidR="00000000" w:rsidDel="00000000" w:rsidP="00000000" w:rsidRDefault="00000000" w:rsidRPr="00000000" w14:paraId="0000000B">
      <w:pPr>
        <w:spacing w:after="20" w:before="0" w:line="240" w:lineRule="auto"/>
        <w:jc w:val="center"/>
        <w:rPr>
          <w:sz w:val="22"/>
          <w:szCs w:val="22"/>
        </w:rPr>
      </w:pPr>
      <w:r w:rsidDel="00000000" w:rsidR="00000000" w:rsidRPr="00000000">
        <w:rPr>
          <w:rFonts w:ascii="Arial" w:cs="Arial" w:eastAsia="Arial" w:hAnsi="Arial"/>
          <w:b w:val="0"/>
          <w:bCs w:val="0"/>
          <w:i w:val="0"/>
          <w:iCs w:val="0"/>
          <w:color w:val="203040"/>
          <w:sz w:val="22"/>
          <w:szCs w:val="22"/>
          <w:rtl w:val="0"/>
        </w:rPr>
        <w:t xml:space="preserve">Nicolas Lara</w:t>
      </w:r>
      <w:r w:rsidDel="00000000" w:rsidR="00000000" w:rsidRPr="00000000">
        <w:rPr>
          <w:rtl w:val="0"/>
        </w:rPr>
      </w:r>
    </w:p>
    <w:p w:rsidR="00000000" w:rsidDel="00000000" w:rsidP="00000000" w:rsidRDefault="00000000" w:rsidRPr="00000000" w14:paraId="0000000C">
      <w:pPr>
        <w:spacing w:after="20" w:before="0" w:line="240" w:lineRule="auto"/>
        <w:jc w:val="center"/>
        <w:rPr>
          <w:sz w:val="22"/>
          <w:szCs w:val="22"/>
        </w:rPr>
      </w:pPr>
      <w:r w:rsidDel="00000000" w:rsidR="00000000" w:rsidRPr="00000000">
        <w:rPr>
          <w:rFonts w:ascii="Arial" w:cs="Arial" w:eastAsia="Arial" w:hAnsi="Arial"/>
          <w:b w:val="0"/>
          <w:bCs w:val="0"/>
          <w:i w:val="0"/>
          <w:iCs w:val="0"/>
          <w:color w:val="203040"/>
          <w:sz w:val="22"/>
          <w:szCs w:val="22"/>
          <w:rtl w:val="0"/>
        </w:rPr>
        <w:t xml:space="preserve">Mauricio Rodriguez</w:t>
      </w:r>
      <w:r w:rsidDel="00000000" w:rsidR="00000000" w:rsidRPr="00000000">
        <w:rPr>
          <w:rtl w:val="0"/>
        </w:rPr>
      </w:r>
    </w:p>
    <w:p w:rsidR="00000000" w:rsidDel="00000000" w:rsidP="00000000" w:rsidRDefault="00000000" w:rsidRPr="00000000" w14:paraId="0000000D">
      <w:pPr>
        <w:jc w:val="center"/>
        <w:rPr>
          <w:sz w:val="22"/>
          <w:szCs w:val="22"/>
        </w:rPr>
      </w:pPr>
      <w:r w:rsidDel="00000000" w:rsidR="00000000" w:rsidRPr="00000000">
        <w:rPr>
          <w:rtl w:val="0"/>
        </w:rPr>
      </w:r>
    </w:p>
    <w:p w:rsidR="00000000" w:rsidDel="00000000" w:rsidP="00000000" w:rsidRDefault="00000000" w:rsidRPr="00000000" w14:paraId="0000000E">
      <w:pPr>
        <w:jc w:val="center"/>
        <w:rPr>
          <w:sz w:val="22"/>
          <w:szCs w:val="22"/>
        </w:rPr>
      </w:pPr>
      <w:r w:rsidDel="00000000" w:rsidR="00000000" w:rsidRPr="00000000">
        <w:rPr>
          <w:rtl w:val="0"/>
        </w:rPr>
      </w:r>
    </w:p>
    <w:p w:rsidR="00000000" w:rsidDel="00000000" w:rsidP="00000000" w:rsidRDefault="00000000" w:rsidRPr="00000000" w14:paraId="0000000F">
      <w:pPr>
        <w:jc w:val="center"/>
        <w:rPr>
          <w:sz w:val="22"/>
          <w:szCs w:val="22"/>
        </w:rPr>
      </w:pPr>
      <w:r w:rsidDel="00000000" w:rsidR="00000000" w:rsidRPr="00000000">
        <w:rPr>
          <w:rFonts w:ascii="Arial" w:cs="Arial" w:eastAsia="Arial" w:hAnsi="Arial"/>
          <w:b w:val="0"/>
          <w:bCs w:val="0"/>
          <w:i w:val="0"/>
          <w:iCs w:val="0"/>
          <w:color w:val="5b677a"/>
          <w:sz w:val="22"/>
          <w:szCs w:val="22"/>
          <w:rtl w:val="0"/>
        </w:rPr>
        <w:t xml:space="preserve">Septiembre de 2026</w:t>
      </w:r>
      <w:r w:rsidDel="00000000" w:rsidR="00000000" w:rsidRPr="00000000">
        <w:rPr>
          <w:rtl w:val="0"/>
        </w:rPr>
      </w:r>
    </w:p>
    <w:p w:rsidR="00000000" w:rsidDel="00000000" w:rsidP="00000000" w:rsidRDefault="00000000" w:rsidRPr="00000000" w14:paraId="00000010">
      <w:pPr>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center"/>
        <w:rPr>
          <w:sz w:val="22"/>
          <w:szCs w:val="22"/>
        </w:rPr>
      </w:pPr>
      <w:r w:rsidDel="00000000" w:rsidR="00000000" w:rsidRPr="00000000">
        <w:rPr>
          <w:sz w:val="22"/>
          <w:szCs w:val="22"/>
          <w:rtl w:val="0"/>
        </w:rPr>
        <w:t xml:space="preserve">1. Resumen del problema</w:t>
      </w:r>
    </w:p>
    <w:p w:rsidR="00000000" w:rsidDel="00000000" w:rsidP="00000000" w:rsidRDefault="00000000" w:rsidRPr="00000000" w14:paraId="00000012">
      <w:pPr>
        <w:pStyle w:val="Heading2"/>
        <w:jc w:val="both"/>
        <w:rPr>
          <w:sz w:val="22"/>
          <w:szCs w:val="22"/>
        </w:rPr>
      </w:pPr>
      <w:r w:rsidDel="00000000" w:rsidR="00000000" w:rsidRPr="00000000">
        <w:rPr>
          <w:sz w:val="22"/>
          <w:szCs w:val="22"/>
          <w:rtl w:val="0"/>
        </w:rPr>
        <w:t xml:space="preserve">1.1 Contexto y pregunta de negocio</w:t>
      </w:r>
    </w:p>
    <w:p w:rsidR="00000000" w:rsidDel="00000000" w:rsidP="00000000" w:rsidRDefault="00000000" w:rsidRPr="00000000" w14:paraId="00000013">
      <w:pPr>
        <w:spacing w:after="40" w:before="0" w:line="240" w:lineRule="auto"/>
        <w:jc w:val="both"/>
        <w:rPr>
          <w:rFonts w:ascii="Arial" w:cs="Arial" w:eastAsia="Arial" w:hAnsi="Arial"/>
          <w:b w:val="0"/>
          <w:bCs w:val="0"/>
          <w:i w:val="0"/>
          <w:iCs w:val="0"/>
          <w:color w:val="203040"/>
          <w:sz w:val="22"/>
          <w:szCs w:val="22"/>
        </w:rPr>
      </w:pPr>
      <w:r w:rsidDel="00000000" w:rsidR="00000000" w:rsidRPr="00000000">
        <w:rPr>
          <w:rFonts w:ascii="Arial" w:cs="Arial" w:eastAsia="Arial" w:hAnsi="Arial"/>
          <w:b w:val="0"/>
          <w:bCs w:val="0"/>
          <w:i w:val="0"/>
          <w:iCs w:val="0"/>
          <w:color w:val="203040"/>
          <w:sz w:val="22"/>
          <w:szCs w:val="22"/>
          <w:rtl w:val="0"/>
        </w:rPr>
        <w:t xml:space="preserve">El dengue exige decisiones oportunas de vigilancia y control. En el piloto, los usuarios institucionales son las Secretarías de Salud de Cali y Bucaramanga; el Instituto Nacional de Salud (INS) actúa como fuente y referente de vigilancia, no como cliente del sistema. El canal endémico permite reconocer zonas de normalidad, alerta y exceso, pero su señal describe el estado observado. </w:t>
      </w:r>
    </w:p>
    <w:p w:rsidR="00000000" w:rsidDel="00000000" w:rsidP="00000000" w:rsidRDefault="00000000" w:rsidRPr="00000000" w14:paraId="00000014">
      <w:pPr>
        <w:spacing w:after="4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El valor de </w:t>
      </w:r>
      <w:r w:rsidDel="00000000" w:rsidR="00000000" w:rsidRPr="00000000">
        <w:rPr>
          <w:sz w:val="22"/>
          <w:szCs w:val="22"/>
          <w:rtl w:val="0"/>
        </w:rPr>
        <w:t xml:space="preserve">SAT-Dengue</w:t>
      </w:r>
      <w:r w:rsidDel="00000000" w:rsidR="00000000" w:rsidRPr="00000000">
        <w:rPr>
          <w:rFonts w:ascii="Arial" w:cs="Arial" w:eastAsia="Arial" w:hAnsi="Arial"/>
          <w:b w:val="0"/>
          <w:bCs w:val="0"/>
          <w:i w:val="0"/>
          <w:iCs w:val="0"/>
          <w:color w:val="203040"/>
          <w:sz w:val="22"/>
          <w:szCs w:val="22"/>
          <w:rtl w:val="0"/>
        </w:rPr>
        <w:t xml:space="preserve"> es complementar esa lectura con una estimación anticipada de la transición hacia exceso epidémico.</w:t>
      </w:r>
      <w:r w:rsidDel="00000000" w:rsidR="00000000" w:rsidRPr="00000000">
        <w:rPr>
          <w:rtl w:val="0"/>
        </w:rPr>
      </w:r>
    </w:p>
    <w:p w:rsidR="00000000" w:rsidDel="00000000" w:rsidP="00000000" w:rsidRDefault="00000000" w:rsidRPr="00000000" w14:paraId="00000015">
      <w:pPr>
        <w:spacing w:after="60" w:before="0" w:line="240" w:lineRule="auto"/>
        <w:jc w:val="both"/>
        <w:rPr>
          <w:rFonts w:ascii="Arial" w:cs="Arial" w:eastAsia="Arial" w:hAnsi="Arial"/>
          <w:b w:val="1"/>
          <w:bCs w:val="1"/>
          <w:i w:val="0"/>
          <w:iCs w:val="0"/>
          <w:color w:val="203040"/>
          <w:sz w:val="22"/>
          <w:szCs w:val="22"/>
        </w:rPr>
      </w:pPr>
      <w:r w:rsidDel="00000000" w:rsidR="00000000" w:rsidRPr="00000000">
        <w:rPr>
          <w:rFonts w:ascii="Arial" w:cs="Arial" w:eastAsia="Arial" w:hAnsi="Arial"/>
          <w:b w:val="1"/>
          <w:bCs w:val="1"/>
          <w:i w:val="0"/>
          <w:iCs w:val="0"/>
          <w:color w:val="203040"/>
          <w:sz w:val="22"/>
          <w:szCs w:val="22"/>
          <w:rtl w:val="0"/>
        </w:rPr>
        <w:t xml:space="preserve">Pregunta de negocio: ¿Pueden las Secretarías de Salud de Cali y Bucaramanga anticipar, con uno o dos meses de antelación, el inicio de un brote de dengue para activar control vectorial y preparación sanitaria antes del pico de casos, complementando la señal del canal endémico?</w:t>
      </w:r>
    </w:p>
    <w:p w:rsidR="00000000" w:rsidDel="00000000" w:rsidP="00000000" w:rsidRDefault="00000000" w:rsidRPr="00000000" w14:paraId="00000016">
      <w:pPr>
        <w:spacing w:after="60" w:before="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17">
      <w:pPr>
        <w:pStyle w:val="Heading2"/>
        <w:jc w:val="both"/>
        <w:rPr>
          <w:sz w:val="22"/>
          <w:szCs w:val="22"/>
        </w:rPr>
      </w:pPr>
      <w:r w:rsidDel="00000000" w:rsidR="00000000" w:rsidRPr="00000000">
        <w:rPr>
          <w:sz w:val="22"/>
          <w:szCs w:val="22"/>
          <w:rtl w:val="0"/>
        </w:rPr>
        <w:t xml:space="preserve">1.2 Objetivo y alcance</w:t>
      </w:r>
    </w:p>
    <w:p w:rsidR="00000000" w:rsidDel="00000000" w:rsidP="00000000" w:rsidRDefault="00000000" w:rsidRPr="00000000" w14:paraId="00000018">
      <w:pPr>
        <w:spacing w:after="40" w:before="0" w:line="240" w:lineRule="auto"/>
        <w:jc w:val="both"/>
        <w:rPr>
          <w:rFonts w:ascii="Arial" w:cs="Arial" w:eastAsia="Arial" w:hAnsi="Arial"/>
          <w:b w:val="0"/>
          <w:bCs w:val="0"/>
          <w:i w:val="0"/>
          <w:iCs w:val="0"/>
          <w:color w:val="203040"/>
          <w:sz w:val="22"/>
          <w:szCs w:val="22"/>
        </w:rPr>
      </w:pPr>
      <w:r w:rsidDel="00000000" w:rsidR="00000000" w:rsidRPr="00000000">
        <w:rPr>
          <w:sz w:val="22"/>
          <w:szCs w:val="22"/>
          <w:rtl w:val="0"/>
        </w:rPr>
        <w:t xml:space="preserve">SAT-Dengue</w:t>
      </w:r>
      <w:r w:rsidDel="00000000" w:rsidR="00000000" w:rsidRPr="00000000">
        <w:rPr>
          <w:rFonts w:ascii="Arial" w:cs="Arial" w:eastAsia="Arial" w:hAnsi="Arial"/>
          <w:b w:val="0"/>
          <w:bCs w:val="0"/>
          <w:i w:val="0"/>
          <w:iCs w:val="0"/>
          <w:color w:val="203040"/>
          <w:sz w:val="22"/>
          <w:szCs w:val="22"/>
          <w:rtl w:val="0"/>
        </w:rPr>
        <w:t xml:space="preserve"> es un prototipo académico de apoyo a la decisión que clasifica mensualmente el riesgo de exceso de dengue total para Bucaramanga (DIVIPOLA 68001) y Cali (76001). Produce predicciones T+1 y T+2 con probabilidad, umbral y etiqueta. T+1 soporta la priorización del ciclo operativo inmediato; T+2 agrega una ventana para acciones que requieren mayor anticipación, como organización de brigadas, control de criaderos, fumigación focal o preparación diagnóstica y hospitalaria. No automatiza intervenciones, no sustituye la vigilancia oficial y no ha sido validado clínica u operacionalmente en campo.</w:t>
      </w:r>
    </w:p>
    <w:p w:rsidR="00000000" w:rsidDel="00000000" w:rsidP="00000000" w:rsidRDefault="00000000" w:rsidRPr="00000000" w14:paraId="00000019">
      <w:pPr>
        <w:spacing w:after="40" w:before="0" w:line="240" w:lineRule="auto"/>
        <w:jc w:val="both"/>
        <w:rPr>
          <w:sz w:val="22"/>
          <w:szCs w:val="22"/>
        </w:rPr>
      </w:pPr>
      <w:r w:rsidDel="00000000" w:rsidR="00000000" w:rsidRPr="00000000">
        <w:rPr>
          <w:rtl w:val="0"/>
        </w:rPr>
      </w:r>
    </w:p>
    <w:p w:rsidR="00000000" w:rsidDel="00000000" w:rsidP="00000000" w:rsidRDefault="00000000" w:rsidRPr="00000000" w14:paraId="0000001A">
      <w:pPr>
        <w:pStyle w:val="Heading2"/>
        <w:jc w:val="both"/>
        <w:rPr>
          <w:sz w:val="22"/>
          <w:szCs w:val="22"/>
        </w:rPr>
      </w:pPr>
      <w:r w:rsidDel="00000000" w:rsidR="00000000" w:rsidRPr="00000000">
        <w:rPr>
          <w:sz w:val="22"/>
          <w:szCs w:val="22"/>
          <w:rtl w:val="0"/>
        </w:rPr>
        <w:t xml:space="preserve">1.3 Conjuntos de datos</w:t>
      </w:r>
    </w:p>
    <w:tbl>
      <w:tblPr>
        <w:tblStyle w:val="Table1"/>
        <w:tblW w:w="10570.0" w:type="dxa"/>
        <w:jc w:val="center"/>
        <w:tblBorders>
          <w:top w:color="b8c6d8" w:space="0" w:sz="4" w:val="single"/>
          <w:left w:color="b8c6d8" w:space="0" w:sz="4" w:val="single"/>
          <w:bottom w:color="b8c6d8" w:space="0" w:sz="4" w:val="single"/>
          <w:right w:color="b8c6d8" w:space="0" w:sz="4" w:val="single"/>
          <w:insideH w:color="b8c6d8" w:space="0" w:sz="4" w:val="single"/>
          <w:insideV w:color="b8c6d8"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d5e5f5" w:val="clear"/>
            <w:tcMar>
              <w:top w:w="45.0" w:type="dxa"/>
              <w:bottom w:w="45.0" w:type="dxa"/>
            </w:tcMar>
            <w:vAlign w:val="center"/>
          </w:tcPr>
          <w:p w:rsidR="00000000" w:rsidDel="00000000" w:rsidP="00000000" w:rsidRDefault="00000000" w:rsidRPr="00000000" w14:paraId="0000001B">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Fuente / alcance</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1C">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Uso en la solución</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1D">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SIVIGILA dengue total, evento 210 · 1.585.040 registros (2007–2024)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1E">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Serie epidemiológica principal y definición del exceso respecto al canal endémico.</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1F">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SIVIGILA dengue grave, evento 220 · 48.823 registros (2007–2024)</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20">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Serie auxiliar y rezagos epidemiológicos.</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21">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Variables climáticas mensuales ERA5/CHIRPS · 9 covariables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2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Temperatura, rocío, lluvia, suelo, escorrentía, evaporación, viento y radiación; el Champion también usa rezagos climáticos.</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2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Panel procesado · 1.114 municipios; piloto: Cali y Bucaramanga</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2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Panel municipio-mes con ceros explícitos. La fecha de referencia es inicio de síntomas (INI_SIN), con notificación como respaldo.</w:t>
            </w:r>
            <w:r w:rsidDel="00000000" w:rsidR="00000000" w:rsidRPr="00000000">
              <w:rPr>
                <w:rtl w:val="0"/>
              </w:rPr>
            </w:r>
          </w:p>
        </w:tc>
      </w:tr>
    </w:tbl>
    <w:p w:rsidR="00000000" w:rsidDel="00000000" w:rsidP="00000000" w:rsidRDefault="00000000" w:rsidRPr="00000000" w14:paraId="00000025">
      <w:pPr>
        <w:spacing w:after="40" w:before="0" w:line="240" w:lineRule="auto"/>
        <w:jc w:val="both"/>
        <w:rPr>
          <w:rFonts w:ascii="Arial" w:cs="Arial" w:eastAsia="Arial" w:hAnsi="Arial"/>
          <w:b w:val="0"/>
          <w:bCs w:val="0"/>
          <w:i w:val="0"/>
          <w:iCs w:val="0"/>
          <w:color w:val="203040"/>
          <w:sz w:val="22"/>
          <w:szCs w:val="22"/>
        </w:rPr>
      </w:pPr>
      <w:r w:rsidDel="00000000" w:rsidR="00000000" w:rsidRPr="00000000">
        <w:rPr>
          <w:rFonts w:ascii="Arial" w:cs="Arial" w:eastAsia="Arial" w:hAnsi="Arial"/>
          <w:b w:val="0"/>
          <w:bCs w:val="0"/>
          <w:i w:val="0"/>
          <w:iCs w:val="0"/>
          <w:color w:val="203040"/>
          <w:sz w:val="22"/>
          <w:szCs w:val="22"/>
          <w:rtl w:val="0"/>
        </w:rPr>
        <w:t xml:space="preserve">La partición vigente del repositorio es temporal: entrenamiento hasta 2022 y prueba 2023–2025, con validación cruzada temporal dentro del entrenamiento. Para calibración post-hoc, el código efectivo toma 2021–2022. El desempeño de producto que se reporta abajo corresponde al subconjunto de los dos municipios piloto dentro del conjunto de prueba.</w:t>
      </w:r>
    </w:p>
    <w:p w:rsidR="00000000" w:rsidDel="00000000" w:rsidP="00000000" w:rsidRDefault="00000000" w:rsidRPr="00000000" w14:paraId="00000026">
      <w:pPr>
        <w:spacing w:after="40" w:before="0" w:line="240" w:lineRule="auto"/>
        <w:jc w:val="both"/>
        <w:rPr>
          <w:sz w:val="22"/>
          <w:szCs w:val="22"/>
        </w:rPr>
      </w:pPr>
      <w:r w:rsidDel="00000000" w:rsidR="00000000" w:rsidRPr="00000000">
        <w:rPr>
          <w:rtl w:val="0"/>
        </w:rPr>
      </w:r>
    </w:p>
    <w:p w:rsidR="00000000" w:rsidDel="00000000" w:rsidP="00000000" w:rsidRDefault="00000000" w:rsidRPr="00000000" w14:paraId="00000027">
      <w:pPr>
        <w:pStyle w:val="Heading2"/>
        <w:jc w:val="both"/>
        <w:rPr>
          <w:sz w:val="22"/>
          <w:szCs w:val="22"/>
        </w:rPr>
      </w:pPr>
      <w:r w:rsidDel="00000000" w:rsidR="00000000" w:rsidRPr="00000000">
        <w:rPr>
          <w:sz w:val="22"/>
          <w:szCs w:val="22"/>
          <w:rtl w:val="0"/>
        </w:rPr>
        <w:t xml:space="preserve">1.4 Cambios respecto a Entrega 2</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Pregunta de negocio reformulada alrededor del usuario, la acción y los horizontes T+1/T+2; se fijan como clientes las dos Secretarías de Salud municipales.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Se congeló un contrato de 39 predictoras: de 41 variables numéricas construidas, se excluyen los conteos contemporáneos crudos casos_clasico y casos_grave; su información histórica entra mediante rezagos y ventanas móviles.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Se corrigió la comparabilidad de métricas en MLflow y el cálculo de inicios T+2; el reporte usa una sola línea base numérica sobre Cali+Bucaramanga.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 w:before="0" w:line="240" w:lineRule="auto"/>
        <w:ind w:left="360" w:right="0" w:hanging="360"/>
        <w:jc w:val="both"/>
        <w:rPr>
          <w:sz w:val="22"/>
          <w:szCs w:val="22"/>
        </w:rPr>
      </w:pPr>
      <w:sdt>
        <w:sdtPr>
          <w:id w:val="-172869653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03040"/>
              <w:sz w:val="22"/>
              <w:szCs w:val="22"/>
              <w:u w:val="none"/>
              <w:shd w:fill="auto" w:val="clear"/>
              <w:vertAlign w:val="baseline"/>
              <w:rtl w:val="0"/>
            </w:rPr>
            <w:t xml:space="preserve">Se consolidó la integración Champion → FastAPI /api/v2 → SQLite → dashboard, con latest/history y pruebas E2E. Permanecen como cierres obligatorios la ablación solicitada por el profesor, la evidencia explícita inicio/continuación en UI y los soportes Docker/video.</w:t>
          </w:r>
        </w:sdtContent>
      </w:sdt>
    </w:p>
    <w:p w:rsidR="00000000" w:rsidDel="00000000" w:rsidP="00000000" w:rsidRDefault="00000000" w:rsidRPr="00000000" w14:paraId="0000002C">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center"/>
        <w:rPr>
          <w:sz w:val="22"/>
          <w:szCs w:val="22"/>
        </w:rPr>
      </w:pPr>
      <w:r w:rsidDel="00000000" w:rsidR="00000000" w:rsidRPr="00000000">
        <w:rPr>
          <w:sz w:val="22"/>
          <w:szCs w:val="22"/>
          <w:rtl w:val="0"/>
        </w:rPr>
        <w:t xml:space="preserve">2. Modelos desarrollados y su evaluación</w:t>
      </w:r>
    </w:p>
    <w:p w:rsidR="00000000" w:rsidDel="00000000" w:rsidP="00000000" w:rsidRDefault="00000000" w:rsidRPr="00000000" w14:paraId="0000002E">
      <w:pPr>
        <w:pStyle w:val="Heading2"/>
        <w:jc w:val="both"/>
        <w:rPr>
          <w:sz w:val="22"/>
          <w:szCs w:val="22"/>
        </w:rPr>
      </w:pPr>
      <w:r w:rsidDel="00000000" w:rsidR="00000000" w:rsidRPr="00000000">
        <w:rPr>
          <w:sz w:val="22"/>
          <w:szCs w:val="22"/>
          <w:rtl w:val="0"/>
        </w:rPr>
        <w:t xml:space="preserve">2.1 Modelos entrenados y protocolo de evaluación</w:t>
      </w:r>
    </w:p>
    <w:p w:rsidR="00000000" w:rsidDel="00000000" w:rsidP="00000000" w:rsidRDefault="00000000" w:rsidRPr="00000000" w14:paraId="0000002F">
      <w:pPr>
        <w:spacing w:after="4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La comparación final se concentra en XGBoost, LightGBM y GAM, junto con Poisson y dos baselines epidemiológicos: persistencia y canal endémico. El objetivo T+1 es objetivo = 1 cuando el mes siguiente supera P75; T+2 desplaza la etiqueta un mes adicional. El repositorio corrige es_inicio para T+2 de modo que la transición se mida contra el mes correcto. La selección de hiperparámetros usa validación temporal; la prueba queda fuera del entrenamiento (2023–2025).</w:t>
      </w:r>
      <w:r w:rsidDel="00000000" w:rsidR="00000000" w:rsidRPr="00000000">
        <w:rPr>
          <w:rtl w:val="0"/>
        </w:rPr>
      </w:r>
    </w:p>
    <w:p w:rsidR="00000000" w:rsidDel="00000000" w:rsidP="00000000" w:rsidRDefault="00000000" w:rsidRPr="00000000" w14:paraId="00000030">
      <w:pPr>
        <w:spacing w:after="40" w:before="0" w:line="240" w:lineRule="auto"/>
        <w:jc w:val="both"/>
        <w:rPr>
          <w:rFonts w:ascii="Arial" w:cs="Arial" w:eastAsia="Arial" w:hAnsi="Arial"/>
          <w:b w:val="0"/>
          <w:bCs w:val="0"/>
          <w:i w:val="0"/>
          <w:iCs w:val="0"/>
          <w:color w:val="203040"/>
          <w:sz w:val="22"/>
          <w:szCs w:val="22"/>
        </w:rPr>
      </w:pPr>
      <w:r w:rsidDel="00000000" w:rsidR="00000000" w:rsidRPr="00000000">
        <w:rPr>
          <w:rFonts w:ascii="Arial" w:cs="Arial" w:eastAsia="Arial" w:hAnsi="Arial"/>
          <w:b w:val="0"/>
          <w:bCs w:val="0"/>
          <w:i w:val="0"/>
          <w:iCs w:val="0"/>
          <w:color w:val="203040"/>
          <w:sz w:val="22"/>
          <w:szCs w:val="22"/>
          <w:rtl w:val="0"/>
        </w:rPr>
        <w:t xml:space="preserve">En el alcance de producto, T+1 contiene 70 observaciones de Cali y Bucaramanga, 42 meses en brote y solo 3 inicios. Por ello, F1 y PR-AUC describen bien el desempeño general, pero la detección de inicios es la métrica de negocio más informativa. Las probabilidades desplegadas de XGBoost se calibran post-hoc con Platt scaling; los umbrales operativos verificados en la integración son 0,34 para T+1 y 0,27 para T+2.</w:t>
      </w:r>
    </w:p>
    <w:p w:rsidR="00000000" w:rsidDel="00000000" w:rsidP="00000000" w:rsidRDefault="00000000" w:rsidRPr="00000000" w14:paraId="00000031">
      <w:pPr>
        <w:spacing w:after="40" w:before="0" w:line="240" w:lineRule="auto"/>
        <w:jc w:val="both"/>
        <w:rPr>
          <w:sz w:val="22"/>
          <w:szCs w:val="22"/>
        </w:rPr>
      </w:pPr>
      <w:r w:rsidDel="00000000" w:rsidR="00000000" w:rsidRPr="00000000">
        <w:rPr>
          <w:rtl w:val="0"/>
        </w:rPr>
      </w:r>
    </w:p>
    <w:p w:rsidR="00000000" w:rsidDel="00000000" w:rsidP="00000000" w:rsidRDefault="00000000" w:rsidRPr="00000000" w14:paraId="00000032">
      <w:pPr>
        <w:pStyle w:val="Heading2"/>
        <w:jc w:val="both"/>
        <w:rPr>
          <w:sz w:val="22"/>
          <w:szCs w:val="22"/>
        </w:rPr>
      </w:pPr>
      <w:r w:rsidDel="00000000" w:rsidR="00000000" w:rsidRPr="00000000">
        <w:rPr>
          <w:sz w:val="22"/>
          <w:szCs w:val="22"/>
          <w:rtl w:val="0"/>
        </w:rPr>
        <w:t xml:space="preserve">2.2 Selección de características</w:t>
      </w:r>
    </w:p>
    <w:p w:rsidR="00000000" w:rsidDel="00000000" w:rsidP="00000000" w:rsidRDefault="00000000" w:rsidRPr="00000000" w14:paraId="00000033">
      <w:pPr>
        <w:spacing w:after="4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El generador produce 41 predictoras numéricas y el contrato desplegado congela 39. Al contrastar ambos artefactos, las dos variables construidas que no entran al Champion son los conteos contemporáneos crudos casos_clasico y casos_grave. El modelo conserva su historia mediante rezagos y promedios móviles; esta decisión queda verificable en el feature contract de la API.</w:t>
      </w:r>
      <w:r w:rsidDel="00000000" w:rsidR="00000000" w:rsidRPr="00000000">
        <w:rPr>
          <w:rtl w:val="0"/>
        </w:rPr>
      </w:r>
    </w:p>
    <w:tbl>
      <w:tblPr>
        <w:tblStyle w:val="Table2"/>
        <w:tblW w:w="10569.0" w:type="dxa"/>
        <w:jc w:val="center"/>
        <w:tblBorders>
          <w:top w:color="b8c6d8" w:space="0" w:sz="4" w:val="single"/>
          <w:left w:color="b8c6d8" w:space="0" w:sz="4" w:val="single"/>
          <w:bottom w:color="b8c6d8" w:space="0" w:sz="4" w:val="single"/>
          <w:right w:color="b8c6d8" w:space="0" w:sz="4" w:val="single"/>
          <w:insideH w:color="b8c6d8" w:space="0" w:sz="4" w:val="single"/>
          <w:insideV w:color="b8c6d8"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d5e5f5" w:val="clear"/>
            <w:tcMar>
              <w:top w:w="45.0" w:type="dxa"/>
              <w:bottom w:w="45.0" w:type="dxa"/>
            </w:tcMar>
            <w:vAlign w:val="center"/>
          </w:tcPr>
          <w:p w:rsidR="00000000" w:rsidDel="00000000" w:rsidP="00000000" w:rsidRDefault="00000000" w:rsidRPr="00000000" w14:paraId="00000034">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Familia</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35">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Predictoras contractuales</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36">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n</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37">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Clima actual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3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temp_mean_c; dewpoint_mean_c; rain_mm_day; soil_water_l1_mean; surface_runoff_mm_day; total_evaporation_mm_day_ecmwf; wind_u_mean_ms; wind_v_mean_ms; solar_radiation_mj_m2_day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39">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9</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3A">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Epidemiología histórica</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3B">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casos_grave_lag_1/2/3/4/6, casos_grave_roll3; casos_clasico_lag_1/2/3/4/6, casos_clasico_roll3</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3C">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12</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3D">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Rezagos climáticos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3E">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temp_mean_c_lag_1/2/3; rain_mm_day_lag_1/2/3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3F">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6</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40">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Estacionalidad</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41">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mes_sin; mes_cos</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4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2</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4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Canal / estado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4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p25; p75; zona_canal; sir; es_endemico; brote; p25_objetivo; p75_objetivo; zona_objetivo; brote_lag_1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4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10</w:t>
            </w:r>
            <w:r w:rsidDel="00000000" w:rsidR="00000000" w:rsidRPr="00000000">
              <w:rPr>
                <w:rtl w:val="0"/>
              </w:rPr>
            </w:r>
          </w:p>
        </w:tc>
      </w:tr>
    </w:tbl>
    <w:p w:rsidR="00000000" w:rsidDel="00000000" w:rsidP="00000000" w:rsidRDefault="00000000" w:rsidRPr="00000000" w14:paraId="00000046">
      <w:pPr>
        <w:spacing w:after="2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La retroalimentación de Entrega 2 señaló que brote_lag_1 concentraba aproximadamente 0,41 de la importancia, seguida por SIR y variables del canal. Esto sugiere que buena parte del poder predictivo puede provenir de la persistencia del estado epidemiológico reciente. Los SHAP guardados actualmente en reports/ anteceden al reentrenamiento con corte 2022; por consistencia no se reutilizan como evidencia del Champion vigente.</w:t>
      </w:r>
      <w:r w:rsidDel="00000000" w:rsidR="00000000" w:rsidRPr="00000000">
        <w:rPr>
          <w:rtl w:val="0"/>
        </w:rPr>
      </w:r>
    </w:p>
    <w:p w:rsidR="00000000" w:rsidDel="00000000" w:rsidP="00000000" w:rsidRDefault="00000000" w:rsidRPr="00000000" w14:paraId="00000047">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"Importancia de características del Champion vigente, regenerada después del reentrenamiento; resaltar brote_lag_1, SIR y variables del canal endémico"]</w:t>
      </w:r>
      <w:r w:rsidDel="00000000" w:rsidR="00000000" w:rsidRPr="00000000">
        <w:rPr>
          <w:rtl w:val="0"/>
        </w:rPr>
      </w:r>
    </w:p>
    <w:p w:rsidR="00000000" w:rsidDel="00000000" w:rsidP="00000000" w:rsidRDefault="00000000" w:rsidRPr="00000000" w14:paraId="00000048">
      <w:pPr>
        <w:pStyle w:val="Heading3"/>
        <w:jc w:val="both"/>
        <w:rPr>
          <w:sz w:val="22"/>
          <w:szCs w:val="22"/>
        </w:rPr>
      </w:pPr>
      <w:r w:rsidDel="00000000" w:rsidR="00000000" w:rsidRPr="00000000">
        <w:rPr>
          <w:rtl w:val="0"/>
        </w:rPr>
      </w:r>
    </w:p>
    <w:p w:rsidR="00000000" w:rsidDel="00000000" w:rsidP="00000000" w:rsidRDefault="00000000" w:rsidRPr="00000000" w14:paraId="00000049">
      <w:pPr>
        <w:pStyle w:val="Heading3"/>
        <w:jc w:val="both"/>
        <w:rPr>
          <w:sz w:val="22"/>
          <w:szCs w:val="22"/>
        </w:rPr>
      </w:pPr>
      <w:r w:rsidDel="00000000" w:rsidR="00000000" w:rsidRPr="00000000">
        <w:rPr>
          <w:sz w:val="22"/>
          <w:szCs w:val="22"/>
          <w:rtl w:val="0"/>
        </w:rPr>
        <w:t xml:space="preserve">2.2.1 Prueba de sensibilidad solicitada</w:t>
      </w:r>
    </w:p>
    <w:p w:rsidR="00000000" w:rsidDel="00000000" w:rsidP="00000000" w:rsidRDefault="00000000" w:rsidRPr="00000000" w14:paraId="0000004A">
      <w:pPr>
        <w:spacing w:after="40" w:before="0" w:line="240" w:lineRule="auto"/>
        <w:jc w:val="both"/>
        <w:rPr>
          <w:rFonts w:ascii="Arial" w:cs="Arial" w:eastAsia="Arial" w:hAnsi="Arial"/>
          <w:b w:val="0"/>
          <w:bCs w:val="0"/>
          <w:i w:val="0"/>
          <w:iCs w:val="0"/>
          <w:color w:val="203040"/>
          <w:sz w:val="22"/>
          <w:szCs w:val="22"/>
          <w:highlight w:val="yellow"/>
        </w:rPr>
      </w:pPr>
      <w:r w:rsidDel="00000000" w:rsidR="00000000" w:rsidRPr="00000000">
        <w:rPr>
          <w:rFonts w:ascii="Arial" w:cs="Arial" w:eastAsia="Arial" w:hAnsi="Arial"/>
          <w:b w:val="0"/>
          <w:bCs w:val="0"/>
          <w:i w:val="0"/>
          <w:iCs w:val="0"/>
          <w:color w:val="203040"/>
          <w:sz w:val="22"/>
          <w:szCs w:val="22"/>
          <w:highlight w:val="yellow"/>
          <w:rtl w:val="0"/>
        </w:rPr>
        <w:t xml:space="preserve">El profesor solicitó comparar el Champion completo contra una variante sin las variables más directamente asociadas al estado actual del canal endémico. En la línea base congelada no existe una corrida de ablación reproducible; por tanto, no se inventa un delta de desempeño. El experimento pendiente debe reentrenar bajo el mismo split y comparar, como mínimo, F1, PR-AUC e inicios detectados retirando brote, brote_lag_1, zona_canal y sir (y documentando si también se excluyen los percentiles/variables objetivo del canal). </w:t>
      </w:r>
      <w:r w:rsidDel="00000000" w:rsidR="00000000" w:rsidRPr="00000000">
        <w:rPr>
          <w:sz w:val="22"/>
          <w:szCs w:val="22"/>
          <w:highlight w:val="yellow"/>
          <w:rtl w:val="0"/>
        </w:rPr>
        <w:t xml:space="preserve">Revisar si se agrega en la</w:t>
      </w:r>
      <w:r w:rsidDel="00000000" w:rsidR="00000000" w:rsidRPr="00000000">
        <w:rPr>
          <w:rFonts w:ascii="Arial" w:cs="Arial" w:eastAsia="Arial" w:hAnsi="Arial"/>
          <w:b w:val="0"/>
          <w:bCs w:val="0"/>
          <w:i w:val="0"/>
          <w:iCs w:val="0"/>
          <w:color w:val="203040"/>
          <w:sz w:val="22"/>
          <w:szCs w:val="22"/>
          <w:highlight w:val="yellow"/>
          <w:rtl w:val="0"/>
        </w:rPr>
        <w:t xml:space="preserve"> Entrega 3.</w:t>
      </w:r>
    </w:p>
    <w:p w:rsidR="00000000" w:rsidDel="00000000" w:rsidP="00000000" w:rsidRDefault="00000000" w:rsidRPr="00000000" w14:paraId="0000004B">
      <w:pPr>
        <w:spacing w:after="40" w:before="0" w:line="240" w:lineRule="auto"/>
        <w:jc w:val="both"/>
        <w:rPr>
          <w:sz w:val="22"/>
          <w:szCs w:val="22"/>
        </w:rPr>
      </w:pPr>
      <w:r w:rsidDel="00000000" w:rsidR="00000000" w:rsidRPr="00000000">
        <w:rPr>
          <w:rtl w:val="0"/>
        </w:rPr>
      </w:r>
    </w:p>
    <w:p w:rsidR="00000000" w:rsidDel="00000000" w:rsidP="00000000" w:rsidRDefault="00000000" w:rsidRPr="00000000" w14:paraId="0000004C">
      <w:pPr>
        <w:pStyle w:val="Heading2"/>
        <w:jc w:val="both"/>
        <w:rPr>
          <w:sz w:val="22"/>
          <w:szCs w:val="22"/>
        </w:rPr>
      </w:pPr>
      <w:r w:rsidDel="00000000" w:rsidR="00000000" w:rsidRPr="00000000">
        <w:rPr>
          <w:sz w:val="22"/>
          <w:szCs w:val="22"/>
          <w:rtl w:val="0"/>
        </w:rPr>
        <w:t xml:space="preserve">2.3 Evaluación de los modelos</w:t>
      </w:r>
    </w:p>
    <w:p w:rsidR="00000000" w:rsidDel="00000000" w:rsidP="00000000" w:rsidRDefault="00000000" w:rsidRPr="00000000" w14:paraId="0000004D">
      <w:pPr>
        <w:spacing w:after="40" w:before="0" w:line="240" w:lineRule="auto"/>
        <w:jc w:val="both"/>
        <w:rPr>
          <w:sz w:val="22"/>
          <w:szCs w:val="22"/>
          <w:highlight w:val="yellow"/>
        </w:rPr>
      </w:pPr>
      <w:r w:rsidDel="00000000" w:rsidR="00000000" w:rsidRPr="00000000">
        <w:rPr>
          <w:sz w:val="22"/>
          <w:szCs w:val="22"/>
          <w:rtl w:val="0"/>
        </w:rPr>
        <w:t>La evaluación se realiza sobre el conjunto de prueba (2023–2025) para T+1 y T+2, comparando todos los modelos bajo el mismo protocolo de ventana expansiva y recalculando el canal endémico dentro de cada partición. Los resultados se reportan en tres dimensiones: desempeño global (F1, PR-AUC, AUROC), capacidad de detectar inicios de brote y tasa de falsas alarmas. La tabla comparativa y las curvas ROC y Precision-Recall se generaron a partir de las corridas registradas en MLflow con params.conjunto = prueba.</w:t>
      </w:r>
    </w:p>
    <w:tbl>
      <w:tblPr>
        <w:tblStyle w:val="Table3"/>
        <w:tblW w:w="10568.0" w:type="dxa"/>
        <w:jc w:val="center"/>
        <w:tblBorders>
          <w:top w:color="b8c6d8" w:space="0" w:sz="4" w:val="single"/>
          <w:left w:color="b8c6d8" w:space="0" w:sz="4" w:val="single"/>
          <w:bottom w:color="b8c6d8" w:space="0" w:sz="4" w:val="single"/>
          <w:right w:color="b8c6d8" w:space="0" w:sz="4" w:val="single"/>
          <w:insideH w:color="b8c6d8" w:space="0" w:sz="4" w:val="single"/>
          <w:insideV w:color="b8c6d8" w:space="0" w:sz="4" w:val="single"/>
        </w:tblBorders>
        <w:tblLayout w:type="fixed"/>
        <w:tblLook w:val="0400"/>
      </w:tblPr>
      <w:tblGrid>
        <w:gridCol w:w="2642"/>
        <w:gridCol w:w="2642"/>
        <w:gridCol w:w="2642"/>
        <w:gridCol w:w="2642"/>
        <w:tblGridChange w:id="0">
          <w:tblGrid>
            <w:gridCol w:w="2642"/>
            <w:gridCol w:w="2642"/>
            <w:gridCol w:w="2642"/>
            <w:gridCol w:w="2642"/>
          </w:tblGrid>
        </w:tblGridChange>
      </w:tblGrid>
      <w:tr>
        <w:trPr>
          <w:cantSplit w:val="0"/>
          <w:tblHeader w:val="1"/>
        </w:trPr>
        <w:tc>
          <w:tcPr>
            <w:shd w:fill="d5e5f5" w:val="clear"/>
            <w:tcMar>
              <w:top w:w="45.0" w:type="dxa"/>
              <w:bottom w:w="45.0" w:type="dxa"/>
            </w:tcMar>
            <w:vAlign w:val="center"/>
          </w:tcPr>
          <w:p w:rsidR="00000000" w:rsidDel="00000000" w:rsidP="00000000" w:rsidRDefault="00000000" w:rsidRPr="00000000" w14:paraId="0000004E">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T+1 · n=70, 42 brotes, 3 inicios</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4F">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F1</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50">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PR-AUC</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51">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Inicios</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5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XGBoost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0,965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0,991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2/3</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56">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LightGBM</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57">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0,965</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5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0,988</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59">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2/3</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5A">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Canal endémico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B">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0,951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C">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0,992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D">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2/3</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5E">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Persistencia</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5F">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0,940</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60">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0,992</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61">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0/3</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6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Poisson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6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0,914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6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0,993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6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1/3</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66">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GAM</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67">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0,875</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6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0,968</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69">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0/3</w:t>
            </w:r>
            <w:r w:rsidDel="00000000" w:rsidR="00000000" w:rsidRPr="00000000">
              <w:rPr>
                <w:rtl w:val="0"/>
              </w:rPr>
            </w:r>
          </w:p>
        </w:tc>
      </w:tr>
    </w:tbl>
    <w:p w:rsidR="00000000" w:rsidDel="00000000" w:rsidP="00000000" w:rsidRDefault="00000000" w:rsidRPr="00000000" w14:paraId="0000006A">
      <w:pPr>
        <w:spacing w:after="20" w:before="0" w:line="240" w:lineRule="auto"/>
        <w:jc w:val="both"/>
        <w:rPr>
          <w:sz w:val="22"/>
          <w:szCs w:val="22"/>
        </w:rPr>
      </w:pPr>
      <w:r w:rsidDel="00000000" w:rsidR="00000000" w:rsidRPr="00000000">
        <w:rPr>
          <w:rtl w:val="0"/>
        </w:rPr>
      </w:r>
    </w:p>
    <w:p w:rsidR="00000000" w:rsidDel="00000000" w:rsidP="00000000" w:rsidRDefault="00000000" w:rsidRPr="00000000" w14:paraId="0000006B">
      <w:pPr>
        <w:spacing w:after="20" w:before="0" w:line="240" w:lineRule="auto"/>
        <w:jc w:val="both"/>
        <w:rPr>
          <w:rFonts w:ascii="Arial" w:cs="Arial" w:eastAsia="Arial" w:hAnsi="Arial"/>
          <w:b w:val="0"/>
          <w:bCs w:val="0"/>
          <w:i w:val="0"/>
          <w:iCs w:val="0"/>
          <w:color w:val="203040"/>
          <w:sz w:val="22"/>
          <w:szCs w:val="22"/>
        </w:rPr>
      </w:pPr>
      <w:r w:rsidDel="00000000" w:rsidR="00000000" w:rsidRPr="00000000">
        <w:rPr>
          <w:rFonts w:ascii="Arial" w:cs="Arial" w:eastAsia="Arial" w:hAnsi="Arial"/>
          <w:b w:val="0"/>
          <w:bCs w:val="0"/>
          <w:i w:val="0"/>
          <w:iCs w:val="0"/>
          <w:color w:val="203040"/>
          <w:sz w:val="22"/>
          <w:szCs w:val="22"/>
          <w:rtl w:val="0"/>
        </w:rPr>
        <w:t xml:space="preserve">XGBoost identifica 41 de 42 meses en brote con 2 falsas alarmas; el canal endémico identifica 39 con 1 falsa alarma. Sin embargo, XGBoost, LightGBM y el propio canal detectan los mismos 2 de 3 inicios. Con solo tres transiciones, una diferencia de un caso cambia la tasa en 33 puntos porcentuales; no hay evidencia suficiente para afirmar superioridad en anticipación de inicios.</w:t>
      </w:r>
    </w:p>
    <w:p w:rsidR="00000000" w:rsidDel="00000000" w:rsidP="00000000" w:rsidRDefault="00000000" w:rsidRPr="00000000" w14:paraId="0000006C">
      <w:pPr>
        <w:spacing w:after="20" w:before="0" w:line="240" w:lineRule="auto"/>
        <w:jc w:val="both"/>
        <w:rPr>
          <w:sz w:val="22"/>
          <w:szCs w:val="22"/>
        </w:rPr>
      </w:pPr>
      <w:r w:rsidDel="00000000" w:rsidR="00000000" w:rsidRPr="00000000">
        <w:rPr>
          <w:rtl w:val="0"/>
        </w:rPr>
      </w:r>
    </w:p>
    <w:tbl>
      <w:tblPr>
        <w:tblStyle w:val="Table4"/>
        <w:tblW w:w="10569.0" w:type="dxa"/>
        <w:jc w:val="center"/>
        <w:tblBorders>
          <w:top w:color="b8c6d8" w:space="0" w:sz="4" w:val="single"/>
          <w:left w:color="b8c6d8" w:space="0" w:sz="4" w:val="single"/>
          <w:bottom w:color="b8c6d8" w:space="0" w:sz="4" w:val="single"/>
          <w:right w:color="b8c6d8" w:space="0" w:sz="4" w:val="single"/>
          <w:insideH w:color="b8c6d8" w:space="0" w:sz="4" w:val="single"/>
          <w:insideV w:color="b8c6d8"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d5e5f5" w:val="clear"/>
            <w:tcMar>
              <w:top w:w="45.0" w:type="dxa"/>
              <w:bottom w:w="45.0" w:type="dxa"/>
            </w:tcMar>
            <w:vAlign w:val="center"/>
          </w:tcPr>
          <w:p w:rsidR="00000000" w:rsidDel="00000000" w:rsidP="00000000" w:rsidRDefault="00000000" w:rsidRPr="00000000" w14:paraId="0000006D">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T+2 · n=68, 3 inicios</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6E">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F1</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6F">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Inicios</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70">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LightGBM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1">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0,920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2/3</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7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XGBoost</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7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0,918</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7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1/3</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76">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GAM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7">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0,854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0/3</w:t>
            </w:r>
            <w:r w:rsidDel="00000000" w:rsidR="00000000" w:rsidRPr="00000000">
              <w:rPr>
                <w:rtl w:val="0"/>
              </w:rPr>
            </w:r>
          </w:p>
        </w:tc>
      </w:tr>
    </w:tbl>
    <w:p w:rsidR="00000000" w:rsidDel="00000000" w:rsidP="00000000" w:rsidRDefault="00000000" w:rsidRPr="00000000" w14:paraId="00000079">
      <w:pPr>
        <w:spacing w:after="40" w:before="0" w:line="240" w:lineRule="auto"/>
        <w:jc w:val="both"/>
        <w:rPr>
          <w:rFonts w:ascii="Arial" w:cs="Arial" w:eastAsia="Arial" w:hAnsi="Arial"/>
          <w:b w:val="0"/>
          <w:bCs w:val="0"/>
          <w:i w:val="0"/>
          <w:iCs w:val="0"/>
          <w:color w:val="203040"/>
          <w:sz w:val="22"/>
          <w:szCs w:val="22"/>
        </w:rPr>
      </w:pPr>
      <w:r w:rsidDel="00000000" w:rsidR="00000000" w:rsidRPr="00000000">
        <w:rPr>
          <w:rFonts w:ascii="Arial" w:cs="Arial" w:eastAsia="Arial" w:hAnsi="Arial"/>
          <w:b w:val="0"/>
          <w:bCs w:val="0"/>
          <w:i w:val="0"/>
          <w:iCs w:val="0"/>
          <w:color w:val="203040"/>
          <w:sz w:val="22"/>
          <w:szCs w:val="22"/>
          <w:rtl w:val="0"/>
        </w:rPr>
        <w:t xml:space="preserve">La comparación T+2 aún no incluye todos los baselines bajo el mismo protocolo. LightGBM presenta la mejor evidencia T+2 disponible (F1 0,920; 2/3 inicios), por lo que debe conservarse como candidato en una futura reevaluación del Champion.</w:t>
      </w:r>
    </w:p>
    <w:p w:rsidR="00000000" w:rsidDel="00000000" w:rsidP="00000000" w:rsidRDefault="00000000" w:rsidRPr="00000000" w14:paraId="0000007A">
      <w:pPr>
        <w:spacing w:after="40" w:before="0" w:line="240" w:lineRule="auto"/>
        <w:jc w:val="both"/>
        <w:rPr>
          <w:sz w:val="22"/>
          <w:szCs w:val="22"/>
        </w:rPr>
      </w:pPr>
      <w:r w:rsidDel="00000000" w:rsidR="00000000" w:rsidRPr="00000000">
        <w:rPr>
          <w:rtl w:val="0"/>
        </w:rPr>
      </w:r>
    </w:p>
    <w:p w:rsidR="00000000" w:rsidDel="00000000" w:rsidP="00000000" w:rsidRDefault="00000000" w:rsidRPr="00000000" w14:paraId="0000007B">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"Curvas ROC y Precision-Recall regeneradas para las corridas comparables del conjunto de prueba"]</w:t>
      </w:r>
      <w:r w:rsidDel="00000000" w:rsidR="00000000" w:rsidRPr="00000000">
        <w:rPr>
          <w:rtl w:val="0"/>
        </w:rPr>
      </w:r>
    </w:p>
    <w:p w:rsidR="00000000" w:rsidDel="00000000" w:rsidP="00000000" w:rsidRDefault="00000000" w:rsidRPr="00000000" w14:paraId="0000007C">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"Comparación de inicios de brote detectados por XGBoost, LightGBM, canal endémico, persistencia, Poisson y GAM"]</w:t>
      </w:r>
      <w:r w:rsidDel="00000000" w:rsidR="00000000" w:rsidRPr="00000000">
        <w:rPr>
          <w:rtl w:val="0"/>
        </w:rPr>
      </w:r>
    </w:p>
    <w:p w:rsidR="00000000" w:rsidDel="00000000" w:rsidP="00000000" w:rsidRDefault="00000000" w:rsidRPr="00000000" w14:paraId="0000007D">
      <w:pPr>
        <w:pStyle w:val="Heading2"/>
        <w:jc w:val="both"/>
        <w:rPr>
          <w:sz w:val="22"/>
          <w:szCs w:val="22"/>
        </w:rPr>
      </w:pPr>
      <w:r w:rsidDel="00000000" w:rsidR="00000000" w:rsidRPr="00000000">
        <w:rPr>
          <w:rtl w:val="0"/>
        </w:rPr>
      </w:r>
    </w:p>
    <w:p w:rsidR="00000000" w:rsidDel="00000000" w:rsidP="00000000" w:rsidRDefault="00000000" w:rsidRPr="00000000" w14:paraId="0000007E">
      <w:pPr>
        <w:pStyle w:val="Heading2"/>
        <w:jc w:val="both"/>
        <w:rPr>
          <w:sz w:val="22"/>
          <w:szCs w:val="22"/>
        </w:rPr>
      </w:pPr>
      <w:r w:rsidDel="00000000" w:rsidR="00000000" w:rsidRPr="00000000">
        <w:rPr>
          <w:sz w:val="22"/>
          <w:szCs w:val="22"/>
          <w:rtl w:val="0"/>
        </w:rPr>
        <w:t xml:space="preserve">2.4 Gestión de experimentos con MLflow</w:t>
      </w:r>
    </w:p>
    <w:p w:rsidR="00000000" w:rsidDel="00000000" w:rsidP="00000000" w:rsidRDefault="00000000" w:rsidRPr="00000000" w14:paraId="0000007F">
      <w:pPr>
        <w:spacing w:after="4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Los experimentos vigentes se registran en MLflow bajo sat-dengue. Cada corrida conserva parámetros, horizonte, conjunto evaluado, métricas, umbral y artefactos. La convención de alcance separa las métricas de los dos municipios, las nacionales y las específicas por DIVIPOLA. Esta normalización evita comparar números calculados sobre universos diferentes y permite rastrear el modelo desplegado frente a sus corridas.</w:t>
      </w:r>
      <w:r w:rsidDel="00000000" w:rsidR="00000000" w:rsidRPr="00000000">
        <w:rPr>
          <w:rtl w:val="0"/>
        </w:rPr>
      </w:r>
    </w:p>
    <w:p w:rsidR="00000000" w:rsidDel="00000000" w:rsidP="00000000" w:rsidRDefault="00000000" w:rsidRPr="00000000" w14:paraId="00000080">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"Vista de MLflow filtrada por params.conjunto = prueba, mostrando corridas T+1/T+2 y métricas usadas en la comparación final"]</w:t>
      </w:r>
      <w:r w:rsidDel="00000000" w:rsidR="00000000" w:rsidRPr="00000000">
        <w:rPr>
          <w:rtl w:val="0"/>
        </w:rPr>
      </w:r>
    </w:p>
    <w:p w:rsidR="00000000" w:rsidDel="00000000" w:rsidP="00000000" w:rsidRDefault="00000000" w:rsidRPr="00000000" w14:paraId="00000081">
      <w:pPr>
        <w:pStyle w:val="Heading2"/>
        <w:jc w:val="both"/>
        <w:rPr>
          <w:sz w:val="22"/>
          <w:szCs w:val="22"/>
        </w:rPr>
      </w:pPr>
      <w:r w:rsidDel="00000000" w:rsidR="00000000" w:rsidRPr="00000000">
        <w:rPr>
          <w:rtl w:val="0"/>
        </w:rPr>
      </w:r>
    </w:p>
    <w:p w:rsidR="00000000" w:rsidDel="00000000" w:rsidP="00000000" w:rsidRDefault="00000000" w:rsidRPr="00000000" w14:paraId="00000082">
      <w:pPr>
        <w:pStyle w:val="Heading2"/>
        <w:jc w:val="both"/>
        <w:rPr>
          <w:sz w:val="22"/>
          <w:szCs w:val="22"/>
        </w:rPr>
      </w:pPr>
      <w:r w:rsidDel="00000000" w:rsidR="00000000" w:rsidRPr="00000000">
        <w:rPr>
          <w:sz w:val="22"/>
          <w:szCs w:val="22"/>
          <w:rtl w:val="0"/>
        </w:rPr>
        <w:t xml:space="preserve">2.5 Evaluación comparativa y selección del Champion</w:t>
      </w:r>
    </w:p>
    <w:p w:rsidR="00000000" w:rsidDel="00000000" w:rsidP="00000000" w:rsidRDefault="00000000" w:rsidRPr="00000000" w14:paraId="00000083">
      <w:pPr>
        <w:spacing w:after="4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XGBoost se mantiene como Champion desplegado porque es la alternativa integrada, calibrada y validada de extremo a extremo contra el contrato de 39 features. Esta elección es de integración y reproducibilidad del producto, no una afirmación de superioridad absoluta: en T+1 empata con LightGBM en F1 e inicios, y en T+2 LightGBM muestra mejor detección de inicios. La evidencia actual obliga a separar “mejor integrado” de “mejor predictor”.</w:t>
      </w:r>
      <w:r w:rsidDel="00000000" w:rsidR="00000000" w:rsidRPr="00000000">
        <w:rPr>
          <w:rtl w:val="0"/>
        </w:rPr>
      </w:r>
    </w:p>
    <w:p w:rsidR="00000000" w:rsidDel="00000000" w:rsidP="00000000" w:rsidRDefault="00000000" w:rsidRPr="00000000" w14:paraId="00000084">
      <w:pPr>
        <w:pStyle w:val="Heading1"/>
        <w:jc w:val="center"/>
        <w:rPr>
          <w:sz w:val="22"/>
          <w:szCs w:val="22"/>
        </w:rPr>
      </w:pPr>
      <w:r w:rsidDel="00000000" w:rsidR="00000000" w:rsidRPr="00000000">
        <w:rPr>
          <w:sz w:val="22"/>
          <w:szCs w:val="22"/>
          <w:rtl w:val="0"/>
        </w:rPr>
        <w:t xml:space="preserve">3. Tablero de predicciones</w:t>
      </w:r>
    </w:p>
    <w:p w:rsidR="00000000" w:rsidDel="00000000" w:rsidP="00000000" w:rsidRDefault="00000000" w:rsidRPr="00000000" w14:paraId="00000085">
      <w:pPr>
        <w:pStyle w:val="Heading2"/>
        <w:jc w:val="both"/>
        <w:rPr>
          <w:sz w:val="22"/>
          <w:szCs w:val="22"/>
        </w:rPr>
      </w:pPr>
      <w:r w:rsidDel="00000000" w:rsidR="00000000" w:rsidRPr="00000000">
        <w:rPr>
          <w:sz w:val="22"/>
          <w:szCs w:val="22"/>
          <w:rtl w:val="0"/>
        </w:rPr>
        <w:t xml:space="preserve">3.1 Arquitectura funcional</w:t>
      </w:r>
    </w:p>
    <w:p w:rsidR="00000000" w:rsidDel="00000000" w:rsidP="00000000" w:rsidRDefault="00000000" w:rsidRPr="00000000" w14:paraId="00000086">
      <w:pPr>
        <w:spacing w:after="4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La arquitectura separa inferencia y presentación. Un input mensual con dos filas (Bucaramanga y Cali) y exactamente 39 features contractuales alimenta el Champion; éste produce cuatro predicciones (dos ciudades × T+1/T+2). FastAPI /api/v2 valida el contrato y persiste el ChampionResult en SQLite. El dashboard React/Vite consume resultados por HTTP y no ejecuta el modelo ni recalcula probability, threshold o label.</w:t>
      </w:r>
      <w:r w:rsidDel="00000000" w:rsidR="00000000" w:rsidRPr="00000000">
        <w:rPr>
          <w:rtl w:val="0"/>
        </w:rPr>
      </w:r>
    </w:p>
    <w:p w:rsidR="00000000" w:rsidDel="00000000" w:rsidP="00000000" w:rsidRDefault="00000000" w:rsidRPr="00000000" w14:paraId="00000087">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"Diagrama de arquitectura final de </w:t>
      </w:r>
      <w:r w:rsidDel="00000000" w:rsidR="00000000" w:rsidRPr="00000000">
        <w:rPr>
          <w:i w:val="1"/>
          <w:iCs w:val="1"/>
          <w:color w:val="5b677a"/>
          <w:sz w:val="22"/>
          <w:szCs w:val="22"/>
          <w:rtl w:val="0"/>
        </w:rPr>
        <w:t xml:space="preserve">SAT_Dengue</w:t>
      </w:r>
      <w:sdt>
        <w:sdtPr>
          <w:id w:val="1676541920"/>
          <w:tag w:val="goog_rdk_1"/>
        </w:sdtPr>
        <w:sdtContent>
          <w:r w:rsidDel="00000000" w:rsidR="00000000" w:rsidRPr="00000000">
            <w:rPr>
              <w:rFonts w:ascii="Arial Unicode MS" w:cs="Arial Unicode MS" w:eastAsia="Arial Unicode MS" w:hAnsi="Arial Unicode MS"/>
              <w:b w:val="0"/>
              <w:bCs w:val="0"/>
              <w:i w:val="1"/>
              <w:iCs w:val="1"/>
              <w:color w:val="5b677a"/>
              <w:sz w:val="22"/>
              <w:szCs w:val="22"/>
              <w:rtl w:val="0"/>
            </w:rPr>
            <w:t xml:space="preserve">: input mensual → Champion → FastAPI /api/v2 → SQLite → GET latest/history → dashboard"]</w:t>
          </w:r>
        </w:sdtContent>
      </w:sdt>
      <w:r w:rsidDel="00000000" w:rsidR="00000000" w:rsidRPr="00000000">
        <w:rPr>
          <w:rtl w:val="0"/>
        </w:rPr>
      </w:r>
    </w:p>
    <w:p w:rsidR="00000000" w:rsidDel="00000000" w:rsidP="00000000" w:rsidRDefault="00000000" w:rsidRPr="00000000" w14:paraId="00000088">
      <w:pPr>
        <w:pStyle w:val="Heading2"/>
        <w:jc w:val="both"/>
        <w:rPr>
          <w:sz w:val="22"/>
          <w:szCs w:val="22"/>
        </w:rPr>
      </w:pPr>
      <w:r w:rsidDel="00000000" w:rsidR="00000000" w:rsidRPr="00000000">
        <w:rPr>
          <w:rtl w:val="0"/>
        </w:rPr>
      </w:r>
    </w:p>
    <w:p w:rsidR="00000000" w:rsidDel="00000000" w:rsidP="00000000" w:rsidRDefault="00000000" w:rsidRPr="00000000" w14:paraId="00000089">
      <w:pPr>
        <w:pStyle w:val="Heading2"/>
        <w:jc w:val="both"/>
        <w:rPr>
          <w:sz w:val="22"/>
          <w:szCs w:val="22"/>
        </w:rPr>
      </w:pPr>
      <w:r w:rsidDel="00000000" w:rsidR="00000000" w:rsidRPr="00000000">
        <w:rPr>
          <w:sz w:val="22"/>
          <w:szCs w:val="22"/>
          <w:rtl w:val="0"/>
        </w:rPr>
        <w:t xml:space="preserve">3.2 Funcionalidades del tablero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Selección de Bucaramanga o Cali y lectura conjunta de los horizontes T+1 y T+2.</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Etiqueta EXCESO/NO_EXCESO, probabilidad calibrada, umbral, periodo de referencia/objetivo y trazabilidad del modelo/run.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Consulta de latest y de history; “Actualizar vista” vuelve a leer latest y no dispara una nueva inferencia.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Contexto epidemiológico (P25, P75 y zona del canal) cuando esos campos están presentes en el input validado; la UI refleja el API sin inventar valores.</w:t>
      </w:r>
    </w:p>
    <w:p w:rsidR="00000000" w:rsidDel="00000000" w:rsidP="00000000" w:rsidRDefault="00000000" w:rsidRPr="00000000" w14:paraId="0000008E">
      <w:pPr>
        <w:spacing w:after="20" w:before="0" w:line="240" w:lineRule="auto"/>
        <w:jc w:val="both"/>
        <w:rPr>
          <w:rFonts w:ascii="Arial" w:cs="Arial" w:eastAsia="Arial" w:hAnsi="Arial"/>
          <w:b w:val="0"/>
          <w:bCs w:val="0"/>
          <w:i w:val="0"/>
          <w:iCs w:val="0"/>
          <w:color w:val="203040"/>
          <w:sz w:val="22"/>
          <w:szCs w:val="22"/>
        </w:rPr>
      </w:pPr>
      <w:r w:rsidDel="00000000" w:rsidR="00000000" w:rsidRPr="00000000">
        <w:rPr>
          <w:rFonts w:ascii="Arial" w:cs="Arial" w:eastAsia="Arial" w:hAnsi="Arial"/>
          <w:b w:val="0"/>
          <w:bCs w:val="0"/>
          <w:i w:val="0"/>
          <w:iCs w:val="0"/>
          <w:color w:val="203040"/>
          <w:sz w:val="22"/>
          <w:szCs w:val="22"/>
          <w:rtl w:val="0"/>
        </w:rPr>
        <w:t xml:space="preserve">Ejemplo real de integración validado con reference_month = 2025-12:</w:t>
      </w:r>
    </w:p>
    <w:p w:rsidR="00000000" w:rsidDel="00000000" w:rsidP="00000000" w:rsidRDefault="00000000" w:rsidRPr="00000000" w14:paraId="0000008F">
      <w:pPr>
        <w:spacing w:after="20" w:before="0" w:line="240" w:lineRule="auto"/>
        <w:jc w:val="both"/>
        <w:rPr>
          <w:sz w:val="22"/>
          <w:szCs w:val="22"/>
        </w:rPr>
      </w:pPr>
      <w:r w:rsidDel="00000000" w:rsidR="00000000" w:rsidRPr="00000000">
        <w:rPr>
          <w:rtl w:val="0"/>
        </w:rPr>
      </w:r>
    </w:p>
    <w:tbl>
      <w:tblPr>
        <w:tblStyle w:val="Table5"/>
        <w:tblW w:w="10570.0" w:type="dxa"/>
        <w:jc w:val="center"/>
        <w:tblBorders>
          <w:top w:color="b8c6d8" w:space="0" w:sz="4" w:val="single"/>
          <w:left w:color="b8c6d8" w:space="0" w:sz="4" w:val="single"/>
          <w:bottom w:color="b8c6d8" w:space="0" w:sz="4" w:val="single"/>
          <w:right w:color="b8c6d8" w:space="0" w:sz="4" w:val="single"/>
          <w:insideH w:color="b8c6d8" w:space="0" w:sz="4" w:val="single"/>
          <w:insideV w:color="b8c6d8" w:space="0" w:sz="4" w:val="single"/>
        </w:tblBorders>
        <w:tblLayout w:type="fixed"/>
        <w:tblLook w:val="0400"/>
      </w:tblPr>
      <w:tblGrid>
        <w:gridCol w:w="2114"/>
        <w:gridCol w:w="2114"/>
        <w:gridCol w:w="2114"/>
        <w:gridCol w:w="2114"/>
        <w:gridCol w:w="2114"/>
        <w:tblGridChange w:id="0">
          <w:tblGrid>
            <w:gridCol w:w="2114"/>
            <w:gridCol w:w="2114"/>
            <w:gridCol w:w="2114"/>
            <w:gridCol w:w="2114"/>
            <w:gridCol w:w="2114"/>
          </w:tblGrid>
        </w:tblGridChange>
      </w:tblGrid>
      <w:tr>
        <w:trPr>
          <w:cantSplit w:val="0"/>
          <w:tblHeader w:val="1"/>
        </w:trPr>
        <w:tc>
          <w:tcPr>
            <w:shd w:fill="d5e5f5" w:val="clear"/>
            <w:tcMar>
              <w:top w:w="45.0" w:type="dxa"/>
              <w:bottom w:w="45.0" w:type="dxa"/>
            </w:tcMar>
            <w:vAlign w:val="center"/>
          </w:tcPr>
          <w:p w:rsidR="00000000" w:rsidDel="00000000" w:rsidP="00000000" w:rsidRDefault="00000000" w:rsidRPr="00000000" w14:paraId="00000090">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Municipio</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91">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Horizonte</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92">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Prob.</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93">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Umbral</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94">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Etiqueta</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9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Bucaramanga</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96">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97">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0,7347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9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0,34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99">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EXCESO</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9A">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Bucaramanga</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9B">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T+2</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9C">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0,6724</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9D">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0,27</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9E">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EXCESO</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9F">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Cali</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A0">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A1">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0,0132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A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0,34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A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NO_EXCESO</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A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Cali</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A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T+2</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A6">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0,0150</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A7">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0,27</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A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NO_EXCESO</w:t>
            </w:r>
            <w:r w:rsidDel="00000000" w:rsidR="00000000" w:rsidRPr="00000000">
              <w:rPr>
                <w:rtl w:val="0"/>
              </w:rPr>
            </w:r>
          </w:p>
        </w:tc>
      </w:tr>
    </w:tbl>
    <w:p w:rsidR="00000000" w:rsidDel="00000000" w:rsidP="00000000" w:rsidRDefault="00000000" w:rsidRPr="00000000" w14:paraId="000000A9">
      <w:pPr>
        <w:pStyle w:val="Heading2"/>
        <w:jc w:val="both"/>
        <w:rPr>
          <w:sz w:val="22"/>
          <w:szCs w:val="22"/>
        </w:rPr>
      </w:pPr>
      <w:r w:rsidDel="00000000" w:rsidR="00000000" w:rsidRPr="00000000">
        <w:rPr>
          <w:rtl w:val="0"/>
        </w:rPr>
      </w:r>
    </w:p>
    <w:p w:rsidR="00000000" w:rsidDel="00000000" w:rsidP="00000000" w:rsidRDefault="00000000" w:rsidRPr="00000000" w14:paraId="000000AA">
      <w:pPr>
        <w:pStyle w:val="Heading2"/>
        <w:jc w:val="both"/>
        <w:rPr>
          <w:sz w:val="22"/>
          <w:szCs w:val="22"/>
        </w:rPr>
      </w:pPr>
      <w:r w:rsidDel="00000000" w:rsidR="00000000" w:rsidRPr="00000000">
        <w:rPr>
          <w:sz w:val="22"/>
          <w:szCs w:val="22"/>
          <w:rtl w:val="0"/>
        </w:rPr>
        <w:t xml:space="preserve">3.3 Diferenciación entre inicio y continuación</w:t>
      </w:r>
    </w:p>
    <w:p w:rsidR="00000000" w:rsidDel="00000000" w:rsidP="00000000" w:rsidRDefault="00000000" w:rsidRPr="00000000" w14:paraId="000000AB">
      <w:pPr>
        <w:spacing w:after="40" w:before="0" w:line="240" w:lineRule="auto"/>
        <w:jc w:val="both"/>
        <w:rPr>
          <w:rFonts w:ascii="Arial" w:cs="Arial" w:eastAsia="Arial" w:hAnsi="Arial"/>
          <w:b w:val="0"/>
          <w:bCs w:val="0"/>
          <w:i w:val="0"/>
          <w:iCs w:val="0"/>
          <w:color w:val="203040"/>
          <w:sz w:val="22"/>
          <w:szCs w:val="22"/>
        </w:rPr>
      </w:pPr>
      <w:r w:rsidDel="00000000" w:rsidR="00000000" w:rsidRPr="00000000">
        <w:rPr>
          <w:rFonts w:ascii="Arial" w:cs="Arial" w:eastAsia="Arial" w:hAnsi="Arial"/>
          <w:b w:val="0"/>
          <w:bCs w:val="0"/>
          <w:i w:val="0"/>
          <w:iCs w:val="0"/>
          <w:color w:val="203040"/>
          <w:sz w:val="22"/>
          <w:szCs w:val="22"/>
          <w:rtl w:val="0"/>
        </w:rPr>
        <w:t xml:space="preserve">Para que una secretaría interprete la alerta como una decisión y no solo como una etiqueta, el reporte adopta la siguiente regla operacional: si el municipio no está hoy en exceso (brote = 0) y el modelo pronostica EXCESO, el evento es INICIO DE BROTE; si ya está en exceso (brote = 1) y el pronóstico sigue en EXCESO, es CONTINUACIÓN DE BROTE; si el pronóstico es NO_EXCESO, se reporta SIN BROTE previsto. Esta distinción materializa el valor frente a la simple persistencia.</w:t>
      </w:r>
    </w:p>
    <w:p w:rsidR="00000000" w:rsidDel="00000000" w:rsidP="00000000" w:rsidRDefault="00000000" w:rsidRPr="00000000" w14:paraId="000000AC">
      <w:pPr>
        <w:spacing w:after="40" w:before="0" w:line="240" w:lineRule="auto"/>
        <w:jc w:val="both"/>
        <w:rPr>
          <w:sz w:val="22"/>
          <w:szCs w:val="22"/>
        </w:rPr>
      </w:pPr>
      <w:r w:rsidDel="00000000" w:rsidR="00000000" w:rsidRPr="00000000">
        <w:rPr>
          <w:rtl w:val="0"/>
        </w:rPr>
      </w:r>
    </w:p>
    <w:tbl>
      <w:tblPr>
        <w:tblStyle w:val="Table6"/>
        <w:tblW w:w="10569.0" w:type="dxa"/>
        <w:jc w:val="center"/>
        <w:tblBorders>
          <w:top w:color="b8c6d8" w:space="0" w:sz="4" w:val="single"/>
          <w:left w:color="b8c6d8" w:space="0" w:sz="4" w:val="single"/>
          <w:bottom w:color="b8c6d8" w:space="0" w:sz="4" w:val="single"/>
          <w:right w:color="b8c6d8" w:space="0" w:sz="4" w:val="single"/>
          <w:insideH w:color="b8c6d8" w:space="0" w:sz="4" w:val="single"/>
          <w:insideV w:color="b8c6d8"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d5e5f5" w:val="clear"/>
            <w:tcMar>
              <w:top w:w="45.0" w:type="dxa"/>
              <w:bottom w:w="45.0" w:type="dxa"/>
            </w:tcMar>
            <w:vAlign w:val="center"/>
          </w:tcPr>
          <w:p w:rsidR="00000000" w:rsidDel="00000000" w:rsidP="00000000" w:rsidRDefault="00000000" w:rsidRPr="00000000" w14:paraId="000000AD">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Estado actual</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AE">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Predicción</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AF">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Interpretación para decisión</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B0">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No exceso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1">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EXCESO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INICIO DE BROTE — priorizar acción preventiva.</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B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Exceso</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B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EXCESO</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B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CONTINUACIÓN DE BROTE — sostener/reforzar respuesta.</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B6">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Cualquiera</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7">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NO_EXCESO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SIN BROTE previsto — vigilancia y seguimiento.</w:t>
            </w:r>
            <w:r w:rsidDel="00000000" w:rsidR="00000000" w:rsidRPr="00000000">
              <w:rPr>
                <w:rtl w:val="0"/>
              </w:rPr>
            </w:r>
          </w:p>
        </w:tc>
      </w:tr>
    </w:tbl>
    <w:p w:rsidR="00000000" w:rsidDel="00000000" w:rsidP="00000000" w:rsidRDefault="00000000" w:rsidRPr="00000000" w14:paraId="000000B9">
      <w:pPr>
        <w:spacing w:after="40" w:before="0" w:line="240" w:lineRule="auto"/>
        <w:jc w:val="both"/>
        <w:rPr>
          <w:sz w:val="22"/>
          <w:szCs w:val="22"/>
        </w:rPr>
      </w:pPr>
      <w:r w:rsidDel="00000000" w:rsidR="00000000" w:rsidRPr="00000000">
        <w:rPr>
          <w:rtl w:val="0"/>
        </w:rPr>
      </w:r>
    </w:p>
    <w:p w:rsidR="00000000" w:rsidDel="00000000" w:rsidP="00000000" w:rsidRDefault="00000000" w:rsidRPr="00000000" w14:paraId="000000BA">
      <w:pPr>
        <w:spacing w:after="40" w:before="0" w:line="240" w:lineRule="auto"/>
        <w:jc w:val="both"/>
        <w:rPr>
          <w:rFonts w:ascii="Arial" w:cs="Arial" w:eastAsia="Arial" w:hAnsi="Arial"/>
          <w:b w:val="0"/>
          <w:bCs w:val="0"/>
          <w:i w:val="0"/>
          <w:iCs w:val="0"/>
          <w:color w:val="203040"/>
          <w:sz w:val="22"/>
          <w:szCs w:val="22"/>
          <w:highlight w:val="yellow"/>
        </w:rPr>
      </w:pPr>
      <w:r w:rsidDel="00000000" w:rsidR="00000000" w:rsidRPr="00000000">
        <w:rPr>
          <w:rFonts w:ascii="Arial" w:cs="Arial" w:eastAsia="Arial" w:hAnsi="Arial"/>
          <w:b w:val="0"/>
          <w:bCs w:val="0"/>
          <w:i w:val="0"/>
          <w:iCs w:val="0"/>
          <w:color w:val="203040"/>
          <w:sz w:val="22"/>
          <w:szCs w:val="22"/>
          <w:highlight w:val="yellow"/>
          <w:rtl w:val="0"/>
        </w:rPr>
        <w:t xml:space="preserve">Al corte del repositorio no </w:t>
      </w:r>
      <w:r w:rsidDel="00000000" w:rsidR="00000000" w:rsidRPr="00000000">
        <w:rPr>
          <w:sz w:val="22"/>
          <w:szCs w:val="22"/>
          <w:highlight w:val="yellow"/>
          <w:rtl w:val="0"/>
        </w:rPr>
        <w:t xml:space="preserve">tenemos </w:t>
      </w:r>
      <w:r w:rsidDel="00000000" w:rsidR="00000000" w:rsidRPr="00000000">
        <w:rPr>
          <w:rFonts w:ascii="Arial" w:cs="Arial" w:eastAsia="Arial" w:hAnsi="Arial"/>
          <w:b w:val="0"/>
          <w:bCs w:val="0"/>
          <w:i w:val="0"/>
          <w:iCs w:val="0"/>
          <w:color w:val="203040"/>
          <w:sz w:val="22"/>
          <w:szCs w:val="22"/>
          <w:highlight w:val="yellow"/>
          <w:rtl w:val="0"/>
        </w:rPr>
        <w:t xml:space="preserve">evidencia de que estas tres categorías estén expuestas como un badge explícito en la interfaz final. Por ello, la captura de cierre debemos demostrar esta clasificación; no se declara implementada sin evidencia.</w:t>
      </w:r>
    </w:p>
    <w:p w:rsidR="00000000" w:rsidDel="00000000" w:rsidP="00000000" w:rsidRDefault="00000000" w:rsidRPr="00000000" w14:paraId="000000BB">
      <w:pPr>
        <w:spacing w:after="40" w:before="0" w:line="240" w:lineRule="auto"/>
        <w:jc w:val="both"/>
        <w:rPr>
          <w:sz w:val="22"/>
          <w:szCs w:val="22"/>
        </w:rPr>
      </w:pPr>
      <w:r w:rsidDel="00000000" w:rsidR="00000000" w:rsidRPr="00000000">
        <w:rPr>
          <w:rtl w:val="0"/>
        </w:rPr>
      </w:r>
    </w:p>
    <w:p w:rsidR="00000000" w:rsidDel="00000000" w:rsidP="00000000" w:rsidRDefault="00000000" w:rsidRPr="00000000" w14:paraId="000000BC">
      <w:pPr>
        <w:pStyle w:val="Heading2"/>
        <w:jc w:val="both"/>
        <w:rPr>
          <w:sz w:val="22"/>
          <w:szCs w:val="22"/>
        </w:rPr>
      </w:pPr>
      <w:r w:rsidDel="00000000" w:rsidR="00000000" w:rsidRPr="00000000">
        <w:rPr>
          <w:sz w:val="22"/>
          <w:szCs w:val="22"/>
          <w:rtl w:val="0"/>
        </w:rPr>
        <w:t xml:space="preserve">3.4 Evidencia de funcionamiento y calidad de información</w:t>
      </w:r>
    </w:p>
    <w:p w:rsidR="00000000" w:rsidDel="00000000" w:rsidP="00000000" w:rsidRDefault="00000000" w:rsidRPr="00000000" w14:paraId="000000BD">
      <w:pPr>
        <w:spacing w:after="40" w:before="0" w:line="240" w:lineRule="auto"/>
        <w:jc w:val="both"/>
        <w:rPr>
          <w:sz w:val="22"/>
          <w:szCs w:val="22"/>
          <w:highlight w:val="yellow"/>
        </w:rPr>
      </w:pPr>
      <w:r w:rsidDel="00000000" w:rsidR="00000000" w:rsidRPr="00000000">
        <w:rPr>
          <w:rFonts w:ascii="Arial" w:cs="Arial" w:eastAsia="Arial" w:hAnsi="Arial"/>
          <w:b w:val="0"/>
          <w:bCs w:val="0"/>
          <w:i w:val="0"/>
          <w:iCs w:val="0"/>
          <w:color w:val="203040"/>
          <w:sz w:val="22"/>
          <w:szCs w:val="22"/>
          <w:highlight w:val="yellow"/>
          <w:rtl w:val="0"/>
        </w:rPr>
        <w:t xml:space="preserve">La versión final debe priorizar una captura donde la predicción y el canal endémico sean visibles simultáneamente. La API ya preserva probability, threshold, label, run_id, versión y contexto de canal. Los campos no materializados por la fuente actual —por ejemplo casos observados, P50 o una explicación SHAP local vigente— deben mostrarse como ausencia explícita y no completarse con valores sintéticos.</w:t>
      </w:r>
      <w:r w:rsidDel="00000000" w:rsidR="00000000" w:rsidRPr="00000000">
        <w:rPr>
          <w:rtl w:val="0"/>
        </w:rPr>
      </w:r>
    </w:p>
    <w:p w:rsidR="00000000" w:rsidDel="00000000" w:rsidP="00000000" w:rsidRDefault="00000000" w:rsidRPr="00000000" w14:paraId="000000BE">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"Dashboard </w:t>
      </w:r>
      <w:r w:rsidDel="00000000" w:rsidR="00000000" w:rsidRPr="00000000">
        <w:rPr>
          <w:i w:val="1"/>
          <w:iCs w:val="1"/>
          <w:color w:val="5b677a"/>
          <w:sz w:val="22"/>
          <w:szCs w:val="22"/>
          <w:rtl w:val="0"/>
        </w:rPr>
        <w:t xml:space="preserve">SAT-Dengue</w:t>
      </w:r>
      <w:r w:rsidDel="00000000" w:rsidR="00000000" w:rsidRPr="00000000">
        <w:rPr>
          <w:rFonts w:ascii="Arial" w:cs="Arial" w:eastAsia="Arial" w:hAnsi="Arial"/>
          <w:b w:val="0"/>
          <w:bCs w:val="0"/>
          <w:i w:val="1"/>
          <w:iCs w:val="1"/>
          <w:color w:val="5b677a"/>
          <w:sz w:val="22"/>
          <w:szCs w:val="22"/>
          <w:rtl w:val="0"/>
        </w:rPr>
        <w:t xml:space="preserve"> final mostrando municipio, T+1/T+2, probabilidad, threshold, canal endémico, tipo de evento (inicio/continuación/sin brote) y trazabilidad"]</w:t>
      </w:r>
      <w:r w:rsidDel="00000000" w:rsidR="00000000" w:rsidRPr="00000000">
        <w:rPr>
          <w:rtl w:val="0"/>
        </w:rPr>
      </w:r>
    </w:p>
    <w:p w:rsidR="00000000" w:rsidDel="00000000" w:rsidP="00000000" w:rsidRDefault="00000000" w:rsidRPr="00000000" w14:paraId="000000BF">
      <w:pPr>
        <w:pStyle w:val="Heading2"/>
        <w:jc w:val="both"/>
        <w:rPr>
          <w:sz w:val="22"/>
          <w:szCs w:val="22"/>
        </w:rPr>
      </w:pPr>
      <w:r w:rsidDel="00000000" w:rsidR="00000000" w:rsidRPr="00000000">
        <w:rPr>
          <w:rtl w:val="0"/>
        </w:rPr>
      </w:r>
    </w:p>
    <w:p w:rsidR="00000000" w:rsidDel="00000000" w:rsidP="00000000" w:rsidRDefault="00000000" w:rsidRPr="00000000" w14:paraId="000000C0">
      <w:pPr>
        <w:pStyle w:val="Heading2"/>
        <w:jc w:val="both"/>
        <w:rPr>
          <w:sz w:val="22"/>
          <w:szCs w:val="22"/>
        </w:rPr>
      </w:pPr>
      <w:r w:rsidDel="00000000" w:rsidR="00000000" w:rsidRPr="00000000">
        <w:rPr>
          <w:sz w:val="22"/>
          <w:szCs w:val="22"/>
          <w:rtl w:val="0"/>
        </w:rPr>
        <w:t xml:space="preserve">3.5 Integración técnica</w:t>
      </w:r>
    </w:p>
    <w:p w:rsidR="00000000" w:rsidDel="00000000" w:rsidP="00000000" w:rsidRDefault="00000000" w:rsidRPr="00000000" w14:paraId="000000C1">
      <w:pPr>
        <w:spacing w:after="0" w:lineRule="auto"/>
        <w:ind w:left="0" w:firstLine="0"/>
        <w:jc w:val="both"/>
        <w:rPr>
          <w:highlight w:val="yellow"/>
        </w:rPr>
      </w:pPr>
      <w:r w:rsidDel="00000000" w:rsidR="00000000" w:rsidRPr="00000000">
        <w:rPr>
          <w:sz w:val="22"/>
          <w:szCs w:val="22"/>
          <w:rtl w:val="0"/>
        </w:rPr>
        <w:t>El despliegue local se apoya en dos contenedores Docker independientes coordinados por Docker Compose. El contenedor de la API se construye a partir de docker/api.Dockerfile, usando una arquitectura multi-stage sobre python:3.13-slim: la primera etapa instala las dependencias en un prefijo aislado y la segunda copia solo los artefactos necesarios, manteniendo la imagen de producción libre de herramientas de compilación. El proceso corre bajo el usuario appuser (uid 10001, sin privilegios de root), expone el puerto 8001 y arranca con uvicorn api.app.functional:app, que es la aplicación completamente ensamblada con persistencia y orquestación activas. La ruta de la base de datos SQLite se controla mediante la variable de entorno BIOMAC_DB_PATH; en ejecución local apunta a runtime/biomac.db dentro del contenedor, y en el despliegue sobre AWS ECS ese directorio se sustituye por un volumen EFS propiedad del mismo uid, sin cambios en el Dockerfile.</w:t>
      </w:r>
      <w:r w:rsidDel="00000000" w:rsidR="00000000" w:rsidRPr="00000000">
        <w:rPr>
          <w:rtl w:val="0"/>
        </w:rPr>
      </w:r>
    </w:p>
    <w:p>
      <w:pPr>
        <w:spacing w:after="0" w:lineRule="auto"/>
        <w:ind w:left="0" w:firstLine="0"/>
        <w:jc w:val="both"/>
        <w:rPr>
          <w:highlight w:val="yellow"/>
        </w:rPr>
      </w:pPr>
      <w:r>
        <w:t xml:space="preserve">El contenedor del dashboard se construye a partir del Dockerfile ubicado junto al código fuente en dashboard_prototipos/dengue-watch-pro/. Utiliza también una arquitectura multi-stage: la etapa de build corre sobre oven/bun:1-slim y genera un servidor Node.js (preset node-server de Nitro) mediante bun run build; la etapa de producción corre sobre node:22-slim con el mismo usuario no privilegiado (uid 10001) y expone el puerto 3000. La URL de la API (VITE_BIOMAC_API_BASE_URL) se inyecta como argumento de build y queda incorporada en el bundle estático; el valor local (http://localhost:8001/api/v2) debe ser alcanzable tanto desde el navegador del usuario como desde cualquier fetch del proceso Node del dashboard.</w:t>
      </w:r>
    </w:p>
    <w:p>
      <w:pPr>
        <w:spacing w:after="0" w:lineRule="auto"/>
        <w:ind w:left="0" w:firstLine="0"/>
        <w:jc w:val="both"/>
        <w:rPr>
          <w:highlight w:val="yellow"/>
        </w:rPr>
      </w:pPr>
      <w:r>
        <w:t xml:space="preserve">Ambos servicios se orquestan mediante docker-compose.yml con network_mode: host, lo que hace que los puertos 8001 y 3000 queden vinculados directamente a la interfaz de red del host. Esta configuración garantiza que la URL baked-in apunte al mismo endpoint tanto desde el browser como desde el proceso Node, replicando el comportamiento que en AWS logran los dos servicios apuntando al mismo nombre de DNS del ALB. En Railway, la misma configuración de Dockerfiles se mantiene; la plataforma inyecta VITE_BIOMAC_API_BASE_URL como variable de entorno en tiempo de build apuntando a la URL pública del servicio de API.</w:t>
      </w:r>
    </w:p>
    <w:p>
      <w:pPr>
        <w:spacing w:after="0" w:lineRule="auto"/>
        <w:ind w:left="0" w:firstLine="0"/>
        <w:jc w:val="both"/>
        <w:rPr>
          <w:highlight w:val="yellow"/>
        </w:rPr>
      </w:pPr>
      <w:r>
        <w:t xml:space="preserve">El operador solo necesita tres comandos: make up para construir las imágenes y levantar los servicios (incluyendo la instalación automática de Docker si no está presente, vía .install-biomac.sh), make down para detener los contenedores, y make delete para eliminar también las imágenes y volúmenes locales. Los manuales de instalación y usuario, incluidos en tutorial/, documentan en detalle cada variante de sistema operativo (Linux nativo, macOS y Windows vía WSL2).</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jc w:val="both"/>
        <w:rPr>
          <w:sz w:val="22"/>
          <w:szCs w:val="22"/>
        </w:rPr>
      </w:pPr>
      <w:r w:rsidDel="00000000" w:rsidR="00000000" w:rsidRPr="00000000">
        <w:rPr>
          <w:rtl w:val="0"/>
        </w:rPr>
      </w:r>
    </w:p>
    <w:p w:rsidR="00000000" w:rsidDel="00000000" w:rsidP="00000000" w:rsidRDefault="00000000" w:rsidRPr="00000000" w14:paraId="000000C4">
      <w:pPr>
        <w:pStyle w:val="Heading2"/>
        <w:jc w:val="center"/>
        <w:rPr>
          <w:sz w:val="22"/>
          <w:szCs w:val="22"/>
        </w:rPr>
      </w:pPr>
      <w:r w:rsidDel="00000000" w:rsidR="00000000" w:rsidRPr="00000000">
        <w:rPr>
          <w:sz w:val="22"/>
          <w:szCs w:val="22"/>
          <w:rtl w:val="0"/>
        </w:rPr>
        <w:t xml:space="preserve">4. Principales resultados, observaciones y conclusiones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Desempeño general: en T+1 XGBoost y LightGBM alcanzan F1=0,965; el canal endémico, 0,951. XGBoost detecta 41/42 meses de brote frente a 39/42 del canal, a costa de una falsa alarma adicional (2 vs. 1).</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Inicio de brote: la evidencia actual no demuestra que el modelo supere al canal en el objetivo más importante. XGBoost, LightGBM y canal endémico detectan 2/3 inicios; persistencia detecta 0/3. El tamaño muestral de tres transiciones impide conclusiones fuertes.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Horizonte T+2: LightGBM mantiene F1=0,920 y 2/3 inicios, mientras XGBoost obtiene F1=0,918 y 1/3. T+2 es útil como ventana de planificación, pero faltan baselines T+2 completamente comparables antes de declarar una ganancia definitiva.</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Dependencia del estado reciente: la alta importancia observada previamente para brote_lag_1 y variables del canal es coherente con un problema donde la persistencia explica buena parte de los brotes.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2"/>
          <w:szCs w:val="22"/>
          <w:highlight w:val="yellow"/>
        </w:rPr>
      </w:pPr>
      <w:r w:rsidDel="00000000" w:rsidR="00000000" w:rsidRPr="00000000">
        <w:rPr>
          <w:rFonts w:ascii="Arial" w:cs="Arial" w:eastAsia="Arial" w:hAnsi="Arial"/>
          <w:b w:val="0"/>
          <w:bCs w:val="0"/>
          <w:i w:val="0"/>
          <w:iCs w:val="0"/>
          <w:smallCaps w:val="0"/>
          <w:strike w:val="0"/>
          <w:color w:val="203040"/>
          <w:sz w:val="22"/>
          <w:szCs w:val="22"/>
          <w:u w:val="none"/>
          <w:vertAlign w:val="baseline"/>
          <w:rtl w:val="0"/>
        </w:rPr>
        <w:t xml:space="preserve">Probabilidades y producto: el Champion desplegado usa calibración Platt y umbrales explícitos; la API conserva las salidas del modelo y el dashboard se limita a leerlas.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360"/>
        <w:jc w:val="both"/>
        <w:rPr>
          <w:sz w:val="22"/>
          <w:szCs w:val="22"/>
        </w:rPr>
      </w:pP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Conclusión de negocio: </w:t>
      </w:r>
      <w:r w:rsidDel="00000000" w:rsidR="00000000" w:rsidRPr="00000000">
        <w:rPr>
          <w:sz w:val="22"/>
          <w:szCs w:val="22"/>
          <w:rtl w:val="0"/>
        </w:rPr>
        <w:t xml:space="preserve">SAT-Dengue</w:t>
      </w:r>
      <w:r w:rsidDel="00000000" w:rsidR="00000000" w:rsidRPr="00000000">
        <w:rPr>
          <w:rFonts w:ascii="Arial" w:cs="Arial" w:eastAsia="Arial" w:hAnsi="Arial"/>
          <w:b w:val="0"/>
          <w:bCs w:val="0"/>
          <w:i w:val="0"/>
          <w:iCs w:val="0"/>
          <w:smallCaps w:val="0"/>
          <w:strike w:val="0"/>
          <w:color w:val="203040"/>
          <w:sz w:val="22"/>
          <w:szCs w:val="22"/>
          <w:u w:val="none"/>
          <w:shd w:fill="auto" w:val="clear"/>
          <w:vertAlign w:val="baseline"/>
          <w:rtl w:val="0"/>
        </w:rPr>
        <w:t xml:space="preserve"> demuestra un prototipo funcional para llevar una predicción mensual desde datos/modelo hasta una interfaz de decisión.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both"/>
        <w:rPr>
          <w:sz w:val="22"/>
          <w:szCs w:val="22"/>
        </w:rPr>
      </w:pPr>
      <w:r w:rsidDel="00000000" w:rsidR="00000000" w:rsidRPr="00000000">
        <w:rPr>
          <w:rtl w:val="0"/>
        </w:rPr>
      </w:r>
    </w:p>
    <w:p w:rsidR="00000000" w:rsidDel="00000000" w:rsidP="00000000" w:rsidRDefault="00000000" w:rsidRPr="00000000" w14:paraId="000000CC">
      <w:pPr>
        <w:pStyle w:val="Heading1"/>
        <w:jc w:val="both"/>
        <w:rPr>
          <w:sz w:val="22"/>
          <w:szCs w:val="22"/>
        </w:rPr>
      </w:pPr>
      <w:r w:rsidDel="00000000" w:rsidR="00000000" w:rsidRPr="00000000">
        <w:rPr>
          <w:sz w:val="22"/>
          <w:szCs w:val="22"/>
          <w:rtl w:val="0"/>
        </w:rPr>
        <w:t xml:space="preserve">5. Repositorio de código en GitHub</w:t>
      </w:r>
    </w:p>
    <w:p w:rsidR="00000000" w:rsidDel="00000000" w:rsidP="00000000" w:rsidRDefault="00000000" w:rsidRPr="00000000" w14:paraId="000000CD">
      <w:pPr>
        <w:spacing w:after="2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Repositorio: </w:t>
      </w:r>
      <w:hyperlink r:id="rId7">
        <w:r w:rsidDel="00000000" w:rsidR="00000000" w:rsidRPr="00000000">
          <w:rPr>
            <w:color w:val="1f5aa6"/>
            <w:sz w:val="22"/>
            <w:szCs w:val="22"/>
            <w:u w:val="single"/>
            <w:rtl w:val="0"/>
          </w:rPr>
          <w:t xml:space="preserve">microproyecto-tema3</w:t>
        </w:r>
      </w:hyperlink>
      <w:r w:rsidDel="00000000" w:rsidR="00000000" w:rsidRPr="00000000">
        <w:rPr>
          <w:rtl w:val="0"/>
        </w:rPr>
      </w:r>
    </w:p>
    <w:p w:rsidR="00000000" w:rsidDel="00000000" w:rsidP="00000000" w:rsidRDefault="00000000" w:rsidRPr="00000000" w14:paraId="000000CE">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"Evidencia del API desplegado con endpoints principales visibles"]</w:t>
      </w:r>
      <w:r w:rsidDel="00000000" w:rsidR="00000000" w:rsidRPr="00000000">
        <w:rPr>
          <w:rtl w:val="0"/>
        </w:rPr>
      </w:r>
    </w:p>
    <w:p w:rsidR="00000000" w:rsidDel="00000000" w:rsidP="00000000" w:rsidRDefault="00000000" w:rsidRPr="00000000" w14:paraId="000000CF">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"Evidencia del tablero desplegado consumiendo resultados reales de la API"]</w:t>
      </w:r>
      <w:r w:rsidDel="00000000" w:rsidR="00000000" w:rsidRPr="00000000">
        <w:rPr>
          <w:rtl w:val="0"/>
        </w:rPr>
      </w:r>
    </w:p>
    <w:p w:rsidR="00000000" w:rsidDel="00000000" w:rsidP="00000000" w:rsidRDefault="00000000" w:rsidRPr="00000000" w14:paraId="000000D0">
      <w:pPr>
        <w:shd w:fill="f5f8fc" w:val="clear"/>
        <w:spacing w:after="40" w:before="30" w:line="240" w:lineRule="auto"/>
        <w:ind w:left="216" w:right="216" w:firstLine="0"/>
        <w:jc w:val="both"/>
        <w:rPr>
          <w:sz w:val="22"/>
          <w:szCs w:val="22"/>
        </w:rPr>
      </w:pPr>
      <w:r w:rsidDel="00000000" w:rsidR="00000000" w:rsidRPr="00000000">
        <w:rPr>
          <w:rFonts w:ascii="Arial" w:cs="Arial" w:eastAsia="Arial" w:hAnsi="Arial"/>
          <w:b w:val="0"/>
          <w:bCs w:val="0"/>
          <w:i w:val="1"/>
          <w:iCs w:val="1"/>
          <w:color w:val="5b677a"/>
          <w:sz w:val="22"/>
          <w:szCs w:val="22"/>
          <w:rtl w:val="0"/>
        </w:rPr>
        <w:t xml:space="preserve">[Imagen "Evidencia de imágenes o servicios Docker usados para desplegar API y dashboard"]</w:t>
      </w:r>
      <w:r w:rsidDel="00000000" w:rsidR="00000000" w:rsidRPr="00000000">
        <w:rPr>
          <w:rtl w:val="0"/>
        </w:rPr>
      </w:r>
    </w:p>
    <w:p w:rsidR="00000000" w:rsidDel="00000000" w:rsidP="00000000" w:rsidRDefault="00000000" w:rsidRPr="00000000" w14:paraId="000000D1">
      <w:pPr>
        <w:spacing w:after="2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Manual: </w:t>
      </w:r>
      <w:hyperlink r:id="rId8">
        <w:r w:rsidDel="00000000" w:rsidR="00000000" w:rsidRPr="00000000">
          <w:rPr>
            <w:color w:val="1f5aa6"/>
            <w:sz w:val="22"/>
            <w:szCs w:val="22"/>
            <w:u w:val="single"/>
            <w:rtl w:val="0"/>
          </w:rPr>
          <w:t xml:space="preserve">Manual_Usuario.docx (commit 9c9203e)</w:t>
        </w:r>
      </w:hyperlink>
      <w:r w:rsidDel="00000000" w:rsidR="00000000" w:rsidRPr="00000000">
        <w:rPr>
          <w:rtl w:val="0"/>
        </w:rPr>
      </w:r>
    </w:p>
    <w:p w:rsidR="00000000" w:rsidDel="00000000" w:rsidP="00000000" w:rsidRDefault="00000000" w:rsidRPr="00000000" w14:paraId="000000D2">
      <w:pPr>
        <w:spacing w:after="2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Manual: </w:t>
      </w:r>
      <w:hyperlink r:id="rId9">
        <w:r w:rsidDel="00000000" w:rsidR="00000000" w:rsidRPr="00000000">
          <w:rPr>
            <w:color w:val="1f5aa6"/>
            <w:sz w:val="22"/>
            <w:szCs w:val="22"/>
            <w:u w:val="single"/>
            <w:rtl w:val="0"/>
          </w:rPr>
          <w:t xml:space="preserve">Manual_Instalacion.docx (commit 9c9203e)</w:t>
        </w:r>
      </w:hyperlink>
      <w:r w:rsidDel="00000000" w:rsidR="00000000" w:rsidRPr="00000000">
        <w:rPr>
          <w:rtl w:val="0"/>
        </w:rPr>
      </w:r>
    </w:p>
    <w:p w:rsidR="00000000" w:rsidDel="00000000" w:rsidP="00000000" w:rsidRDefault="00000000" w:rsidRPr="00000000" w14:paraId="000000D3">
      <w:pPr>
        <w:spacing w:after="20" w:before="0" w:line="240" w:lineRule="auto"/>
        <w:jc w:val="both"/>
        <w:rPr>
          <w:sz w:val="22"/>
          <w:szCs w:val="22"/>
        </w:rPr>
      </w:pPr>
      <w:r w:rsidDel="00000000" w:rsidR="00000000" w:rsidRPr="00000000">
        <w:rPr>
          <w:b w:val="1"/>
          <w:bCs w:val="1"/>
          <w:sz w:val="22"/>
          <w:szCs w:val="22"/>
          <w:rtl w:val="0"/>
        </w:rPr>
        <w:t xml:space="preserve">Video</w:t>
      </w:r>
      <w:r w:rsidDel="00000000" w:rsidR="00000000" w:rsidRPr="00000000">
        <w:rPr>
          <w:rFonts w:ascii="Arial" w:cs="Arial" w:eastAsia="Arial" w:hAnsi="Arial"/>
          <w:b w:val="1"/>
          <w:bCs w:val="1"/>
          <w:i w:val="0"/>
          <w:iCs w:val="0"/>
          <w:color w:val="203040"/>
          <w:sz w:val="22"/>
          <w:szCs w:val="22"/>
          <w:rtl w:val="0"/>
        </w:rPr>
        <w:t xml:space="preserve">: </w:t>
      </w:r>
      <w:r w:rsidDel="00000000" w:rsidR="00000000" w:rsidRPr="00000000">
        <w:rPr>
          <w:rtl w:val="0"/>
        </w:rPr>
      </w:r>
    </w:p>
    <w:tbl>
      <w:tblPr>
        <w:tblStyle w:val="Table7"/>
        <w:tblW w:w="10570.0" w:type="dxa"/>
        <w:jc w:val="center"/>
        <w:tblBorders>
          <w:top w:color="b8c6d8" w:space="0" w:sz="4" w:val="single"/>
          <w:left w:color="b8c6d8" w:space="0" w:sz="4" w:val="single"/>
          <w:bottom w:color="b8c6d8" w:space="0" w:sz="4" w:val="single"/>
          <w:right w:color="b8c6d8" w:space="0" w:sz="4" w:val="single"/>
          <w:insideH w:color="b8c6d8" w:space="0" w:sz="4" w:val="single"/>
          <w:insideV w:color="b8c6d8"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d5e5f5" w:val="clear"/>
            <w:tcMar>
              <w:top w:w="45.0" w:type="dxa"/>
              <w:bottom w:w="45.0" w:type="dxa"/>
            </w:tcMar>
            <w:vAlign w:val="center"/>
          </w:tcPr>
          <w:p w:rsidR="00000000" w:rsidDel="00000000" w:rsidP="00000000" w:rsidRDefault="00000000" w:rsidRPr="00000000" w14:paraId="000000D6">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Actividad</w:t>
            </w:r>
            <w:r w:rsidDel="00000000" w:rsidR="00000000" w:rsidRPr="00000000">
              <w:rPr>
                <w:rtl w:val="0"/>
              </w:rPr>
            </w:r>
          </w:p>
        </w:tc>
        <w:tc>
          <w:tcPr>
            <w:shd w:fill="d5e5f5" w:val="clear"/>
            <w:tcMar>
              <w:top w:w="45.0" w:type="dxa"/>
              <w:bottom w:w="45.0" w:type="dxa"/>
            </w:tcMar>
            <w:vAlign w:val="center"/>
          </w:tcPr>
          <w:p w:rsidR="00000000" w:rsidDel="00000000" w:rsidP="00000000" w:rsidRDefault="00000000" w:rsidRPr="00000000" w14:paraId="000000D7">
            <w:pPr>
              <w:spacing w:after="0" w:before="0" w:line="240" w:lineRule="auto"/>
              <w:jc w:val="both"/>
              <w:rPr>
                <w:sz w:val="22"/>
                <w:szCs w:val="22"/>
              </w:rPr>
            </w:pPr>
            <w:r w:rsidDel="00000000" w:rsidR="00000000" w:rsidRPr="00000000">
              <w:rPr>
                <w:rFonts w:ascii="Arial" w:cs="Arial" w:eastAsia="Arial" w:hAnsi="Arial"/>
                <w:b w:val="1"/>
                <w:bCs w:val="1"/>
                <w:i w:val="0"/>
                <w:iCs w:val="0"/>
                <w:color w:val="203040"/>
                <w:sz w:val="22"/>
                <w:szCs w:val="22"/>
                <w:rtl w:val="0"/>
              </w:rPr>
              <w:t xml:space="preserve">Responsable(s) / evidencia</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D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Problema, pregunta de negocio, canal endémico y conclusiones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D9">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Todos</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DA">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Descarga/consolidación SIVIGILA y preparación de datos</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DB">
            <w:pPr>
              <w:spacing w:after="0" w:before="0" w:line="240" w:lineRule="auto"/>
              <w:jc w:val="both"/>
              <w:rPr>
                <w:sz w:val="22"/>
                <w:szCs w:val="22"/>
              </w:rPr>
            </w:pP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DC">
            <w:pPr>
              <w:spacing w:after="0" w:before="0" w:line="240" w:lineRule="auto"/>
              <w:jc w:val="both"/>
              <w:rPr>
                <w:sz w:val="22"/>
                <w:szCs w:val="22"/>
              </w:rPr>
            </w:pPr>
            <w:r w:rsidDel="00000000" w:rsidR="00000000" w:rsidRPr="00000000">
              <w:rPr>
                <w:sz w:val="22"/>
                <w:szCs w:val="22"/>
                <w:rtl w:val="0"/>
              </w:rPr>
              <w:t xml:space="preserve">Empaquetado de la solución</w:t>
            </w:r>
          </w:p>
        </w:tc>
        <w:tc>
          <w:tcPr>
            <w:tcMar>
              <w:top w:w="45.0" w:type="dxa"/>
              <w:bottom w:w="45.0" w:type="dxa"/>
            </w:tcMar>
            <w:vAlign w:val="top"/>
          </w:tcPr>
          <w:p w:rsidR="00000000" w:rsidDel="00000000" w:rsidP="00000000" w:rsidRDefault="00000000" w:rsidRPr="00000000" w14:paraId="000000DD">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Sergio Ballesteros.</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DE">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DVC, remoto S3 y estructura/versionamiento del repositorio</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DF">
            <w:pPr>
              <w:spacing w:after="0" w:before="0" w:line="240" w:lineRule="auto"/>
              <w:jc w:val="both"/>
              <w:rPr>
                <w:sz w:val="22"/>
                <w:szCs w:val="22"/>
              </w:rPr>
            </w:pPr>
            <w:r w:rsidDel="00000000" w:rsidR="00000000" w:rsidRPr="00000000">
              <w:rPr>
                <w:sz w:val="22"/>
                <w:szCs w:val="22"/>
                <w:rtl w:val="0"/>
              </w:rPr>
              <w:t xml:space="preserve">Todos</w:t>
            </w:r>
          </w:p>
        </w:tc>
      </w:tr>
      <w:tr>
        <w:trPr>
          <w:cantSplit w:val="0"/>
          <w:tblHeader w:val="0"/>
        </w:trPr>
        <w:tc>
          <w:tcPr>
            <w:tcMar>
              <w:top w:w="45.0" w:type="dxa"/>
              <w:bottom w:w="45.0" w:type="dxa"/>
            </w:tcMar>
            <w:vAlign w:val="top"/>
          </w:tcPr>
          <w:p w:rsidR="00000000" w:rsidDel="00000000" w:rsidP="00000000" w:rsidRDefault="00000000" w:rsidRPr="00000000" w14:paraId="000000E0">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Modelado, comparación y correcciones de métricas T+1/T+2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E1">
            <w:pPr>
              <w:spacing w:after="0" w:before="0" w:line="240" w:lineRule="auto"/>
              <w:jc w:val="both"/>
              <w:rPr>
                <w:sz w:val="22"/>
                <w:szCs w:val="22"/>
              </w:rPr>
            </w:pP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E2">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MLflow y evidencias de experimentación</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E3">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Nicolas Lara y Stevan Ramirez</w:t>
            </w:r>
            <w:r w:rsidDel="00000000" w:rsidR="00000000" w:rsidRPr="00000000">
              <w:rPr>
                <w:rtl w:val="0"/>
              </w:rPr>
            </w:r>
          </w:p>
        </w:tc>
      </w:tr>
      <w:tr>
        <w:trPr>
          <w:cantSplit w:val="0"/>
          <w:tblHeader w:val="0"/>
        </w:trPr>
        <w:tc>
          <w:tcPr>
            <w:tcMar>
              <w:top w:w="45.0" w:type="dxa"/>
              <w:bottom w:w="45.0" w:type="dxa"/>
            </w:tcMar>
            <w:vAlign w:val="top"/>
          </w:tcPr>
          <w:p w:rsidR="00000000" w:rsidDel="00000000" w:rsidP="00000000" w:rsidRDefault="00000000" w:rsidRPr="00000000" w14:paraId="000000E4">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Dashboard e integración con API</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E5">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Mauricio Rodriguez</w:t>
            </w:r>
            <w:r w:rsidDel="00000000" w:rsidR="00000000" w:rsidRPr="00000000">
              <w:rPr>
                <w:rtl w:val="0"/>
              </w:rPr>
            </w:r>
          </w:p>
        </w:tc>
      </w:tr>
      <w:tr>
        <w:trPr>
          <w:cantSplit w:val="0"/>
          <w:tblHeader w:val="0"/>
        </w:trPr>
        <w:tc>
          <w:tcPr>
            <w:shd w:fill="fafbfc" w:val="clear"/>
            <w:tcMar>
              <w:top w:w="45.0" w:type="dxa"/>
              <w:bottom w:w="45.0" w:type="dxa"/>
            </w:tcMar>
            <w:vAlign w:val="top"/>
          </w:tcPr>
          <w:p w:rsidR="00000000" w:rsidDel="00000000" w:rsidP="00000000" w:rsidRDefault="00000000" w:rsidRPr="00000000" w14:paraId="000000E6">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Documentación Entrega 3, manuales y guion</w:t>
            </w:r>
            <w:r w:rsidDel="00000000" w:rsidR="00000000" w:rsidRPr="00000000">
              <w:rPr>
                <w:rtl w:val="0"/>
              </w:rPr>
            </w:r>
          </w:p>
        </w:tc>
        <w:tc>
          <w:tcPr>
            <w:shd w:fill="fafbfc" w:val="clear"/>
            <w:tcMar>
              <w:top w:w="45.0" w:type="dxa"/>
              <w:bottom w:w="45.0" w:type="dxa"/>
            </w:tcMar>
            <w:vAlign w:val="top"/>
          </w:tcPr>
          <w:p w:rsidR="00000000" w:rsidDel="00000000" w:rsidP="00000000" w:rsidRDefault="00000000" w:rsidRPr="00000000" w14:paraId="000000E7">
            <w:pPr>
              <w:spacing w:after="0" w:before="0" w:line="240" w:lineRule="auto"/>
              <w:jc w:val="both"/>
              <w:rPr>
                <w:sz w:val="22"/>
                <w:szCs w:val="22"/>
              </w:rPr>
            </w:pPr>
            <w:r w:rsidDel="00000000" w:rsidR="00000000" w:rsidRPr="00000000">
              <w:rPr>
                <w:sz w:val="22"/>
                <w:szCs w:val="22"/>
                <w:rtl w:val="0"/>
              </w:rPr>
              <w:t xml:space="preserve">Todos</w:t>
            </w:r>
          </w:p>
        </w:tc>
      </w:tr>
      <w:tr>
        <w:trPr>
          <w:cantSplit w:val="0"/>
          <w:tblHeader w:val="0"/>
        </w:trPr>
        <w:tc>
          <w:tcPr>
            <w:tcMar>
              <w:top w:w="45.0" w:type="dxa"/>
              <w:bottom w:w="45.0" w:type="dxa"/>
            </w:tcMar>
            <w:vAlign w:val="top"/>
          </w:tcPr>
          <w:p w:rsidR="00000000" w:rsidDel="00000000" w:rsidP="00000000" w:rsidRDefault="00000000" w:rsidRPr="00000000" w14:paraId="000000E8">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Integración, revisión y cierre del reporte/video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E9">
            <w:pPr>
              <w:spacing w:after="0" w:before="0" w:line="240" w:lineRule="auto"/>
              <w:jc w:val="both"/>
              <w:rPr>
                <w:sz w:val="22"/>
                <w:szCs w:val="22"/>
              </w:rPr>
            </w:pPr>
            <w:r w:rsidDel="00000000" w:rsidR="00000000" w:rsidRPr="00000000">
              <w:rPr>
                <w:rFonts w:ascii="Arial" w:cs="Arial" w:eastAsia="Arial" w:hAnsi="Arial"/>
                <w:b w:val="0"/>
                <w:bCs w:val="0"/>
                <w:i w:val="0"/>
                <w:iCs w:val="0"/>
                <w:color w:val="203040"/>
                <w:sz w:val="22"/>
                <w:szCs w:val="22"/>
                <w:rtl w:val="0"/>
              </w:rPr>
              <w:t xml:space="preserve">Todos.</w:t>
            </w:r>
            <w:r w:rsidDel="00000000" w:rsidR="00000000" w:rsidRPr="00000000">
              <w:rPr>
                <w:rtl w:val="0"/>
              </w:rPr>
            </w:r>
          </w:p>
        </w:tc>
      </w:tr>
    </w:tbl>
    <w:sectPr>
      <w:headerReference r:id="rId10" w:type="default"/>
      <w:headerReference r:id="rId11" w:type="first"/>
      <w:footerReference r:id="rId12" w:type="default"/>
      <w:footerReference r:id="rId13" w:type="first"/>
      <w:pgSz w:h="15840" w:w="12240" w:orient="portrait"/>
      <w:pgMar w:bottom="691" w:top="749" w:left="835" w:right="835" w:header="317"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03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4"/>
        <w:szCs w:val="1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6b728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0304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03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a8798"/>
        <w:sz w:val="13"/>
        <w:szCs w:val="13"/>
        <w:u w:val="none"/>
        <w:shd w:fill="auto" w:val="clear"/>
        <w:vertAlign w:val="baseline"/>
        <w:rtl w:val="0"/>
      </w:rPr>
      <w:t xml:space="preserve">SAT-Dengue· Entrega 3</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0304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3040"/>
        <w:sz w:val="16"/>
        <w:szCs w:val="16"/>
        <w:lang w:val="en"/>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120" w:lineRule="auto"/>
    </w:pPr>
    <w:rPr>
      <w:rFonts w:ascii="Arial" w:cs="Arial" w:eastAsia="Arial" w:hAnsi="Arial"/>
      <w:b w:val="1"/>
      <w:bCs w:val="1"/>
      <w:color w:val="1f5aa6"/>
      <w:sz w:val="29"/>
      <w:szCs w:val="29"/>
    </w:rPr>
  </w:style>
  <w:style w:type="paragraph" w:styleId="Heading2">
    <w:name w:val="heading 2"/>
    <w:basedOn w:val="Normal"/>
    <w:next w:val="Normal"/>
    <w:pPr>
      <w:keepNext w:val="1"/>
      <w:keepLines w:val="1"/>
      <w:spacing w:after="40" w:before="60" w:lineRule="auto"/>
    </w:pPr>
    <w:rPr>
      <w:rFonts w:ascii="Arial" w:cs="Arial" w:eastAsia="Arial" w:hAnsi="Arial"/>
      <w:b w:val="1"/>
      <w:bCs w:val="1"/>
      <w:color w:val="1f5aa6"/>
      <w:sz w:val="21"/>
      <w:szCs w:val="21"/>
    </w:rPr>
  </w:style>
  <w:style w:type="paragraph" w:styleId="Heading3">
    <w:name w:val="heading 3"/>
    <w:basedOn w:val="Normal"/>
    <w:next w:val="Normal"/>
    <w:pPr>
      <w:keepNext w:val="1"/>
      <w:keepLines w:val="1"/>
      <w:spacing w:after="40" w:before="60" w:lineRule="auto"/>
    </w:pPr>
    <w:rPr>
      <w:rFonts w:ascii="Arial" w:cs="Arial" w:eastAsia="Arial" w:hAnsi="Arial"/>
      <w:b w:val="1"/>
      <w:bCs w:val="1"/>
      <w:color w:val="1f5aa6"/>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10" w:line="240" w:lineRule="auto"/>
      <w:ind w:left="259" w:hanging="173"/>
      <w:contextualSpacing w:val="1"/>
    </w:pPr>
    <w:rPr>
      <w:rFonts w:ascii="Arial" w:eastAsia="Arial" w:hAnsi="Arial"/>
      <w:sz w:val="16"/>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mauro-r/microproyecto-tema3/blob/9c9203e72cdf31b3eb26cbcdeeccf82b5981ad40/docs/Manual_Instalacion.doc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mauro-r/microproyecto-tema3" TargetMode="External"/><Relationship Id="rId8" Type="http://schemas.openxmlformats.org/officeDocument/2006/relationships/hyperlink" Target="https://github.com/j-mauro-r/microproyecto-tema3/blob/9c9203e72cdf31b3eb26cbcdeeccf82b5981ad40/docs/Manual_Usuario.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J9w8hPEwIyOmI10yx0Zmi2amA==">CgMxLjAaJAoBMBIfCh0IB0IZCgVBcmlhbBIQQXJpYWwgVW5pY29kZSBNUxokCgExEh8KHQgHQhkKBUFyaWFsEhBBcmlhbCBVbmljb2RlIE1TOAByITFqV3Q4TlB5Umc3dG0zdUhmcFpJcXYtRU14YjMtZW53bA==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Grupo 11 — MAIA</dc:creator>
</cp:coreProperties>
</file>