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 Id="R27fa993a798945b8" Type="http://schemas.openxmlformats.org/officeDocument/2006/relationships/extended-properties" Target="docProps/app.xml"/></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jc w:val="center"/>
        <w:rPr>
          <w:sz w:val="22"/>
          <w:szCs w:val="22"/>
        </w:rPr>
      </w:pPr>
      <w:r>
        <w:rPr>
          <w:rtl w:val="0"/>
        </w:rPr>
      </w:r>
    </w:p>
    <w:p xmlns:wp14="http://schemas.microsoft.com/office/word/2010/wordml" w:rsidRDefault="00000000" w14:paraId="00000002" wp14:textId="77777777">
      <w:pPr>
        <w:jc w:val="center"/>
        <w:rPr>
          <w:sz w:val="22"/>
          <w:szCs w:val="22"/>
        </w:rPr>
      </w:pPr>
      <w:r>
        <w:rPr>
          <w:rtl w:val="0"/>
        </w:rPr>
      </w:r>
    </w:p>
    <w:p xmlns:wp14="http://schemas.microsoft.com/office/word/2010/wordml" w:rsidRDefault="00000000" w14:paraId="00000003" wp14:textId="77777777">
      <w:pPr>
        <w:jc w:val="center"/>
        <w:rPr>
          <w:sz w:val="22"/>
          <w:szCs w:val="22"/>
        </w:rPr>
      </w:pPr>
      <w:r>
        <w:rPr>
          <w:rtl w:val="0"/>
        </w:rPr>
      </w:r>
    </w:p>
    <w:p xmlns:wp14="http://schemas.microsoft.com/office/word/2010/wordml" w:rsidRDefault="00000000" w14:paraId="00000004" wp14:textId="77777777">
      <w:pPr>
        <w:spacing w:before="0" w:after="100" w:line="240" w:lineRule="auto"/>
        <w:jc w:val="center"/>
        <w:rPr>
          <w:sz w:val="22"/>
          <w:szCs w:val="22"/>
        </w:rPr>
      </w:pPr>
      <w:r>
        <w:rPr>
          <w:rFonts w:ascii="Arial" w:hAnsi="Arial" w:eastAsia="Arial" w:cs="Arial"/>
          <w:b w:val="1"/>
          <w:bCs w:val="1"/>
          <w:i w:val="0"/>
          <w:iCs w:val="0"/>
          <w:color w:val="1f5aa6"/>
          <w:sz w:val="22"/>
          <w:szCs w:val="22"/>
          <w:rtl w:val="0"/>
        </w:rPr>
        <w:t xml:space="preserve">SAT-Dengue</w:t>
      </w:r>
      <w:r>
        <w:rPr>
          <w:rtl w:val="0"/>
        </w:rPr>
      </w:r>
    </w:p>
    <w:p xmlns:wp14="http://schemas.microsoft.com/office/word/2010/wordml" w:rsidP="3517E32E" w:rsidRDefault="00000000" w14:paraId="00000005" wp14:textId="77777777">
      <w:pPr>
        <w:spacing w:before="0" w:after="180" w:line="240" w:lineRule="auto"/>
        <w:jc w:val="center"/>
        <w:rPr>
          <w:sz w:val="22"/>
          <w:szCs w:val="22"/>
          <w:lang w:val="en-US"/>
        </w:rPr>
      </w:pPr>
      <w:r w:rsidRPr="3517E32E" w:rsidR="3517E32E">
        <w:rPr>
          <w:rFonts w:ascii="Arial" w:hAnsi="Arial" w:eastAsia="Arial" w:cs="Arial"/>
          <w:b w:val="0"/>
          <w:bCs w:val="0"/>
          <w:i w:val="1"/>
          <w:iCs w:val="1"/>
          <w:color w:val="203040"/>
          <w:sz w:val="22"/>
          <w:szCs w:val="22"/>
          <w:lang w:val="en-US"/>
        </w:rPr>
        <w:t xml:space="preserve">Sistema de Alerta Temprana para Brotes de Dengue en Colombia</w:t>
      </w:r>
      <w:r>
        <w:rPr>
          <w:rtl w:val="0"/>
        </w:rPr>
      </w:r>
    </w:p>
    <w:p xmlns:wp14="http://schemas.microsoft.com/office/word/2010/wordml" w:rsidRDefault="00000000" w14:paraId="00000006" wp14:textId="77777777">
      <w:pPr>
        <w:spacing w:before="0" w:after="320" w:line="240" w:lineRule="auto"/>
        <w:jc w:val="center"/>
        <w:rPr>
          <w:sz w:val="22"/>
          <w:szCs w:val="22"/>
        </w:rPr>
      </w:pPr>
      <w:r>
        <w:rPr>
          <w:rFonts w:ascii="Arial" w:hAnsi="Arial" w:eastAsia="Arial" w:cs="Arial"/>
          <w:b w:val="1"/>
          <w:bCs w:val="1"/>
          <w:i w:val="0"/>
          <w:iCs w:val="0"/>
          <w:color w:val="1f5aa6"/>
          <w:sz w:val="22"/>
          <w:szCs w:val="22"/>
          <w:rtl w:val="0"/>
        </w:rPr>
        <w:t xml:space="preserve">Entrega 3</w:t>
      </w:r>
      <w:r>
        <w:rPr>
          <w:rtl w:val="0"/>
        </w:rPr>
      </w:r>
    </w:p>
    <w:p xmlns:wp14="http://schemas.microsoft.com/office/word/2010/wordml" w:rsidRDefault="00000000" w14:paraId="00000007" wp14:textId="77777777">
      <w:pPr>
        <w:spacing w:before="0" w:after="320" w:line="240" w:lineRule="auto"/>
        <w:jc w:val="center"/>
        <w:rPr>
          <w:sz w:val="22"/>
          <w:szCs w:val="22"/>
        </w:rPr>
      </w:pPr>
      <w:r>
        <w:rPr>
          <w:rFonts w:ascii="Arial" w:hAnsi="Arial" w:eastAsia="Arial" w:cs="Arial"/>
          <w:b w:val="0"/>
          <w:bCs w:val="0"/>
          <w:i w:val="0"/>
          <w:iCs w:val="0"/>
          <w:color w:val="203040"/>
          <w:sz w:val="22"/>
          <w:szCs w:val="22"/>
          <w:rtl w:val="0"/>
        </w:rPr>
        <w:t xml:space="preserve">Proyecto de Desarrollo de Soluciones — MAIA</w:t>
      </w:r>
      <w:r>
        <w:rPr>
          <w:rtl w:val="0"/>
        </w:rPr>
      </w:r>
    </w:p>
    <w:p xmlns:wp14="http://schemas.microsoft.com/office/word/2010/wordml" w:rsidRDefault="00000000" w14:paraId="00000008" wp14:textId="77777777">
      <w:pPr>
        <w:spacing w:before="0" w:after="100" w:line="240" w:lineRule="auto"/>
        <w:jc w:val="center"/>
        <w:rPr>
          <w:sz w:val="22"/>
          <w:szCs w:val="22"/>
        </w:rPr>
      </w:pPr>
      <w:r>
        <w:rPr>
          <w:rFonts w:ascii="Arial" w:hAnsi="Arial" w:eastAsia="Arial" w:cs="Arial"/>
          <w:b w:val="1"/>
          <w:bCs w:val="1"/>
          <w:i w:val="0"/>
          <w:iCs w:val="0"/>
          <w:color w:val="203040"/>
          <w:sz w:val="22"/>
          <w:szCs w:val="22"/>
          <w:rtl w:val="0"/>
        </w:rPr>
        <w:t xml:space="preserve">Grupo 11</w:t>
      </w:r>
      <w:r>
        <w:rPr>
          <w:rtl w:val="0"/>
        </w:rPr>
      </w:r>
    </w:p>
    <w:p xmlns:wp14="http://schemas.microsoft.com/office/word/2010/wordml" w:rsidRDefault="00000000" w14:paraId="00000009"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Sergio Ballesteros</w:t>
      </w:r>
      <w:r>
        <w:rPr>
          <w:rtl w:val="0"/>
        </w:rPr>
      </w:r>
    </w:p>
    <w:p xmlns:wp14="http://schemas.microsoft.com/office/word/2010/wordml" w:rsidRDefault="00000000" w14:paraId="0000000A"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Stevan Ramirez</w:t>
      </w:r>
      <w:r>
        <w:rPr>
          <w:rtl w:val="0"/>
        </w:rPr>
      </w:r>
    </w:p>
    <w:p xmlns:wp14="http://schemas.microsoft.com/office/word/2010/wordml" w:rsidRDefault="00000000" w14:paraId="0000000B"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Nicolas Lara</w:t>
      </w:r>
      <w:r>
        <w:rPr>
          <w:rtl w:val="0"/>
        </w:rPr>
      </w:r>
    </w:p>
    <w:p xmlns:wp14="http://schemas.microsoft.com/office/word/2010/wordml" w:rsidRDefault="00000000" w14:paraId="0000000C" wp14:textId="77777777">
      <w:pPr>
        <w:spacing w:before="0" w:after="20" w:line="240" w:lineRule="auto"/>
        <w:jc w:val="center"/>
        <w:rPr>
          <w:sz w:val="22"/>
          <w:szCs w:val="22"/>
        </w:rPr>
      </w:pPr>
      <w:r>
        <w:rPr>
          <w:rFonts w:ascii="Arial" w:hAnsi="Arial" w:eastAsia="Arial" w:cs="Arial"/>
          <w:b w:val="0"/>
          <w:bCs w:val="0"/>
          <w:i w:val="0"/>
          <w:iCs w:val="0"/>
          <w:color w:val="203040"/>
          <w:sz w:val="22"/>
          <w:szCs w:val="22"/>
          <w:rtl w:val="0"/>
        </w:rPr>
        <w:t xml:space="preserve">Mauricio Rodriguez</w:t>
      </w:r>
      <w:r>
        <w:rPr>
          <w:rtl w:val="0"/>
        </w:rPr>
      </w:r>
    </w:p>
    <w:p xmlns:wp14="http://schemas.microsoft.com/office/word/2010/wordml" w:rsidRDefault="00000000" w14:paraId="0000000D" wp14:textId="77777777">
      <w:pPr>
        <w:jc w:val="center"/>
        <w:rPr>
          <w:sz w:val="22"/>
          <w:szCs w:val="22"/>
        </w:rPr>
      </w:pPr>
      <w:r>
        <w:rPr>
          <w:rtl w:val="0"/>
        </w:rPr>
      </w:r>
    </w:p>
    <w:p xmlns:wp14="http://schemas.microsoft.com/office/word/2010/wordml" w:rsidRDefault="00000000" w14:paraId="0000000E" wp14:textId="77777777">
      <w:pPr>
        <w:jc w:val="center"/>
        <w:rPr>
          <w:sz w:val="22"/>
          <w:szCs w:val="22"/>
        </w:rPr>
      </w:pPr>
      <w:r>
        <w:rPr>
          <w:rtl w:val="0"/>
        </w:rPr>
      </w:r>
    </w:p>
    <w:p xmlns:wp14="http://schemas.microsoft.com/office/word/2010/wordml" w:rsidP="3517E32E" w:rsidRDefault="00000000" w14:paraId="0000000F" wp14:textId="77777777">
      <w:pPr>
        <w:jc w:val="center"/>
        <w:rPr>
          <w:sz w:val="22"/>
          <w:szCs w:val="22"/>
          <w:lang w:val="en-US"/>
        </w:rPr>
      </w:pPr>
      <w:r w:rsidRPr="3517E32E" w:rsidR="3517E32E">
        <w:rPr>
          <w:rFonts w:ascii="Arial" w:hAnsi="Arial" w:eastAsia="Arial" w:cs="Arial"/>
          <w:b w:val="0"/>
          <w:bCs w:val="0"/>
          <w:i w:val="0"/>
          <w:iCs w:val="0"/>
          <w:color w:val="5b677a"/>
          <w:sz w:val="22"/>
          <w:szCs w:val="22"/>
          <w:lang w:val="en-US"/>
        </w:rPr>
        <w:t xml:space="preserve">Septiembre de 2026</w:t>
      </w:r>
      <w:r>
        <w:rPr>
          <w:rtl w:val="0"/>
        </w:rPr>
      </w:r>
    </w:p>
    <w:p xmlns:wp14="http://schemas.microsoft.com/office/word/2010/wordml" w:rsidP="3517E32E" w:rsidRDefault="00000000" w14:paraId="00000011" wp14:textId="77777777">
      <w:pPr>
        <w:pageBreakBefore/>
        <w:pStyle w:val="Heading1"/>
        <w:jc w:val="center"/>
        <w:rPr>
          <w:sz w:val="22"/>
          <w:szCs w:val="22"/>
          <w:lang w:val="en-US"/>
        </w:rPr>
      </w:pPr>
      <w:r w:rsidRPr="3517E32E" w:rsidR="3517E32E">
        <w:rPr>
          <w:sz w:val="22"/>
          <w:szCs w:val="22"/>
          <w:lang w:val="en-US"/>
        </w:rPr>
        <w:t>1. Resumen del problema</w:t>
      </w:r>
    </w:p>
    <w:p xmlns:wp14="http://schemas.microsoft.com/office/word/2010/wordml" w:rsidP="3517E32E" w:rsidRDefault="00000000" w14:paraId="00000012" wp14:textId="77777777">
      <w:pPr>
        <w:pStyle w:val="Heading2"/>
        <w:jc w:val="both"/>
        <w:rPr>
          <w:sz w:val="22"/>
          <w:szCs w:val="22"/>
          <w:lang w:val="en-US"/>
        </w:rPr>
      </w:pPr>
      <w:r w:rsidRPr="3517E32E" w:rsidR="3517E32E">
        <w:rPr>
          <w:sz w:val="22"/>
          <w:szCs w:val="22"/>
          <w:lang w:val="en-US"/>
        </w:rPr>
        <w:t>1.1 Contexto y pregunta de negocio</w:t>
      </w:r>
    </w:p>
    <w:p xmlns:wp14="http://schemas.microsoft.com/office/word/2010/wordml" w:rsidP="3517E32E" w:rsidRDefault="00000000" w14:paraId="00000013"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 xml:space="preserve">El dengue exige decisiones oportunas de vigilancia y control. En el piloto, los usuarios institucionales son las Secretarías de Salud de Cali y Bucaramanga; el Instituto Nacional de Salud (INS) actúa como fuente y referente de vigilancia, no como cliente del sistema. El canal endémico permite reconocer zonas de normalidad, alerta y exceso, pero su señal describe el estado observado. </w:t>
      </w:r>
    </w:p>
    <w:p xmlns:wp14="http://schemas.microsoft.com/office/word/2010/wordml" w:rsidP="3517E32E" w:rsidRDefault="00000000" w14:paraId="00000014"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valor de </w:t>
      </w:r>
      <w:r w:rsidRPr="3517E32E" w:rsidR="3517E32E">
        <w:rPr>
          <w:sz w:val="22"/>
          <w:szCs w:val="22"/>
          <w:lang w:val="en-US"/>
        </w:rPr>
        <w:t xml:space="preserve">SAT-Dengue</w:t>
      </w:r>
      <w:r w:rsidRPr="3517E32E" w:rsidR="3517E32E">
        <w:rPr>
          <w:rFonts w:ascii="Arial" w:hAnsi="Arial" w:eastAsia="Arial" w:cs="Arial"/>
          <w:b w:val="0"/>
          <w:bCs w:val="0"/>
          <w:i w:val="0"/>
          <w:iCs w:val="0"/>
          <w:color w:val="203040"/>
          <w:sz w:val="22"/>
          <w:szCs w:val="22"/>
          <w:lang w:val="en-US"/>
        </w:rPr>
        <w:t xml:space="preserve"> es complementar esa lectura con una estimación anticipada de la transición hacia exceso epidémico.</w:t>
      </w:r>
      <w:r>
        <w:rPr>
          <w:rtl w:val="0"/>
        </w:rPr>
      </w:r>
    </w:p>
    <w:p xmlns:wp14="http://schemas.microsoft.com/office/word/2010/wordml" w:rsidP="3517E32E" w:rsidRDefault="00000000" w14:paraId="00000015" wp14:textId="77777777">
      <w:pPr>
        <w:spacing w:before="0" w:after="60" w:line="240" w:lineRule="auto"/>
        <w:jc w:val="both"/>
        <w:rPr>
          <w:rFonts w:ascii="Arial" w:hAnsi="Arial" w:eastAsia="Arial" w:cs="Arial"/>
          <w:b w:val="1"/>
          <w:bCs w:val="1"/>
          <w:i w:val="0"/>
          <w:iCs w:val="0"/>
          <w:color w:val="203040"/>
          <w:sz w:val="22"/>
          <w:szCs w:val="22"/>
          <w:lang w:val="en-US"/>
        </w:rPr>
      </w:pPr>
      <w:r w:rsidRPr="3517E32E" w:rsidR="3517E32E">
        <w:rPr>
          <w:rFonts w:ascii="Arial" w:hAnsi="Arial" w:eastAsia="Arial" w:cs="Arial"/>
          <w:b w:val="1"/>
          <w:bCs w:val="1"/>
          <w:i w:val="0"/>
          <w:iCs w:val="0"/>
          <w:color w:val="203040"/>
          <w:sz w:val="22"/>
          <w:szCs w:val="22"/>
          <w:lang w:val="en-US"/>
        </w:rPr>
        <w:t>Pregunta de negocio: ¿Pueden las Secretarías de Salud de Cali y Bucaramanga anticipar, con uno o dos meses de antelación, el inicio de un brote de dengue para activar control vectorial y preparación sanitaria antes del pico de casos, complementando la señal del canal endémico?</w:t>
      </w:r>
    </w:p>
    <w:p xmlns:wp14="http://schemas.microsoft.com/office/word/2010/wordml" w:rsidRDefault="00000000" w14:paraId="00000016" wp14:textId="77777777">
      <w:pPr>
        <w:spacing w:before="0" w:after="60" w:line="240" w:lineRule="auto"/>
        <w:jc w:val="both"/>
        <w:rPr>
          <w:b w:val="1"/>
          <w:bCs w:val="1"/>
          <w:sz w:val="22"/>
          <w:szCs w:val="22"/>
        </w:rPr>
      </w:pPr>
      <w:r>
        <w:rPr>
          <w:rtl w:val="0"/>
        </w:rPr>
      </w:r>
    </w:p>
    <w:p xmlns:wp14="http://schemas.microsoft.com/office/word/2010/wordml" w:rsidP="3517E32E" w:rsidRDefault="00000000" w14:paraId="00000017" wp14:textId="77777777">
      <w:pPr>
        <w:pStyle w:val="Heading2"/>
        <w:jc w:val="both"/>
        <w:rPr>
          <w:sz w:val="22"/>
          <w:szCs w:val="22"/>
          <w:lang w:val="en-US"/>
        </w:rPr>
      </w:pPr>
      <w:r w:rsidRPr="3517E32E" w:rsidR="3517E32E">
        <w:rPr>
          <w:sz w:val="22"/>
          <w:szCs w:val="22"/>
          <w:lang w:val="en-US"/>
        </w:rPr>
        <w:t>1.2 Objetivo y alcance</w:t>
      </w:r>
    </w:p>
    <w:p xmlns:wp14="http://schemas.microsoft.com/office/word/2010/wordml" w:rsidP="3517E32E" w:rsidRDefault="00000000" w14:paraId="00000018"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sz w:val="22"/>
          <w:szCs w:val="22"/>
          <w:lang w:val="en-US"/>
        </w:rPr>
        <w:t>SAT-Dengue</w:t>
      </w:r>
      <w:r w:rsidRPr="3517E32E" w:rsidR="3517E32E">
        <w:rPr>
          <w:rFonts w:ascii="Arial" w:hAnsi="Arial" w:eastAsia="Arial" w:cs="Arial"/>
          <w:b w:val="0"/>
          <w:bCs w:val="0"/>
          <w:i w:val="0"/>
          <w:iCs w:val="0"/>
          <w:color w:val="203040"/>
          <w:sz w:val="22"/>
          <w:szCs w:val="22"/>
          <w:lang w:val="en-US"/>
        </w:rPr>
        <w:t xml:space="preserve"> es un prototipo académico de apoyo a la decisión que clasifica mensualmente el riesgo de exceso de dengue total para Bucaramanga (DIVIPOLA 68001) y Cali (76001). Produce predicciones T+1 y T+2 con probabilidad, umbral y etiqueta. T+1 soporta la priorización del ciclo operativo inmediato; T+2 agrega una ventana para acciones que requieren mayor anticipación, como organización de brigadas, control de criaderos, fumigación focal o preparación diagnóstica y hospitalaria. No automatiza intervenciones, no sustituye la vigilancia oficial y no ha sido validado clínica u operacionalmente en campo.</w:t>
      </w:r>
    </w:p>
    <w:p xmlns:wp14="http://schemas.microsoft.com/office/word/2010/wordml" w:rsidRDefault="00000000" w14:paraId="00000019" wp14:textId="77777777">
      <w:pPr>
        <w:spacing w:before="0" w:after="40" w:line="240" w:lineRule="auto"/>
        <w:jc w:val="both"/>
        <w:rPr>
          <w:sz w:val="22"/>
          <w:szCs w:val="22"/>
        </w:rPr>
      </w:pPr>
      <w:r>
        <w:rPr>
          <w:rtl w:val="0"/>
        </w:rPr>
      </w:r>
    </w:p>
    <w:p xmlns:wp14="http://schemas.microsoft.com/office/word/2010/wordml" w:rsidP="3517E32E" w:rsidRDefault="00000000" w14:paraId="0000001A" wp14:textId="77777777">
      <w:pPr>
        <w:pStyle w:val="Heading2"/>
        <w:jc w:val="both"/>
        <w:rPr>
          <w:sz w:val="22"/>
          <w:szCs w:val="22"/>
          <w:lang w:val="en-US"/>
        </w:rPr>
      </w:pPr>
      <w:r w:rsidRPr="3517E32E" w:rsidR="3517E32E">
        <w:rPr>
          <w:sz w:val="22"/>
          <w:szCs w:val="22"/>
          <w:lang w:val="en-US"/>
        </w:rPr>
        <w:t>1.3 Conjuntos de datos</w:t>
      </w:r>
    </w:p>
    <w:tbl>
      <w:tblPr>
        <w:tblStyle w:val="Table1"/>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676618564">
          <w:tblPr/>
        </w:tblPrChange>
      </w:tblPr>
      <w:tblGrid>
        <w:gridCol w:w="5285"/>
        <w:gridCol w:w="5285"/>
      </w:tblGrid>
      <w:tr xmlns:wp14="http://schemas.microsoft.com/office/word/2010/wordml" w:rsidTr="3517E32E" w14:paraId="4966D740" wp14:textId="77777777">
        <w:trPr>
          <w:cantSplit w:val="0"/>
          <w:tblHeader w:val="1"/>
        </w:trPr>
        <w:tc>
          <w:tcPr>
            <w:shd w:val="clear" w:color="auto" w:fill="D5E5F5"/>
            <w:tcMar>
              <w:top w:w="45.0" w:type="dxa"/>
              <w:bottom w:w="45.0" w:type="dxa"/>
            </w:tcMar>
            <w:vAlign w:val="center"/>
          </w:tcPr>
          <w:p w:rsidP="3517E32E" w:rsidRDefault="00000000" w14:paraId="0000001B"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Fuente / alcance</w:t>
            </w:r>
            <w:r>
              <w:rPr>
                <w:rtl w:val="0"/>
              </w:rPr>
            </w:r>
          </w:p>
        </w:tc>
        <w:tc>
          <w:tcPr>
            <w:shd w:val="clear" w:color="auto" w:fill="D5E5F5"/>
            <w:tcMar>
              <w:top w:w="45.0" w:type="dxa"/>
              <w:bottom w:w="45.0" w:type="dxa"/>
            </w:tcMar>
            <w:vAlign w:val="center"/>
          </w:tcPr>
          <w:p w:rsidP="3517E32E" w:rsidRDefault="00000000" w14:paraId="0000001C"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Uso en la solución</w:t>
            </w:r>
            <w:r>
              <w:rPr>
                <w:rtl w:val="0"/>
              </w:rPr>
            </w:r>
          </w:p>
        </w:tc>
      </w:tr>
      <w:tr xmlns:wp14="http://schemas.microsoft.com/office/word/2010/wordml" w:rsidTr="3517E32E" w14:paraId="383E3748" wp14:textId="77777777">
        <w:trPr>
          <w:cantSplit w:val="0"/>
          <w:tblHeader w:val="0"/>
        </w:trPr>
        <w:tc>
          <w:tcPr>
            <w:tcMar>
              <w:top w:w="45.0" w:type="dxa"/>
              <w:bottom w:w="45.0" w:type="dxa"/>
            </w:tcMar>
            <w:vAlign w:val="top"/>
          </w:tcPr>
          <w:p w:rsidP="3517E32E" w:rsidRDefault="00000000" w14:paraId="0000001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SIVIGILA dengue total, evento 210 · 1.585.040 registros (2007–2024)</w:t>
            </w:r>
            <w:r>
              <w:rPr>
                <w:rtl w:val="0"/>
              </w:rPr>
            </w:r>
          </w:p>
        </w:tc>
        <w:tc>
          <w:tcPr>
            <w:tcMar>
              <w:top w:w="45.0" w:type="dxa"/>
              <w:bottom w:w="45.0" w:type="dxa"/>
            </w:tcMar>
            <w:vAlign w:val="top"/>
          </w:tcPr>
          <w:p w:rsidP="3517E32E" w:rsidRDefault="00000000" w14:paraId="0000001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Serie epidemiológica principal y definición del exceso respecto al canal endémico.</w:t>
            </w:r>
            <w:r>
              <w:rPr>
                <w:rtl w:val="0"/>
              </w:rPr>
            </w:r>
          </w:p>
        </w:tc>
      </w:tr>
      <w:tr xmlns:wp14="http://schemas.microsoft.com/office/word/2010/wordml" w:rsidTr="3517E32E" w14:paraId="0769EDE7" wp14:textId="77777777">
        <w:trPr>
          <w:cantSplit w:val="0"/>
          <w:tblHeader w:val="0"/>
        </w:trPr>
        <w:tc>
          <w:tcPr>
            <w:shd w:val="clear" w:color="auto" w:fill="FAFBFC"/>
            <w:tcMar>
              <w:top w:w="45.0" w:type="dxa"/>
              <w:bottom w:w="45.0" w:type="dxa"/>
            </w:tcMar>
            <w:vAlign w:val="top"/>
          </w:tcPr>
          <w:p w:rsidP="3517E32E" w:rsidRDefault="00000000" w14:paraId="0000001F"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SIVIGILA dengue grave, evento 220 · 48.823 registros (2007–2024)</w:t>
            </w:r>
            <w:r>
              <w:rPr>
                <w:rtl w:val="0"/>
              </w:rPr>
            </w:r>
          </w:p>
        </w:tc>
        <w:tc>
          <w:tcPr>
            <w:shd w:val="clear" w:color="auto" w:fill="FAFBFC"/>
            <w:tcMar>
              <w:top w:w="45.0" w:type="dxa"/>
              <w:bottom w:w="45.0" w:type="dxa"/>
            </w:tcMar>
            <w:vAlign w:val="top"/>
          </w:tcPr>
          <w:p w:rsidP="3517E32E" w:rsidRDefault="00000000" w14:paraId="0000002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Serie auxiliar y rezagos epidemiológicos.</w:t>
            </w:r>
            <w:r>
              <w:rPr>
                <w:rtl w:val="0"/>
              </w:rPr>
            </w:r>
          </w:p>
        </w:tc>
      </w:tr>
      <w:tr xmlns:wp14="http://schemas.microsoft.com/office/word/2010/wordml" w:rsidTr="3517E32E" w14:paraId="205ADBC6" wp14:textId="77777777">
        <w:trPr>
          <w:cantSplit w:val="0"/>
          <w:tblHeader w:val="0"/>
        </w:trPr>
        <w:tc>
          <w:tcPr>
            <w:tcMar>
              <w:top w:w="45.0" w:type="dxa"/>
              <w:bottom w:w="45.0" w:type="dxa"/>
            </w:tcMar>
            <w:vAlign w:val="top"/>
          </w:tcPr>
          <w:p w:rsidP="3517E32E" w:rsidRDefault="00000000" w14:paraId="0000002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Variables climáticas mensuales ERA5/CHIRPS · 9 covariables</w:t>
            </w:r>
            <w:r>
              <w:rPr>
                <w:rtl w:val="0"/>
              </w:rPr>
            </w:r>
          </w:p>
        </w:tc>
        <w:tc>
          <w:tcPr>
            <w:tcMar>
              <w:top w:w="45.0" w:type="dxa"/>
              <w:bottom w:w="45.0" w:type="dxa"/>
            </w:tcMar>
            <w:vAlign w:val="top"/>
          </w:tcPr>
          <w:p w:rsidP="3517E32E" w:rsidRDefault="00000000" w14:paraId="0000002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Temperatura, rocío, lluvia, suelo, escorrentía, evaporación, viento y radiación; el Champion también usa rezagos climáticos.</w:t>
            </w:r>
            <w:r>
              <w:rPr>
                <w:rtl w:val="0"/>
              </w:rPr>
            </w:r>
          </w:p>
        </w:tc>
      </w:tr>
      <w:tr xmlns:wp14="http://schemas.microsoft.com/office/word/2010/wordml" w:rsidTr="3517E32E" w14:paraId="15FFB600" wp14:textId="77777777">
        <w:trPr>
          <w:cantSplit w:val="0"/>
          <w:tblHeader w:val="0"/>
        </w:trPr>
        <w:tc>
          <w:tcPr>
            <w:shd w:val="clear" w:color="auto" w:fill="FAFBFC"/>
            <w:tcMar>
              <w:top w:w="45.0" w:type="dxa"/>
              <w:bottom w:w="45.0" w:type="dxa"/>
            </w:tcMar>
            <w:vAlign w:val="top"/>
          </w:tcPr>
          <w:p w:rsidP="3517E32E" w:rsidRDefault="00000000" w14:paraId="0000002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Panel procesado · 1.114 municipios; piloto: Cali y Bucaramanga</w:t>
            </w:r>
            <w:r>
              <w:rPr>
                <w:rtl w:val="0"/>
              </w:rPr>
            </w:r>
          </w:p>
        </w:tc>
        <w:tc>
          <w:tcPr>
            <w:shd w:val="clear" w:color="auto" w:fill="FAFBFC"/>
            <w:tcMar>
              <w:top w:w="45.0" w:type="dxa"/>
              <w:bottom w:w="45.0" w:type="dxa"/>
            </w:tcMar>
            <w:vAlign w:val="top"/>
          </w:tcPr>
          <w:p w:rsidP="3517E32E" w:rsidRDefault="00000000" w14:paraId="0000002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Panel municipio-mes con ceros explícitos. La fecha de referencia es inicio de síntomas (INI_SIN), con notificación como respaldo.</w:t>
            </w:r>
            <w:r>
              <w:rPr>
                <w:rtl w:val="0"/>
              </w:rPr>
            </w:r>
          </w:p>
        </w:tc>
      </w:tr>
    </w:tbl>
    <w:p xmlns:wp14="http://schemas.microsoft.com/office/word/2010/wordml" w:rsidP="3517E32E" w:rsidRDefault="00000000" w14:paraId="00000025"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partición vigente del repositorio es temporal: entrenamiento hasta 2022 y prueba 2023–2025, con validación cruzada temporal dentro del entrenamiento. Para calibración post-hoc, el código efectivo toma 2021–2022. El desempeño de producto que se reporta abajo corresponde al subconjunto de los dos municipios piloto dentro del conjunto de prueba.</w:t>
      </w:r>
    </w:p>
    <w:p xmlns:wp14="http://schemas.microsoft.com/office/word/2010/wordml" w:rsidRDefault="00000000" w14:paraId="00000026" wp14:textId="77777777">
      <w:pPr>
        <w:spacing w:before="0" w:after="40" w:line="240" w:lineRule="auto"/>
        <w:jc w:val="both"/>
        <w:rPr>
          <w:sz w:val="22"/>
          <w:szCs w:val="22"/>
        </w:rPr>
      </w:pPr>
      <w:r>
        <w:rPr>
          <w:rtl w:val="0"/>
        </w:rPr>
      </w:r>
    </w:p>
    <w:p xmlns:wp14="http://schemas.microsoft.com/office/word/2010/wordml" w:rsidP="3517E32E" w:rsidRDefault="00000000" w14:paraId="00000027" wp14:textId="77777777">
      <w:pPr>
        <w:pStyle w:val="Heading2"/>
        <w:jc w:val="both"/>
        <w:rPr>
          <w:sz w:val="22"/>
          <w:szCs w:val="22"/>
          <w:lang w:val="en-US"/>
        </w:rPr>
      </w:pPr>
      <w:r w:rsidRPr="3517E32E" w:rsidR="3517E32E">
        <w:rPr>
          <w:sz w:val="22"/>
          <w:szCs w:val="22"/>
          <w:lang w:val="en-US"/>
        </w:rPr>
        <w:t>1.4 Cambios respecto a Entrega 2</w:t>
      </w:r>
    </w:p>
    <w:p xmlns:wp14="http://schemas.microsoft.com/office/word/2010/wordml" w:rsidP="3517E32E" w:rsidRDefault="00000000" w14:paraId="0000002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Pregunta de negocio reformulada alrededor del usuario, la acción y los horizontes T+1/T+2; se fijan como clientes las dos Secretarías de Salud municipales.</w:t>
      </w:r>
    </w:p>
    <w:p xmlns:wp14="http://schemas.microsoft.com/office/word/2010/wordml" w:rsidP="3517E32E" w:rsidRDefault="00000000" w14:paraId="0000002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congeló un contrato de 39 predictoras: de 41 variables numéricas construidas, se excluyen los conteos contemporáneos crudos casos_clasico y casos_grave; su información histórica entra mediante rezagos y ventanas móviles.</w:t>
      </w:r>
    </w:p>
    <w:p xmlns:wp14="http://schemas.microsoft.com/office/word/2010/wordml" w:rsidP="3517E32E" w:rsidRDefault="00000000" w14:paraId="0000002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 corrigió la comparabilidad de métricas en MLflow y el cálculo de inicios T+2; el reporte usa una sola línea base numérica sobre Cali+Bucaramanga.</w:t>
      </w:r>
    </w:p>
    <w:p xmlns:wp14="http://schemas.microsoft.com/office/word/2010/wordml" w:rsidP="3517E32E" w:rsidRDefault="00000000" w14:paraId="0000002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sdt>
        <w:sdtPr>
          <w:id w:val="-1728696535"/>
          <w:tag w:val="goog_rdk_0"/>
          <w:placeholder>
            <w:docPart w:val="DefaultPlaceholder_1081868574"/>
          </w:placeholder>
        </w:sdtPr>
        <w:sdtContent>
          <w:r w:rsidRPr="3517E32E" w:rsidR="3517E32E">
            <w:rPr>
              <w:rFonts w:ascii="Arial Unicode MS" w:hAnsi="Arial Unicode MS" w:eastAsia="Arial Unicode MS" w:cs="Arial Unicode MS"/>
              <w:b w:val="0"/>
              <w:bCs w:val="0"/>
              <w:i w:val="0"/>
              <w:iCs w:val="0"/>
              <w:caps w:val="0"/>
              <w:smallCaps w:val="0"/>
              <w:strike w:val="0"/>
              <w:dstrike w:val="0"/>
              <w:color w:val="203040"/>
              <w:sz w:val="22"/>
              <w:szCs w:val="22"/>
              <w:u w:val="none"/>
              <w:shd w:val="clear" w:fill="auto"/>
              <w:vertAlign w:val="baseline"/>
              <w:lang w:val="en-US"/>
            </w:rPr>
            <w:t xml:space="preserve">Se consolidó la integración Champion, FastAPI /api/v2, SQLite y tablero, con latest e history y pruebas E2E. La ablación solicitada por el profesor quedó ejecutada y se reporta en la sección 2.2.1. Permanecen como cierres pendientes la evidencia en interfaz de la clasificación entre inicio y continuación, y los soportes de Docker y del video.</w:t>
          </w:r>
        </w:sdtContent>
      </w:sdt>
    </w:p>
    <w:p xmlns:wp14="http://schemas.microsoft.com/office/word/2010/wordml" w:rsidP="3517E32E" w:rsidRDefault="00000000" w14:paraId="0000002D" wp14:textId="77777777">
      <w:pPr>
        <w:pageBreakBefore/>
        <w:pStyle w:val="Heading1"/>
        <w:jc w:val="center"/>
        <w:rPr>
          <w:sz w:val="22"/>
          <w:szCs w:val="22"/>
          <w:lang w:val="en-US"/>
        </w:rPr>
      </w:pPr>
      <w:r w:rsidRPr="3517E32E" w:rsidR="3517E32E">
        <w:rPr>
          <w:sz w:val="22"/>
          <w:szCs w:val="22"/>
          <w:lang w:val="en-US"/>
        </w:rPr>
        <w:t>2. Modelos desarrollados y su evaluación</w:t>
      </w:r>
    </w:p>
    <w:p xmlns:wp14="http://schemas.microsoft.com/office/word/2010/wordml" w:rsidP="3517E32E" w:rsidRDefault="00000000" w14:paraId="0000002E" wp14:textId="77777777">
      <w:pPr>
        <w:pStyle w:val="Heading2"/>
        <w:jc w:val="both"/>
        <w:rPr>
          <w:sz w:val="22"/>
          <w:szCs w:val="22"/>
          <w:lang w:val="en-US"/>
        </w:rPr>
      </w:pPr>
      <w:r w:rsidRPr="3517E32E" w:rsidR="3517E32E">
        <w:rPr>
          <w:sz w:val="22"/>
          <w:szCs w:val="22"/>
          <w:lang w:val="en-US"/>
        </w:rPr>
        <w:t>2.1 Modelos entrenados y protocolo de evaluación</w:t>
      </w:r>
    </w:p>
    <w:p xmlns:wp14="http://schemas.microsoft.com/office/word/2010/wordml" w:rsidP="3517E32E" w:rsidRDefault="00000000" w14:paraId="0000002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comparación final se concentra en XGBoost, LightGBM y GAM, junto con Poisson y dos baselines epidemiológicos: persistencia y canal endémico. El objetivo T+1 es objetivo = 1 cuando el mes siguiente supera P75; T+2 desplaza la etiqueta un mes adicional. El repositorio corrige es_inicio para T+2 de modo que la transición se mida contra el mes correcto. La selección de hiperparámetros usa validación temporal; la prueba queda fuera del entrenamiento (2023–2025).</w:t>
      </w:r>
      <w:r>
        <w:rPr>
          <w:rtl w:val="0"/>
        </w:rPr>
      </w:r>
    </w:p>
    <w:p xmlns:wp14="http://schemas.microsoft.com/office/word/2010/wordml" w:rsidP="3517E32E" w:rsidRDefault="00000000" w14:paraId="00000030"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En el alcance de producto, T+1 contiene 70 observaciones de Cali y Bucaramanga, 42 meses en brote y solo 3 inicios. Por ello, F1 y PR-AUC describen bien el desempeño general, pero la detección de inicios es la métrica de negocio más informativa. Las probabilidades desplegadas de XGBoost se calibran post-hoc con Platt scaling; los umbrales operativos verificados en la integración son 0,34 para T+1 y 0,27 para T+2.</w:t>
      </w:r>
    </w:p>
    <w:p xmlns:wp14="http://schemas.microsoft.com/office/word/2010/wordml" w:rsidRDefault="00000000" w14:paraId="00000031" wp14:textId="77777777">
      <w:pPr>
        <w:spacing w:before="0" w:after="40" w:line="240" w:lineRule="auto"/>
        <w:jc w:val="both"/>
        <w:rPr>
          <w:sz w:val="22"/>
          <w:szCs w:val="22"/>
        </w:rPr>
      </w:pPr>
      <w:r>
        <w:rPr>
          <w:rtl w:val="0"/>
        </w:rPr>
      </w:r>
    </w:p>
    <w:p xmlns:wp14="http://schemas.microsoft.com/office/word/2010/wordml" w:rsidP="3517E32E" w:rsidRDefault="00000000" w14:paraId="00000032" wp14:textId="77777777">
      <w:pPr>
        <w:pStyle w:val="Heading2"/>
        <w:jc w:val="both"/>
        <w:rPr>
          <w:sz w:val="22"/>
          <w:szCs w:val="22"/>
          <w:lang w:val="en-US"/>
        </w:rPr>
      </w:pPr>
      <w:r w:rsidRPr="3517E32E" w:rsidR="3517E32E">
        <w:rPr>
          <w:sz w:val="22"/>
          <w:szCs w:val="22"/>
          <w:lang w:val="en-US"/>
        </w:rPr>
        <w:t>2.2 Selección de características</w:t>
      </w:r>
    </w:p>
    <w:p xmlns:wp14="http://schemas.microsoft.com/office/word/2010/wordml" w:rsidP="3517E32E" w:rsidRDefault="00000000" w14:paraId="0000003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El generador produce 41 predictoras numéricas y el contrato desplegado congela 39. Al contrastar ambos artefactos, las dos variables construidas que no entran al Champion son los conteos contemporáneos crudos casos_clasico y casos_grave. El modelo conserva su historia mediante rezagos y promedios móviles; esta decisión queda verificable en el feature contract de la API.</w:t>
      </w:r>
      <w:r>
        <w:rPr>
          <w:rtl w:val="0"/>
        </w:rPr>
      </w:r>
    </w:p>
    <w:tbl>
      <w:tblPr>
        <w:tblStyle w:val="Table2"/>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67836125">
          <w:tblPr/>
        </w:tblPrChange>
      </w:tblPr>
      <w:tblGrid>
        <w:gridCol w:w="3523"/>
        <w:gridCol w:w="3523"/>
        <w:gridCol w:w="3523"/>
      </w:tblGrid>
      <w:tr xmlns:wp14="http://schemas.microsoft.com/office/word/2010/wordml" w:rsidTr="3517E32E" w14:paraId="305A6DF7" wp14:textId="77777777">
        <w:trPr>
          <w:cantSplit w:val="0"/>
          <w:tblHeader w:val="1"/>
        </w:trPr>
        <w:tc>
          <w:tcPr>
            <w:shd w:val="clear" w:color="auto" w:fill="D5E5F5"/>
            <w:tcMar>
              <w:top w:w="45.0" w:type="dxa"/>
              <w:bottom w:w="45.0" w:type="dxa"/>
            </w:tcMar>
            <w:vAlign w:val="center"/>
          </w:tcPr>
          <w:p w:rsidRDefault="00000000" w14:paraId="00000034"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Familia</w:t>
            </w:r>
            <w:r>
              <w:rPr>
                <w:rtl w:val="0"/>
              </w:rPr>
            </w:r>
          </w:p>
        </w:tc>
        <w:tc>
          <w:tcPr>
            <w:shd w:val="clear" w:color="auto" w:fill="D5E5F5"/>
            <w:tcMar>
              <w:top w:w="45.0" w:type="dxa"/>
              <w:bottom w:w="45.0" w:type="dxa"/>
            </w:tcMar>
            <w:vAlign w:val="center"/>
          </w:tcPr>
          <w:p w:rsidP="3517E32E" w:rsidRDefault="00000000" w14:paraId="00000035"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Predictoras contractuales</w:t>
            </w:r>
            <w:r>
              <w:rPr>
                <w:rtl w:val="0"/>
              </w:rPr>
            </w:r>
          </w:p>
        </w:tc>
        <w:tc>
          <w:tcPr>
            <w:shd w:val="clear" w:color="auto" w:fill="D5E5F5"/>
            <w:tcMar>
              <w:top w:w="45.0" w:type="dxa"/>
              <w:bottom w:w="45.0" w:type="dxa"/>
            </w:tcMar>
            <w:vAlign w:val="center"/>
          </w:tcPr>
          <w:p w:rsidRDefault="00000000" w14:paraId="00000036"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n</w:t>
            </w:r>
            <w:r>
              <w:rPr>
                <w:rtl w:val="0"/>
              </w:rPr>
            </w:r>
          </w:p>
        </w:tc>
      </w:tr>
      <w:tr xmlns:wp14="http://schemas.microsoft.com/office/word/2010/wordml" w:rsidTr="3517E32E" w14:paraId="4FAA7D7E" wp14:textId="77777777">
        <w:trPr>
          <w:cantSplit w:val="0"/>
          <w:tblHeader w:val="0"/>
        </w:trPr>
        <w:tc>
          <w:tcPr>
            <w:tcMar>
              <w:top w:w="45.0" w:type="dxa"/>
              <w:bottom w:w="45.0" w:type="dxa"/>
            </w:tcMar>
            <w:vAlign w:val="top"/>
          </w:tcPr>
          <w:p w:rsidRDefault="00000000" w14:paraId="0000003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Clima actual</w:t>
            </w:r>
            <w:r>
              <w:rPr>
                <w:rtl w:val="0"/>
              </w:rPr>
            </w:r>
          </w:p>
        </w:tc>
        <w:tc>
          <w:tcPr>
            <w:tcMar>
              <w:top w:w="45.0" w:type="dxa"/>
              <w:bottom w:w="45.0" w:type="dxa"/>
            </w:tcMar>
            <w:vAlign w:val="top"/>
          </w:tcPr>
          <w:p w:rsidP="3517E32E" w:rsidRDefault="00000000" w14:paraId="0000003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temp_mean_c; dewpoint_mean_c; rain_mm_day; soil_water_l1_mean; surface_runoff_mm_day; total_evaporation_mm_day_ecmwf; wind_u_mean_ms; wind_v_mean_ms; solar_radiation_mj_m2_day</w:t>
            </w:r>
            <w:r>
              <w:rPr>
                <w:rtl w:val="0"/>
              </w:rPr>
            </w:r>
          </w:p>
        </w:tc>
        <w:tc>
          <w:tcPr>
            <w:tcMar>
              <w:top w:w="45.0" w:type="dxa"/>
              <w:bottom w:w="45.0" w:type="dxa"/>
            </w:tcMar>
            <w:vAlign w:val="top"/>
          </w:tcPr>
          <w:p w:rsidRDefault="00000000" w14:paraId="0000003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9</w:t>
            </w:r>
            <w:r>
              <w:rPr>
                <w:rtl w:val="0"/>
              </w:rPr>
            </w:r>
          </w:p>
        </w:tc>
      </w:tr>
      <w:tr xmlns:wp14="http://schemas.microsoft.com/office/word/2010/wordml" w:rsidTr="3517E32E" w14:paraId="34152189" wp14:textId="77777777">
        <w:trPr>
          <w:cantSplit w:val="0"/>
          <w:tblHeader w:val="0"/>
        </w:trPr>
        <w:tc>
          <w:tcPr>
            <w:shd w:val="clear" w:color="auto" w:fill="FAFBFC"/>
            <w:tcMar>
              <w:top w:w="45.0" w:type="dxa"/>
              <w:bottom w:w="45.0" w:type="dxa"/>
            </w:tcMar>
            <w:vAlign w:val="top"/>
          </w:tcPr>
          <w:p w:rsidP="3517E32E" w:rsidRDefault="00000000" w14:paraId="0000003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Epidemiología histórica</w:t>
            </w:r>
            <w:r>
              <w:rPr>
                <w:rtl w:val="0"/>
              </w:rPr>
            </w:r>
          </w:p>
        </w:tc>
        <w:tc>
          <w:tcPr>
            <w:shd w:val="clear" w:color="auto" w:fill="FAFBFC"/>
            <w:tcMar>
              <w:top w:w="45.0" w:type="dxa"/>
              <w:bottom w:w="45.0" w:type="dxa"/>
            </w:tcMar>
            <w:vAlign w:val="top"/>
          </w:tcPr>
          <w:p w:rsidRDefault="00000000" w14:paraId="0000003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casos_grave_lag_1/2/3/4/6, casos_grave_roll3; casos_clasico_lag_1/2/3/4/6, casos_clasico_roll3</w:t>
            </w:r>
            <w:r>
              <w:rPr>
                <w:rtl w:val="0"/>
              </w:rPr>
            </w:r>
          </w:p>
        </w:tc>
        <w:tc>
          <w:tcPr>
            <w:shd w:val="clear" w:color="auto" w:fill="FAFBFC"/>
            <w:tcMar>
              <w:top w:w="45.0" w:type="dxa"/>
              <w:bottom w:w="45.0" w:type="dxa"/>
            </w:tcMar>
            <w:vAlign w:val="top"/>
          </w:tcPr>
          <w:p w:rsidRDefault="00000000" w14:paraId="0000003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12</w:t>
            </w:r>
            <w:r>
              <w:rPr>
                <w:rtl w:val="0"/>
              </w:rPr>
            </w:r>
          </w:p>
        </w:tc>
      </w:tr>
      <w:tr xmlns:wp14="http://schemas.microsoft.com/office/word/2010/wordml" w:rsidTr="3517E32E" w14:paraId="0F9666D1" wp14:textId="77777777">
        <w:trPr>
          <w:cantSplit w:val="0"/>
          <w:tblHeader w:val="0"/>
        </w:trPr>
        <w:tc>
          <w:tcPr>
            <w:tcMar>
              <w:top w:w="45.0" w:type="dxa"/>
              <w:bottom w:w="45.0" w:type="dxa"/>
            </w:tcMar>
            <w:vAlign w:val="top"/>
          </w:tcPr>
          <w:p w:rsidP="3517E32E" w:rsidRDefault="00000000" w14:paraId="0000003D"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Rezagos climáticos</w:t>
            </w:r>
            <w:r>
              <w:rPr>
                <w:rtl w:val="0"/>
              </w:rPr>
            </w:r>
          </w:p>
        </w:tc>
        <w:tc>
          <w:tcPr>
            <w:tcMar>
              <w:top w:w="45.0" w:type="dxa"/>
              <w:bottom w:w="45.0" w:type="dxa"/>
            </w:tcMar>
            <w:vAlign w:val="top"/>
          </w:tcPr>
          <w:p w:rsidRDefault="00000000" w14:paraId="0000003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temp_mean_c_lag_1/2/3; rain_mm_day_lag_1/2/3</w:t>
            </w:r>
            <w:r>
              <w:rPr>
                <w:rtl w:val="0"/>
              </w:rPr>
            </w:r>
          </w:p>
        </w:tc>
        <w:tc>
          <w:tcPr>
            <w:tcMar>
              <w:top w:w="45.0" w:type="dxa"/>
              <w:bottom w:w="45.0" w:type="dxa"/>
            </w:tcMar>
            <w:vAlign w:val="top"/>
          </w:tcPr>
          <w:p w:rsidRDefault="00000000" w14:paraId="0000003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6</w:t>
            </w:r>
            <w:r>
              <w:rPr>
                <w:rtl w:val="0"/>
              </w:rPr>
            </w:r>
          </w:p>
        </w:tc>
      </w:tr>
      <w:tr xmlns:wp14="http://schemas.microsoft.com/office/word/2010/wordml" w:rsidTr="3517E32E" w14:paraId="501FA8D2" wp14:textId="77777777">
        <w:trPr>
          <w:cantSplit w:val="0"/>
          <w:tblHeader w:val="0"/>
        </w:trPr>
        <w:tc>
          <w:tcPr>
            <w:shd w:val="clear" w:color="auto" w:fill="FAFBFC"/>
            <w:tcMar>
              <w:top w:w="45.0" w:type="dxa"/>
              <w:bottom w:w="45.0" w:type="dxa"/>
            </w:tcMar>
            <w:vAlign w:val="top"/>
          </w:tcPr>
          <w:p w:rsidP="3517E32E" w:rsidRDefault="00000000" w14:paraId="0000004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Estacionalidad</w:t>
            </w:r>
            <w:r>
              <w:rPr>
                <w:rtl w:val="0"/>
              </w:rPr>
            </w:r>
          </w:p>
        </w:tc>
        <w:tc>
          <w:tcPr>
            <w:shd w:val="clear" w:color="auto" w:fill="FAFBFC"/>
            <w:tcMar>
              <w:top w:w="45.0" w:type="dxa"/>
              <w:bottom w:w="45.0" w:type="dxa"/>
            </w:tcMar>
            <w:vAlign w:val="top"/>
          </w:tcPr>
          <w:p w:rsidP="3517E32E" w:rsidRDefault="00000000" w14:paraId="00000041"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mes_sin; mes_cos</w:t>
            </w:r>
            <w:r>
              <w:rPr>
                <w:rtl w:val="0"/>
              </w:rPr>
            </w:r>
          </w:p>
        </w:tc>
        <w:tc>
          <w:tcPr>
            <w:shd w:val="clear" w:color="auto" w:fill="FAFBFC"/>
            <w:tcMar>
              <w:top w:w="45.0" w:type="dxa"/>
              <w:bottom w:w="45.0" w:type="dxa"/>
            </w:tcMar>
            <w:vAlign w:val="top"/>
          </w:tcPr>
          <w:p w:rsidRDefault="00000000" w14:paraId="0000004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w:t>
            </w:r>
            <w:r>
              <w:rPr>
                <w:rtl w:val="0"/>
              </w:rPr>
            </w:r>
          </w:p>
        </w:tc>
      </w:tr>
      <w:tr xmlns:wp14="http://schemas.microsoft.com/office/word/2010/wordml" w:rsidTr="3517E32E" w14:paraId="103D9F80" wp14:textId="77777777">
        <w:trPr>
          <w:cantSplit w:val="0"/>
          <w:tblHeader w:val="0"/>
        </w:trPr>
        <w:tc>
          <w:tcPr>
            <w:tcMar>
              <w:top w:w="45.0" w:type="dxa"/>
              <w:bottom w:w="45.0" w:type="dxa"/>
            </w:tcMar>
            <w:vAlign w:val="top"/>
          </w:tcPr>
          <w:p w:rsidP="3517E32E" w:rsidRDefault="00000000" w14:paraId="0000004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 estado</w:t>
            </w:r>
            <w:r>
              <w:rPr>
                <w:rtl w:val="0"/>
              </w:rPr>
            </w:r>
          </w:p>
        </w:tc>
        <w:tc>
          <w:tcPr>
            <w:tcMar>
              <w:top w:w="45.0" w:type="dxa"/>
              <w:bottom w:w="45.0" w:type="dxa"/>
            </w:tcMar>
            <w:vAlign w:val="top"/>
          </w:tcPr>
          <w:p w:rsidP="3517E32E" w:rsidRDefault="00000000" w14:paraId="0000004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p25; p75; zona_canal; sir; es_endemico; brote; p25_objetivo; p75_objetivo; zona_objetivo; brote_lag_1</w:t>
            </w:r>
            <w:r>
              <w:rPr>
                <w:rtl w:val="0"/>
              </w:rPr>
            </w:r>
          </w:p>
        </w:tc>
        <w:tc>
          <w:tcPr>
            <w:tcMar>
              <w:top w:w="45.0" w:type="dxa"/>
              <w:bottom w:w="45.0" w:type="dxa"/>
            </w:tcMar>
            <w:vAlign w:val="top"/>
          </w:tcPr>
          <w:p w:rsidRDefault="00000000" w14:paraId="0000004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10</w:t>
            </w:r>
            <w:r>
              <w:rPr>
                <w:rtl w:val="0"/>
              </w:rPr>
            </w:r>
          </w:p>
        </w:tc>
      </w:tr>
    </w:tbl>
    <w:p xmlns:wp14="http://schemas.microsoft.com/office/word/2010/wordml" w:rsidP="3517E32E" w:rsidRDefault="00000000" w14:paraId="00000046" wp14:textId="77777777">
      <w:pPr>
        <w:spacing w:before="0" w:after="2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retroalimentación de Entrega 2 señaló que brote_lag_1 concentraba aproximadamente 0,41 de la importancia, seguida por SIR y variables del canal. Esto sugiere que buena parte del poder predictivo puede provenir de la persistencia del estado epidemiológico reciente. Los SHAP guardados actualmente en reports/ anteceden al reentrenamiento con corte 2022; por consistencia no se reutilizan como evidencia del Champion vigente.</w:t>
      </w:r>
      <w:r>
        <w:rPr>
          <w:rtl w:val="0"/>
        </w:rPr>
      </w:r>
    </w:p>
    <w:p xmlns:wp14="http://schemas.microsoft.com/office/word/2010/wordml" w:rsidP="3517E32E" w:rsidRDefault="00000000" w14:paraId="00000047"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"Importancia de características del Champion vigente, regenerada después del reentrenamiento; resaltar brote_lag_1, SIR y variables del canal endémico"]</w:t>
      </w:r>
      <w:r>
        <w:rPr>
          <w:rtl w:val="0"/>
        </w:rPr>
      </w:r>
    </w:p>
    <w:p xmlns:wp14="http://schemas.microsoft.com/office/word/2010/wordml" w:rsidRDefault="00000000" w14:paraId="00000048" wp14:textId="77777777">
      <w:pPr>
        <w:pStyle w:val="Heading3"/>
        <w:jc w:val="both"/>
        <w:rPr>
          <w:sz w:val="22"/>
          <w:szCs w:val="22"/>
        </w:rPr>
      </w:pPr>
      <w:r>
        <w:rPr>
          <w:rtl w:val="0"/>
        </w:rPr>
      </w:r>
    </w:p>
    <w:p xmlns:wp14="http://schemas.microsoft.com/office/word/2010/wordml" w:rsidP="3517E32E" w:rsidRDefault="00000000" w14:paraId="00000049" wp14:textId="77777777">
      <w:pPr>
        <w:pStyle w:val="Heading3"/>
        <w:jc w:val="both"/>
        <w:rPr>
          <w:sz w:val="22"/>
          <w:szCs w:val="22"/>
          <w:lang w:val="en-US"/>
        </w:rPr>
      </w:pPr>
      <w:r w:rsidRPr="3517E32E" w:rsidR="3517E32E">
        <w:rPr>
          <w:sz w:val="22"/>
          <w:szCs w:val="22"/>
          <w:lang w:val="en-US"/>
        </w:rPr>
        <w:t>2.2.1 Prueba de sensibilidad solicitada</w:t>
      </w:r>
    </w:p>
    <w:p xmlns:wp14="http://schemas.microsoft.com/office/word/2010/wordml" w:rsidP="3517E32E" w:rsidRDefault="00000000" w14:paraId="0000004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profesor solicitó comparar el Champion completo contra una variante sin las variables más directamente asociadas al estado actual del canal endémico. El experimento se ejecutó reentrenando bajo el mismo protocolo del repositorio: idéntica partición temporal con entrenamiento hasta 2022, los mismos hiperparámetros, el umbral elegido maximizando F1 sobre validación y evaluación sobre Cali y Bucaramanga en el conjunto de prueba. La corrida con las 39 variables contractuales reproduce exactamente las cifras del Champion reportado, lo que permite leer las diferencias como efecto de las variables retiradas y no del protocolo.</w:t>
      </w:r>
    </w:p>
    <w:tbl>
      <w:tblPr>
        <w:tblStyle w:val="TableGrid"/>
        <w:tblW w:type="auto" w:w="0"/>
        <w:tblLook w:firstColumn="1" w:firstRow="1" w:lastColumn="0" w:lastRow="0" w:noHBand="0" w:noVBand="1" w:val="04A0"/>
      </w:tblPr>
      <w:tblGrid>
        <w:gridCol w:w="1762"/>
        <w:gridCol w:w="1762"/>
        <w:gridCol w:w="1762"/>
        <w:gridCol w:w="1762"/>
        <w:gridCol w:w="1762"/>
        <w:gridCol w:w="1762"/>
      </w:tblGrid>
      <w:tr>
        <w:tc>
          <w:tcPr>
            <w:tcW w:type="dxa" w:w="1762"/>
          </w:tcPr>
          <w:p>
            <w:r/>
            <w:r>
              <w:rPr>
                <w:b/>
                <w:sz w:val="18"/>
              </w:rPr>
              <w:t>Variante</w:t>
            </w:r>
          </w:p>
        </w:tc>
        <w:tc>
          <w:tcPr>
            <w:tcW w:type="dxa" w:w="1762"/>
          </w:tcPr>
          <w:p>
            <w:r/>
            <w:r>
              <w:rPr>
                <w:b/>
                <w:sz w:val="18"/>
              </w:rPr>
              <w:t>Predictoras</w:t>
            </w:r>
          </w:p>
        </w:tc>
        <w:tc>
          <w:tcPr>
            <w:tcW w:type="dxa" w:w="1762"/>
          </w:tcPr>
          <w:p>
            <w:r/>
            <w:r>
              <w:rPr>
                <w:b/>
                <w:sz w:val="18"/>
              </w:rPr>
              <w:t>F1</w:t>
            </w:r>
          </w:p>
        </w:tc>
        <w:tc>
          <w:tcPr>
            <w:tcW w:type="dxa" w:w="1762"/>
          </w:tcPr>
          <w:p>
            <w:r/>
            <w:r>
              <w:rPr>
                <w:b/>
                <w:sz w:val="18"/>
              </w:rPr>
              <w:t>PR-AUC</w:t>
            </w:r>
          </w:p>
        </w:tc>
        <w:tc>
          <w:tcPr>
            <w:tcW w:type="dxa" w:w="1762"/>
          </w:tcPr>
          <w:p>
            <w:r/>
            <w:r>
              <w:rPr>
                <w:b/>
                <w:sz w:val="18"/>
              </w:rPr>
              <w:t>Brotes / Falsas</w:t>
            </w:r>
          </w:p>
        </w:tc>
        <w:tc>
          <w:tcPr>
            <w:tcW w:type="dxa" w:w="1762"/>
          </w:tcPr>
          <w:p>
            <w:r/>
            <w:r>
              <w:rPr>
                <w:b/>
                <w:sz w:val="18"/>
              </w:rPr>
              <w:t>Inicios</w:t>
            </w:r>
          </w:p>
        </w:tc>
      </w:tr>
      <w:tr>
        <w:tc>
          <w:tcPr>
            <w:tcW w:type="dxa" w:w="1762"/>
          </w:tcPr>
          <w:p>
            <w:r/>
            <w:r>
              <w:rPr>
                <w:sz w:val="18"/>
              </w:rPr>
              <w:t>Champion completo</w:t>
            </w:r>
          </w:p>
        </w:tc>
        <w:tc>
          <w:tcPr>
            <w:tcW w:type="dxa" w:w="1762"/>
          </w:tcPr>
          <w:p>
            <w:r/>
            <w:r>
              <w:rPr>
                <w:sz w:val="18"/>
              </w:rPr>
              <w:t>39</w:t>
            </w:r>
          </w:p>
        </w:tc>
        <w:tc>
          <w:tcPr>
            <w:tcW w:type="dxa" w:w="1762"/>
          </w:tcPr>
          <w:p>
            <w:r/>
            <w:r>
              <w:rPr>
                <w:sz w:val="18"/>
              </w:rPr>
              <w:t>0,965</w:t>
            </w:r>
          </w:p>
        </w:tc>
        <w:tc>
          <w:tcPr>
            <w:tcW w:type="dxa" w:w="1762"/>
          </w:tcPr>
          <w:p>
            <w:r/>
            <w:r>
              <w:rPr>
                <w:sz w:val="18"/>
              </w:rPr>
              <w:t>0,991</w:t>
            </w:r>
          </w:p>
        </w:tc>
        <w:tc>
          <w:tcPr>
            <w:tcW w:type="dxa" w:w="1762"/>
          </w:tcPr>
          <w:p>
            <w:r/>
            <w:r>
              <w:rPr>
                <w:sz w:val="18"/>
              </w:rPr>
              <w:t>41 de 42 / 2</w:t>
            </w:r>
          </w:p>
        </w:tc>
        <w:tc>
          <w:tcPr>
            <w:tcW w:type="dxa" w:w="1762"/>
          </w:tcPr>
          <w:p>
            <w:r/>
            <w:r>
              <w:rPr>
                <w:sz w:val="18"/>
              </w:rPr>
              <w:t>2 de 3</w:t>
            </w:r>
          </w:p>
        </w:tc>
      </w:tr>
      <w:tr>
        <w:tc>
          <w:tcPr>
            <w:tcW w:type="dxa" w:w="1762"/>
          </w:tcPr>
          <w:p>
            <w:r/>
            <w:r>
              <w:rPr>
                <w:sz w:val="18"/>
              </w:rPr>
              <w:t>Sin brote y brote_lag_1</w:t>
            </w:r>
          </w:p>
        </w:tc>
        <w:tc>
          <w:tcPr>
            <w:tcW w:type="dxa" w:w="1762"/>
          </w:tcPr>
          <w:p>
            <w:r/>
            <w:r>
              <w:rPr>
                <w:sz w:val="18"/>
              </w:rPr>
              <w:t>37</w:t>
            </w:r>
          </w:p>
        </w:tc>
        <w:tc>
          <w:tcPr>
            <w:tcW w:type="dxa" w:w="1762"/>
          </w:tcPr>
          <w:p>
            <w:r/>
            <w:r>
              <w:rPr>
                <w:sz w:val="18"/>
              </w:rPr>
              <w:t>0,965</w:t>
            </w:r>
          </w:p>
        </w:tc>
        <w:tc>
          <w:tcPr>
            <w:tcW w:type="dxa" w:w="1762"/>
          </w:tcPr>
          <w:p>
            <w:r/>
            <w:r>
              <w:rPr>
                <w:sz w:val="18"/>
              </w:rPr>
              <w:t>0,991</w:t>
            </w:r>
          </w:p>
        </w:tc>
        <w:tc>
          <w:tcPr>
            <w:tcW w:type="dxa" w:w="1762"/>
          </w:tcPr>
          <w:p>
            <w:r/>
            <w:r>
              <w:rPr>
                <w:sz w:val="18"/>
              </w:rPr>
              <w:t>41 de 42 / 2</w:t>
            </w:r>
          </w:p>
        </w:tc>
        <w:tc>
          <w:tcPr>
            <w:tcW w:type="dxa" w:w="1762"/>
          </w:tcPr>
          <w:p>
            <w:r/>
            <w:r>
              <w:rPr>
                <w:sz w:val="18"/>
              </w:rPr>
              <w:t>2 de 3</w:t>
            </w:r>
          </w:p>
        </w:tc>
      </w:tr>
      <w:tr>
        <w:tc>
          <w:tcPr>
            <w:tcW w:type="dxa" w:w="1762"/>
          </w:tcPr>
          <w:p>
            <w:r/>
            <w:r>
              <w:rPr>
                <w:sz w:val="18"/>
              </w:rPr>
              <w:t>Sin estado actual del canal (también zona_canal y sir)</w:t>
            </w:r>
          </w:p>
        </w:tc>
        <w:tc>
          <w:tcPr>
            <w:tcW w:type="dxa" w:w="1762"/>
          </w:tcPr>
          <w:p>
            <w:r/>
            <w:r>
              <w:rPr>
                <w:sz w:val="18"/>
              </w:rPr>
              <w:t>35</w:t>
            </w:r>
          </w:p>
        </w:tc>
        <w:tc>
          <w:tcPr>
            <w:tcW w:type="dxa" w:w="1762"/>
          </w:tcPr>
          <w:p>
            <w:r/>
            <w:r>
              <w:rPr>
                <w:sz w:val="18"/>
              </w:rPr>
              <w:t>0,951</w:t>
            </w:r>
          </w:p>
        </w:tc>
        <w:tc>
          <w:tcPr>
            <w:tcW w:type="dxa" w:w="1762"/>
          </w:tcPr>
          <w:p>
            <w:r/>
            <w:r>
              <w:rPr>
                <w:sz w:val="18"/>
              </w:rPr>
              <w:t>0,991</w:t>
            </w:r>
          </w:p>
        </w:tc>
        <w:tc>
          <w:tcPr>
            <w:tcW w:type="dxa" w:w="1762"/>
          </w:tcPr>
          <w:p>
            <w:r/>
            <w:r>
              <w:rPr>
                <w:sz w:val="18"/>
              </w:rPr>
              <w:t>39 de 42 / 1</w:t>
            </w:r>
          </w:p>
        </w:tc>
        <w:tc>
          <w:tcPr>
            <w:tcW w:type="dxa" w:w="1762"/>
          </w:tcPr>
          <w:p>
            <w:r/>
            <w:r>
              <w:rPr>
                <w:sz w:val="18"/>
              </w:rPr>
              <w:t>2 de 3</w:t>
            </w:r>
          </w:p>
        </w:tc>
      </w:tr>
      <w:tr>
        <w:tc>
          <w:tcPr>
            <w:tcW w:type="dxa" w:w="1762"/>
          </w:tcPr>
          <w:p>
            <w:r/>
            <w:r>
              <w:rPr>
                <w:sz w:val="18"/>
              </w:rPr>
              <w:t>Sin ninguna variable del canal (también percentiles y endemicidad)</w:t>
            </w:r>
          </w:p>
        </w:tc>
        <w:tc>
          <w:tcPr>
            <w:tcW w:type="dxa" w:w="1762"/>
          </w:tcPr>
          <w:p>
            <w:r/>
            <w:r>
              <w:rPr>
                <w:sz w:val="18"/>
              </w:rPr>
              <w:t>29</w:t>
            </w:r>
          </w:p>
        </w:tc>
        <w:tc>
          <w:tcPr>
            <w:tcW w:type="dxa" w:w="1762"/>
          </w:tcPr>
          <w:p>
            <w:r/>
            <w:r>
              <w:rPr>
                <w:sz w:val="18"/>
              </w:rPr>
              <w:t>0,750</w:t>
            </w:r>
          </w:p>
        </w:tc>
        <w:tc>
          <w:tcPr>
            <w:tcW w:type="dxa" w:w="1762"/>
          </w:tcPr>
          <w:p>
            <w:r/>
            <w:r>
              <w:rPr>
                <w:sz w:val="18"/>
              </w:rPr>
              <w:t>0,771</w:t>
            </w:r>
          </w:p>
        </w:tc>
        <w:tc>
          <w:tcPr>
            <w:tcW w:type="dxa" w:w="1762"/>
          </w:tcPr>
          <w:p>
            <w:r/>
            <w:r>
              <w:rPr>
                <w:sz w:val="18"/>
              </w:rPr>
              <w:t>42 de 42 / 28</w:t>
            </w:r>
          </w:p>
        </w:tc>
        <w:tc>
          <w:tcPr>
            <w:tcW w:type="dxa" w:w="1762"/>
          </w:tcPr>
          <w:p>
            <w:r/>
            <w:r>
              <w:rPr>
                <w:sz w:val="18"/>
              </w:rPr>
              <w:t>3 de 3</w:t>
            </w:r>
          </w:p>
        </w:tc>
      </w:tr>
      <w:tr>
        <w:tc>
          <w:tcPr>
            <w:tcW w:type="dxa" w:w="1762"/>
          </w:tcPr>
          <w:p>
            <w:r/>
            <w:r>
              <w:rPr>
                <w:sz w:val="18"/>
              </w:rPr>
              <w:t>Sin variables climáticas</w:t>
            </w:r>
          </w:p>
        </w:tc>
        <w:tc>
          <w:tcPr>
            <w:tcW w:type="dxa" w:w="1762"/>
          </w:tcPr>
          <w:p>
            <w:r/>
            <w:r>
              <w:rPr>
                <w:sz w:val="18"/>
              </w:rPr>
              <w:t>24</w:t>
            </w:r>
          </w:p>
        </w:tc>
        <w:tc>
          <w:tcPr>
            <w:tcW w:type="dxa" w:w="1762"/>
          </w:tcPr>
          <w:p>
            <w:r/>
            <w:r>
              <w:rPr>
                <w:sz w:val="18"/>
              </w:rPr>
              <w:t>0,952</w:t>
            </w:r>
          </w:p>
        </w:tc>
        <w:tc>
          <w:tcPr>
            <w:tcW w:type="dxa" w:w="1762"/>
          </w:tcPr>
          <w:p>
            <w:r/>
            <w:r>
              <w:rPr>
                <w:sz w:val="18"/>
              </w:rPr>
              <w:t>0,993</w:t>
            </w:r>
          </w:p>
        </w:tc>
        <w:tc>
          <w:tcPr>
            <w:tcW w:type="dxa" w:w="1762"/>
          </w:tcPr>
          <w:p>
            <w:r/>
            <w:r>
              <w:rPr>
                <w:sz w:val="18"/>
              </w:rPr>
              <w:t>40 de 42 / 2</w:t>
            </w:r>
          </w:p>
        </w:tc>
        <w:tc>
          <w:tcPr>
            <w:tcW w:type="dxa" w:w="1762"/>
          </w:tcPr>
          <w:p>
            <w:r/>
            <w:r>
              <w:rPr>
                <w:sz w:val="18"/>
              </w:rPr>
              <w:t>1 de 3</w:t>
            </w:r>
          </w:p>
        </w:tc>
      </w:tr>
    </w:tbl>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lectura del experimento deja tres conclusiones. La primera es que retirar brote y brote_lag_1 no cambia ninguna métrica: la información que aportan es redundante con el resto de variables del canal, de modo que la importancia alta que se observó para brote_lag_1 no implica dependencia del modelo respecto de esa columna en particular.</w:t>
      </w:r>
    </w:p>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segunda es que retirar además zona_canal y sir cuesta 1,4 puntos de F1 y dos meses de brote detectados, sin cambiar la detección de inicios. El desempeño resultante, F1 0,951 con 39 de 42 y una falsa alarma, coincide con el del canal endémico evaluado sobre las mismas filas, lo que sugiere que con esas cuatro variables el modelo está reproduciendo la regla epidemiológica más que agregando señal propia.</w:t>
      </w:r>
    </w:p>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tercera es la más relevante para interpretar el sistema. Al retirar también los percentiles y la endemicidad, el modelo colapsa: emite alerta en los 70 meses evaluados, con 28 falsas alarmas sobre 28 meses sin brote, y su F1 de 0,750 es exactamente el de una regla que alerta siempre. Sin los percentiles del canal el modelo pierde la referencia de escala de cada municipio y no puede distinguir qué es un valor alto para Bucaramanga frente a Cali. Detectar 3 de 3 inicios en esa condición no es una mejora, es una consecuencia de alertar todos los meses.</w:t>
      </w:r>
    </w:p>
    <w:p w:rsidP="3517E32E" w:rsidRDefault="00000000" w14:paraId="0000006B" w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El experimento se extendió a las variables climáticas, que no formaban parte de la solicitud original pero responden a la misma pregunta. Retirarlas cuesta poco en desempeño agregado, 0,952 frente a 0,965 de F1, pero la detección de inicios baja de 2 de 3 a 1 de 3. Con tres transiciones eso es un solo caso y no permite concluir, aunque deja la hipótesis planteada para el alcance ampliado.</w:t>
      </w:r>
    </w:p>
    <w:p xmlns:wp14="http://schemas.microsoft.com/office/word/2010/wordml" w:rsidRDefault="00000000" w14:paraId="0000004B" wp14:textId="77777777">
      <w:pPr>
        <w:spacing w:before="0" w:after="40" w:line="240" w:lineRule="auto"/>
        <w:jc w:val="both"/>
        <w:rPr>
          <w:sz w:val="22"/>
          <w:szCs w:val="22"/>
        </w:rPr>
      </w:pPr>
      <w:r>
        <w:rPr>
          <w:rtl w:val="0"/>
        </w:rPr>
      </w:r>
    </w:p>
    <w:p xmlns:wp14="http://schemas.microsoft.com/office/word/2010/wordml" w:rsidP="3517E32E" w:rsidRDefault="00000000" w14:paraId="0000004C" wp14:textId="77777777">
      <w:pPr>
        <w:pStyle w:val="Heading2"/>
        <w:jc w:val="both"/>
        <w:rPr>
          <w:sz w:val="22"/>
          <w:szCs w:val="22"/>
          <w:lang w:val="en-US"/>
        </w:rPr>
      </w:pPr>
      <w:r w:rsidRPr="3517E32E" w:rsidR="3517E32E">
        <w:rPr>
          <w:sz w:val="22"/>
          <w:szCs w:val="22"/>
          <w:lang w:val="en-US"/>
        </w:rPr>
        <w:t>2.3 Evaluación de los modelos</w:t>
      </w:r>
    </w:p>
    <w:p xmlns:wp14="http://schemas.microsoft.com/office/word/2010/wordml" w:rsidP="3517E32E" w:rsidRDefault="00000000" w14:paraId="0000004D" wp14:textId="77777777">
      <w:pPr>
        <w:spacing w:before="0" w:after="40" w:line="240" w:lineRule="auto"/>
        <w:jc w:val="both"/>
        <w:rPr>
          <w:sz w:val="22"/>
          <w:szCs w:val="22"/>
          <w:lang w:val="en-US"/>
        </w:rPr>
      </w:pPr>
      <w:r w:rsidRPr="3517E32E" w:rsidR="3517E32E">
        <w:rPr>
          <w:sz w:val="22"/>
          <w:szCs w:val="22"/>
          <w:lang w:val="en-US"/>
        </w:rPr>
        <w:t xml:space="preserve">La evaluación se concentra en el alcance de producto, es decir las filas de Cali y Bucaramanga del conjunto de prueba, porque es el conjunto sobre el que opera el sistema desplegado. Todos los modelos y las dos líneas base se miden sobre las mismas 70 observaciones y con el mismo umbral elegido en validación, de modo que las diferencias entre filas de la tabla son atribuibles al modelo. Se reportan F1 y PR-AUC como medidas de desempeño agregado, y de forma separada la detección de inicios de brote, que es la que corresponde al uso previsto del sistema. La separación importa porque 39 de los 42 meses en brote son continuaciones de un episodio ya activo, así que una métrica agregada puede ser alta sin que el sistema aporte nada en el momento en que la decisión todavía es útil.</w:t>
      </w:r>
    </w:p>
    <w:tbl>
      <w:tblPr>
        <w:tblStyle w:val="Table3"/>
        <w:tblW w:w="10568"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71065560">
          <w:tblPr/>
        </w:tblPrChange>
      </w:tblPr>
      <w:tblGrid>
        <w:gridCol w:w="2642"/>
        <w:gridCol w:w="2642"/>
        <w:gridCol w:w="2642"/>
        <w:gridCol w:w="2642"/>
      </w:tblGrid>
      <w:tr xmlns:wp14="http://schemas.microsoft.com/office/word/2010/wordml" w:rsidTr="3517E32E" w14:paraId="7A6DBA7C" wp14:textId="77777777">
        <w:trPr>
          <w:cantSplit w:val="0"/>
          <w:tblHeader w:val="1"/>
        </w:trPr>
        <w:tc>
          <w:tcPr>
            <w:shd w:val="clear" w:color="auto" w:fill="D5E5F5"/>
            <w:tcMar>
              <w:top w:w="45.0" w:type="dxa"/>
              <w:bottom w:w="45.0" w:type="dxa"/>
            </w:tcMar>
            <w:vAlign w:val="center"/>
          </w:tcPr>
          <w:p w:rsidP="3517E32E" w:rsidRDefault="00000000" w14:paraId="0000004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T+1 · n=70, 42 brotes, 3 inicios</w:t>
            </w:r>
            <w:r>
              <w:rPr>
                <w:rtl w:val="0"/>
              </w:rPr>
            </w:r>
          </w:p>
        </w:tc>
        <w:tc>
          <w:tcPr>
            <w:shd w:val="clear" w:color="auto" w:fill="D5E5F5"/>
            <w:tcMar>
              <w:top w:w="45.0" w:type="dxa"/>
              <w:bottom w:w="45.0" w:type="dxa"/>
            </w:tcMar>
            <w:vAlign w:val="center"/>
          </w:tcPr>
          <w:p w:rsidRDefault="00000000" w14:paraId="0000004F"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RDefault="00000000" w14:paraId="0000005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PR-AUC</w:t>
            </w:r>
            <w:r>
              <w:rPr>
                <w:rtl w:val="0"/>
              </w:rPr>
            </w:r>
          </w:p>
        </w:tc>
        <w:tc>
          <w:tcPr>
            <w:shd w:val="clear" w:color="auto" w:fill="D5E5F5"/>
            <w:tcMar>
              <w:top w:w="45.0" w:type="dxa"/>
              <w:bottom w:w="45.0" w:type="dxa"/>
            </w:tcMar>
            <w:vAlign w:val="center"/>
          </w:tcPr>
          <w:p w:rsidP="3517E32E" w:rsidRDefault="00000000" w14:paraId="00000051"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468CED2F" wp14:textId="77777777">
        <w:trPr>
          <w:cantSplit w:val="0"/>
          <w:tblHeader w:val="0"/>
        </w:trPr>
        <w:tc>
          <w:tcPr>
            <w:tcMar>
              <w:top w:w="45.0" w:type="dxa"/>
              <w:bottom w:w="45.0" w:type="dxa"/>
            </w:tcMar>
            <w:vAlign w:val="top"/>
          </w:tcPr>
          <w:p w:rsidP="3517E32E" w:rsidRDefault="00000000" w14:paraId="0000005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tcMar>
              <w:top w:w="45.0" w:type="dxa"/>
              <w:bottom w:w="45.0" w:type="dxa"/>
            </w:tcMar>
            <w:vAlign w:val="top"/>
          </w:tcPr>
          <w:p w:rsidRDefault="00000000" w14:paraId="0000005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tcMar>
              <w:top w:w="45.0" w:type="dxa"/>
              <w:bottom w:w="45.0" w:type="dxa"/>
            </w:tcMar>
            <w:vAlign w:val="top"/>
          </w:tcPr>
          <w:p w:rsidRDefault="00000000" w14:paraId="0000005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0,991</w:t>
            </w:r>
            <w:r>
              <w:rPr>
                <w:rtl w:val="0"/>
              </w:rPr>
            </w:r>
          </w:p>
        </w:tc>
        <w:tc>
          <w:tcPr>
            <w:tcMar>
              <w:top w:w="45.0" w:type="dxa"/>
              <w:bottom w:w="45.0" w:type="dxa"/>
            </w:tcMar>
            <w:vAlign w:val="top"/>
          </w:tcPr>
          <w:p w:rsidRDefault="00000000" w14:paraId="0000005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70775800" wp14:textId="77777777">
        <w:trPr>
          <w:cantSplit w:val="0"/>
          <w:tblHeader w:val="0"/>
        </w:trPr>
        <w:tc>
          <w:tcPr>
            <w:shd w:val="clear" w:color="auto" w:fill="FAFBFC"/>
            <w:tcMar>
              <w:top w:w="45.0" w:type="dxa"/>
              <w:bottom w:w="45.0" w:type="dxa"/>
            </w:tcMar>
            <w:vAlign w:val="top"/>
          </w:tcPr>
          <w:p w:rsidP="3517E32E" w:rsidRDefault="00000000" w14:paraId="0000005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shd w:val="clear" w:color="auto" w:fill="FAFBFC"/>
            <w:tcMar>
              <w:top w:w="45.0" w:type="dxa"/>
              <w:bottom w:w="45.0" w:type="dxa"/>
            </w:tcMar>
            <w:vAlign w:val="top"/>
          </w:tcPr>
          <w:p w:rsidRDefault="00000000" w14:paraId="0000005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0,965</w:t>
            </w:r>
            <w:r>
              <w:rPr>
                <w:rtl w:val="0"/>
              </w:rPr>
            </w:r>
          </w:p>
        </w:tc>
        <w:tc>
          <w:tcPr>
            <w:shd w:val="clear" w:color="auto" w:fill="FAFBFC"/>
            <w:tcMar>
              <w:top w:w="45.0" w:type="dxa"/>
              <w:bottom w:w="45.0" w:type="dxa"/>
            </w:tcMar>
            <w:vAlign w:val="top"/>
          </w:tcPr>
          <w:p w:rsidRDefault="00000000" w14:paraId="0000005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0,988</w:t>
            </w:r>
            <w:r>
              <w:rPr>
                <w:rtl w:val="0"/>
              </w:rPr>
            </w:r>
          </w:p>
        </w:tc>
        <w:tc>
          <w:tcPr>
            <w:shd w:val="clear" w:color="auto" w:fill="FAFBFC"/>
            <w:tcMar>
              <w:top w:w="45.0" w:type="dxa"/>
              <w:bottom w:w="45.0" w:type="dxa"/>
            </w:tcMar>
            <w:vAlign w:val="top"/>
          </w:tcPr>
          <w:p w:rsidRDefault="00000000" w14:paraId="0000005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251536E" wp14:textId="77777777">
        <w:trPr>
          <w:cantSplit w:val="0"/>
          <w:tblHeader w:val="0"/>
        </w:trPr>
        <w:tc>
          <w:tcPr>
            <w:tcMar>
              <w:top w:w="45.0" w:type="dxa"/>
              <w:bottom w:w="45.0" w:type="dxa"/>
            </w:tcMar>
            <w:vAlign w:val="top"/>
          </w:tcPr>
          <w:p w:rsidP="3517E32E" w:rsidRDefault="00000000" w14:paraId="0000005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Canal endémico</w:t>
            </w:r>
            <w:r>
              <w:rPr>
                <w:rtl w:val="0"/>
              </w:rPr>
            </w:r>
          </w:p>
        </w:tc>
        <w:tc>
          <w:tcPr>
            <w:tcMar>
              <w:top w:w="45.0" w:type="dxa"/>
              <w:bottom w:w="45.0" w:type="dxa"/>
            </w:tcMar>
            <w:vAlign w:val="top"/>
          </w:tcPr>
          <w:p w:rsidRDefault="00000000" w14:paraId="0000005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0,951</w:t>
            </w:r>
            <w:r>
              <w:rPr>
                <w:rtl w:val="0"/>
              </w:rPr>
            </w:r>
          </w:p>
        </w:tc>
        <w:tc>
          <w:tcPr>
            <w:tcMar>
              <w:top w:w="45.0" w:type="dxa"/>
              <w:bottom w:w="45.0" w:type="dxa"/>
            </w:tcMar>
            <w:vAlign w:val="top"/>
          </w:tcPr>
          <w:p w:rsidRDefault="00000000" w14:paraId="0000005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tcMar>
              <w:top w:w="45.0" w:type="dxa"/>
              <w:bottom w:w="45.0" w:type="dxa"/>
            </w:tcMar>
            <w:vAlign w:val="top"/>
          </w:tcPr>
          <w:p w:rsidRDefault="00000000" w14:paraId="0000005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2D892EDD" wp14:textId="77777777">
        <w:trPr>
          <w:cantSplit w:val="0"/>
          <w:tblHeader w:val="0"/>
        </w:trPr>
        <w:tc>
          <w:tcPr>
            <w:shd w:val="clear" w:color="auto" w:fill="FAFBFC"/>
            <w:tcMar>
              <w:top w:w="45.0" w:type="dxa"/>
              <w:bottom w:w="45.0" w:type="dxa"/>
            </w:tcMar>
            <w:vAlign w:val="top"/>
          </w:tcPr>
          <w:p w:rsidP="3517E32E" w:rsidRDefault="00000000" w14:paraId="0000005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Persistencia</w:t>
            </w:r>
            <w:r>
              <w:rPr>
                <w:rtl w:val="0"/>
              </w:rPr>
            </w:r>
          </w:p>
        </w:tc>
        <w:tc>
          <w:tcPr>
            <w:shd w:val="clear" w:color="auto" w:fill="FAFBFC"/>
            <w:tcMar>
              <w:top w:w="45.0" w:type="dxa"/>
              <w:bottom w:w="45.0" w:type="dxa"/>
            </w:tcMar>
            <w:vAlign w:val="top"/>
          </w:tcPr>
          <w:p w:rsidRDefault="00000000" w14:paraId="0000005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0,940</w:t>
            </w:r>
            <w:r>
              <w:rPr>
                <w:rtl w:val="0"/>
              </w:rPr>
            </w:r>
          </w:p>
        </w:tc>
        <w:tc>
          <w:tcPr>
            <w:shd w:val="clear" w:color="auto" w:fill="FAFBFC"/>
            <w:tcMar>
              <w:top w:w="45.0" w:type="dxa"/>
              <w:bottom w:w="45.0" w:type="dxa"/>
            </w:tcMar>
            <w:vAlign w:val="top"/>
          </w:tcPr>
          <w:p w:rsidRDefault="00000000" w14:paraId="0000006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0,992</w:t>
            </w:r>
            <w:r>
              <w:rPr>
                <w:rtl w:val="0"/>
              </w:rPr>
            </w:r>
          </w:p>
        </w:tc>
        <w:tc>
          <w:tcPr>
            <w:shd w:val="clear" w:color="auto" w:fill="FAFBFC"/>
            <w:tcMar>
              <w:top w:w="45.0" w:type="dxa"/>
              <w:bottom w:w="45.0" w:type="dxa"/>
            </w:tcMar>
            <w:vAlign w:val="top"/>
          </w:tcPr>
          <w:p w:rsidRDefault="00000000" w14:paraId="0000006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r xmlns:wp14="http://schemas.microsoft.com/office/word/2010/wordml" w:rsidTr="3517E32E" w14:paraId="792A5AA1" wp14:textId="77777777">
        <w:trPr>
          <w:cantSplit w:val="0"/>
          <w:tblHeader w:val="0"/>
        </w:trPr>
        <w:tc>
          <w:tcPr>
            <w:tcMar>
              <w:top w:w="45.0" w:type="dxa"/>
              <w:bottom w:w="45.0" w:type="dxa"/>
            </w:tcMar>
            <w:vAlign w:val="top"/>
          </w:tcPr>
          <w:p w:rsidRDefault="00000000" w14:paraId="0000006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Poisson</w:t>
            </w:r>
            <w:r>
              <w:rPr>
                <w:rtl w:val="0"/>
              </w:rPr>
            </w:r>
          </w:p>
        </w:tc>
        <w:tc>
          <w:tcPr>
            <w:tcMar>
              <w:top w:w="45.0" w:type="dxa"/>
              <w:bottom w:w="45.0" w:type="dxa"/>
            </w:tcMar>
            <w:vAlign w:val="top"/>
          </w:tcPr>
          <w:p w:rsidRDefault="00000000" w14:paraId="0000006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0,914</w:t>
            </w:r>
            <w:r>
              <w:rPr>
                <w:rtl w:val="0"/>
              </w:rPr>
            </w:r>
          </w:p>
        </w:tc>
        <w:tc>
          <w:tcPr>
            <w:tcMar>
              <w:top w:w="45.0" w:type="dxa"/>
              <w:bottom w:w="45.0" w:type="dxa"/>
            </w:tcMar>
            <w:vAlign w:val="top"/>
          </w:tcPr>
          <w:p w:rsidRDefault="00000000" w14:paraId="0000006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0,993</w:t>
            </w:r>
            <w:r>
              <w:rPr>
                <w:rtl w:val="0"/>
              </w:rPr>
            </w:r>
          </w:p>
        </w:tc>
        <w:tc>
          <w:tcPr>
            <w:tcMar>
              <w:top w:w="45.0" w:type="dxa"/>
              <w:bottom w:w="45.0" w:type="dxa"/>
            </w:tcMar>
            <w:vAlign w:val="top"/>
          </w:tcPr>
          <w:p w:rsidRDefault="00000000" w14:paraId="0000006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8DD13A7" wp14:textId="77777777">
        <w:trPr>
          <w:cantSplit w:val="0"/>
          <w:tblHeader w:val="0"/>
        </w:trPr>
        <w:tc>
          <w:tcPr>
            <w:shd w:val="clear" w:color="auto" w:fill="FAFBFC"/>
            <w:tcMar>
              <w:top w:w="45.0" w:type="dxa"/>
              <w:bottom w:w="45.0" w:type="dxa"/>
            </w:tcMar>
            <w:vAlign w:val="top"/>
          </w:tcPr>
          <w:p w:rsidRDefault="00000000" w14:paraId="0000006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shd w:val="clear" w:color="auto" w:fill="FAFBFC"/>
            <w:tcMar>
              <w:top w:w="45.0" w:type="dxa"/>
              <w:bottom w:w="45.0" w:type="dxa"/>
            </w:tcMar>
            <w:vAlign w:val="top"/>
          </w:tcPr>
          <w:p w:rsidRDefault="00000000" w14:paraId="0000006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0,875</w:t>
            </w:r>
            <w:r>
              <w:rPr>
                <w:rtl w:val="0"/>
              </w:rPr>
            </w:r>
          </w:p>
        </w:tc>
        <w:tc>
          <w:tcPr>
            <w:shd w:val="clear" w:color="auto" w:fill="FAFBFC"/>
            <w:tcMar>
              <w:top w:w="45.0" w:type="dxa"/>
              <w:bottom w:w="45.0" w:type="dxa"/>
            </w:tcMar>
            <w:vAlign w:val="top"/>
          </w:tcPr>
          <w:p w:rsidRDefault="00000000" w14:paraId="0000006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0,968</w:t>
            </w:r>
            <w:r>
              <w:rPr>
                <w:rtl w:val="0"/>
              </w:rPr>
            </w:r>
          </w:p>
        </w:tc>
        <w:tc>
          <w:tcPr>
            <w:shd w:val="clear" w:color="auto" w:fill="FAFBFC"/>
            <w:tcMar>
              <w:top w:w="45.0" w:type="dxa"/>
              <w:bottom w:w="45.0" w:type="dxa"/>
            </w:tcMar>
            <w:vAlign w:val="top"/>
          </w:tcPr>
          <w:p w:rsidRDefault="00000000" w14:paraId="0000006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RDefault="00000000" w14:paraId="0000006A" wp14:textId="77777777">
      <w:pPr>
        <w:spacing w:before="0" w:after="20" w:line="240" w:lineRule="auto"/>
        <w:jc w:val="both"/>
        <w:rPr>
          <w:sz w:val="22"/>
          <w:szCs w:val="22"/>
        </w:rPr>
      </w:pPr>
      <w:r>
        <w:rPr>
          <w:rtl w:val="0"/>
        </w:rPr>
      </w:r>
    </w:p>
    <w:p xmlns:wp14="http://schemas.microsoft.com/office/word/2010/wordml" w:rsidP="3517E32E" w:rsidRDefault="00000000" w14:paraId="0000006B"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XGBoost identifica 41 de 42 meses en brote con 2 falsas alarmas; el canal endémico identifica 39 con 1 falsa alarma. Sin embargo, XGBoost, LightGBM y el propio canal detectan los mismos 2 de 3 inicios. Con solo tres transiciones, una diferencia de un caso cambia la tasa en 33 puntos porcentuales; no hay evidencia suficiente para afirmar superioridad en anticipación de inicios.</w:t>
      </w:r>
    </w:p>
    <w:p xmlns:wp14="http://schemas.microsoft.com/office/word/2010/wordml" w:rsidRDefault="00000000" w14:paraId="0000006C" wp14:textId="77777777">
      <w:pPr>
        <w:spacing w:before="0" w:after="20" w:line="240" w:lineRule="auto"/>
        <w:jc w:val="both"/>
        <w:rPr>
          <w:sz w:val="22"/>
          <w:szCs w:val="22"/>
        </w:rPr>
      </w:pPr>
      <w:r>
        <w:rPr>
          <w:rtl w:val="0"/>
        </w:rPr>
      </w:r>
    </w:p>
    <w:tbl>
      <w:tblPr>
        <w:tblStyle w:val="Table4"/>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099640730">
          <w:tblPr/>
        </w:tblPrChange>
      </w:tblPr>
      <w:tblGrid>
        <w:gridCol w:w="3523"/>
        <w:gridCol w:w="3523"/>
        <w:gridCol w:w="3523"/>
      </w:tblGrid>
      <w:tr xmlns:wp14="http://schemas.microsoft.com/office/word/2010/wordml" w:rsidTr="3517E32E" w14:paraId="5DACF6BE" wp14:textId="77777777">
        <w:trPr>
          <w:cantSplit w:val="0"/>
          <w:tblHeader w:val="1"/>
        </w:trPr>
        <w:tc>
          <w:tcPr>
            <w:shd w:val="clear" w:color="auto" w:fill="D5E5F5"/>
            <w:tcMar>
              <w:top w:w="45.0" w:type="dxa"/>
              <w:bottom w:w="45.0" w:type="dxa"/>
            </w:tcMar>
            <w:vAlign w:val="center"/>
          </w:tcPr>
          <w:p w:rsidP="3517E32E" w:rsidRDefault="00000000" w14:paraId="0000006D"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T+2 · n=68, 3 inicios</w:t>
            </w:r>
            <w:r>
              <w:rPr>
                <w:rtl w:val="0"/>
              </w:rPr>
            </w:r>
          </w:p>
        </w:tc>
        <w:tc>
          <w:tcPr>
            <w:shd w:val="clear" w:color="auto" w:fill="D5E5F5"/>
            <w:tcMar>
              <w:top w:w="45.0" w:type="dxa"/>
              <w:bottom w:w="45.0" w:type="dxa"/>
            </w:tcMar>
            <w:vAlign w:val="center"/>
          </w:tcPr>
          <w:p w:rsidRDefault="00000000" w14:paraId="0000006E"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F1</w:t>
            </w:r>
            <w:r>
              <w:rPr>
                <w:rtl w:val="0"/>
              </w:rPr>
            </w:r>
          </w:p>
        </w:tc>
        <w:tc>
          <w:tcPr>
            <w:shd w:val="clear" w:color="auto" w:fill="D5E5F5"/>
            <w:tcMar>
              <w:top w:w="45.0" w:type="dxa"/>
              <w:bottom w:w="45.0" w:type="dxa"/>
            </w:tcMar>
            <w:vAlign w:val="center"/>
          </w:tcPr>
          <w:p w:rsidP="3517E32E" w:rsidRDefault="00000000" w14:paraId="0000006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Inicios</w:t>
            </w:r>
            <w:r>
              <w:rPr>
                <w:rtl w:val="0"/>
              </w:rPr>
            </w:r>
          </w:p>
        </w:tc>
      </w:tr>
      <w:tr xmlns:wp14="http://schemas.microsoft.com/office/word/2010/wordml" w:rsidTr="3517E32E" w14:paraId="7EDC1E9C" wp14:textId="77777777">
        <w:trPr>
          <w:cantSplit w:val="0"/>
          <w:tblHeader w:val="0"/>
        </w:trPr>
        <w:tc>
          <w:tcPr>
            <w:tcMar>
              <w:top w:w="45.0" w:type="dxa"/>
              <w:bottom w:w="45.0" w:type="dxa"/>
            </w:tcMar>
            <w:vAlign w:val="top"/>
          </w:tcPr>
          <w:p w:rsidP="3517E32E" w:rsidRDefault="00000000" w14:paraId="0000007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LightGBM</w:t>
            </w:r>
            <w:r>
              <w:rPr>
                <w:rtl w:val="0"/>
              </w:rPr>
            </w:r>
          </w:p>
        </w:tc>
        <w:tc>
          <w:tcPr>
            <w:tcMar>
              <w:top w:w="45.0" w:type="dxa"/>
              <w:bottom w:w="45.0" w:type="dxa"/>
            </w:tcMar>
            <w:vAlign w:val="top"/>
          </w:tcPr>
          <w:p w:rsidRDefault="00000000" w14:paraId="0000007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0,920</w:t>
            </w:r>
            <w:r>
              <w:rPr>
                <w:rtl w:val="0"/>
              </w:rPr>
            </w:r>
          </w:p>
        </w:tc>
        <w:tc>
          <w:tcPr>
            <w:tcMar>
              <w:top w:w="45.0" w:type="dxa"/>
              <w:bottom w:w="45.0" w:type="dxa"/>
            </w:tcMar>
            <w:vAlign w:val="top"/>
          </w:tcPr>
          <w:p w:rsidRDefault="00000000" w14:paraId="0000007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2/3</w:t>
            </w:r>
            <w:r>
              <w:rPr>
                <w:rtl w:val="0"/>
              </w:rPr>
            </w:r>
          </w:p>
        </w:tc>
      </w:tr>
      <w:tr xmlns:wp14="http://schemas.microsoft.com/office/word/2010/wordml" w:rsidTr="3517E32E" w14:paraId="6DAC5D65" wp14:textId="77777777">
        <w:trPr>
          <w:cantSplit w:val="0"/>
          <w:tblHeader w:val="0"/>
        </w:trPr>
        <w:tc>
          <w:tcPr>
            <w:shd w:val="clear" w:color="auto" w:fill="FAFBFC"/>
            <w:tcMar>
              <w:top w:w="45.0" w:type="dxa"/>
              <w:bottom w:w="45.0" w:type="dxa"/>
            </w:tcMar>
            <w:vAlign w:val="top"/>
          </w:tcPr>
          <w:p w:rsidP="3517E32E" w:rsidRDefault="00000000" w14:paraId="0000007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w:t>
            </w:r>
            <w:r>
              <w:rPr>
                <w:rtl w:val="0"/>
              </w:rPr>
            </w:r>
          </w:p>
        </w:tc>
        <w:tc>
          <w:tcPr>
            <w:shd w:val="clear" w:color="auto" w:fill="FAFBFC"/>
            <w:tcMar>
              <w:top w:w="45.0" w:type="dxa"/>
              <w:bottom w:w="45.0" w:type="dxa"/>
            </w:tcMar>
            <w:vAlign w:val="top"/>
          </w:tcPr>
          <w:p w:rsidRDefault="00000000" w14:paraId="0000007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0,918</w:t>
            </w:r>
            <w:r>
              <w:rPr>
                <w:rtl w:val="0"/>
              </w:rPr>
            </w:r>
          </w:p>
        </w:tc>
        <w:tc>
          <w:tcPr>
            <w:shd w:val="clear" w:color="auto" w:fill="FAFBFC"/>
            <w:tcMar>
              <w:top w:w="45.0" w:type="dxa"/>
              <w:bottom w:w="45.0" w:type="dxa"/>
            </w:tcMar>
            <w:vAlign w:val="top"/>
          </w:tcPr>
          <w:p w:rsidRDefault="00000000" w14:paraId="0000007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1/3</w:t>
            </w:r>
            <w:r>
              <w:rPr>
                <w:rtl w:val="0"/>
              </w:rPr>
            </w:r>
          </w:p>
        </w:tc>
      </w:tr>
      <w:tr xmlns:wp14="http://schemas.microsoft.com/office/word/2010/wordml" w:rsidTr="3517E32E" w14:paraId="10B18D47" wp14:textId="77777777">
        <w:trPr>
          <w:cantSplit w:val="0"/>
          <w:tblHeader w:val="0"/>
        </w:trPr>
        <w:tc>
          <w:tcPr>
            <w:tcMar>
              <w:top w:w="45.0" w:type="dxa"/>
              <w:bottom w:w="45.0" w:type="dxa"/>
            </w:tcMar>
            <w:vAlign w:val="top"/>
          </w:tcPr>
          <w:p w:rsidRDefault="00000000" w14:paraId="0000007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GAM</w:t>
            </w:r>
            <w:r>
              <w:rPr>
                <w:rtl w:val="0"/>
              </w:rPr>
            </w:r>
          </w:p>
        </w:tc>
        <w:tc>
          <w:tcPr>
            <w:tcMar>
              <w:top w:w="45.0" w:type="dxa"/>
              <w:bottom w:w="45.0" w:type="dxa"/>
            </w:tcMar>
            <w:vAlign w:val="top"/>
          </w:tcPr>
          <w:p w:rsidRDefault="00000000" w14:paraId="0000007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0,854</w:t>
            </w:r>
            <w:r>
              <w:rPr>
                <w:rtl w:val="0"/>
              </w:rPr>
            </w:r>
          </w:p>
        </w:tc>
        <w:tc>
          <w:tcPr>
            <w:tcMar>
              <w:top w:w="45.0" w:type="dxa"/>
              <w:bottom w:w="45.0" w:type="dxa"/>
            </w:tcMar>
            <w:vAlign w:val="top"/>
          </w:tcPr>
          <w:p w:rsidRDefault="00000000" w14:paraId="0000007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w:t>
            </w:r>
            <w:r>
              <w:rPr>
                <w:rtl w:val="0"/>
              </w:rPr>
            </w:r>
          </w:p>
        </w:tc>
      </w:tr>
    </w:tbl>
    <w:p xmlns:wp14="http://schemas.microsoft.com/office/word/2010/wordml" w:rsidP="3517E32E" w:rsidRDefault="00000000" w14:paraId="00000079"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La comparación T+2 aún no incluye todos los baselines bajo el mismo protocolo. LightGBM presenta la mejor evidencia T+2 disponible (F1 0,920; 2/3 inicios), por lo que debe conservarse como candidato en una futura reevaluación del Champion.</w:t>
      </w:r>
    </w:p>
    <w:p xmlns:wp14="http://schemas.microsoft.com/office/word/2010/wordml" w:rsidRDefault="00000000" w14:paraId="0000007A" wp14:textId="77777777">
      <w:pPr>
        <w:spacing w:before="0" w:after="40" w:line="240" w:lineRule="auto"/>
        <w:jc w:val="both"/>
        <w:rPr>
          <w:sz w:val="22"/>
          <w:szCs w:val="22"/>
        </w:rPr>
      </w:pPr>
      <w:r>
        <w:rPr>
          <w:rtl w:val="0"/>
        </w:rPr>
      </w:r>
    </w:p>
    <w:p xmlns:wp14="http://schemas.microsoft.com/office/word/2010/wordml" w:rsidP="3517E32E" w:rsidRDefault="00000000" w14:paraId="0000007B"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"Curvas ROC y Precision-Recall regeneradas para las corridas comparables del conjunto de prueba"]</w:t>
      </w:r>
      <w:r>
        <w:rPr>
          <w:rtl w:val="0"/>
        </w:rPr>
      </w:r>
    </w:p>
    <w:p xmlns:wp14="http://schemas.microsoft.com/office/word/2010/wordml" w:rsidP="3517E32E" w:rsidRDefault="00000000" w14:paraId="0000007C"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"Comparación de inicios de brote detectados por XGBoost, LightGBM, canal endémico, persistencia, Poisson y GAM"]</w:t>
      </w:r>
      <w:r>
        <w:rPr>
          <w:rtl w:val="0"/>
        </w:rPr>
      </w:r>
    </w:p>
    <w:p xmlns:wp14="http://schemas.microsoft.com/office/word/2010/wordml" w:rsidRDefault="00000000" w14:paraId="0000007D" wp14:textId="77777777">
      <w:pPr>
        <w:pStyle w:val="Heading2"/>
        <w:jc w:val="both"/>
        <w:rPr>
          <w:sz w:val="22"/>
          <w:szCs w:val="22"/>
        </w:rPr>
      </w:pPr>
      <w:r>
        <w:rPr>
          <w:rtl w:val="0"/>
        </w:rPr>
      </w:r>
    </w:p>
    <w:p xmlns:wp14="http://schemas.microsoft.com/office/word/2010/wordml" w:rsidP="3517E32E" w:rsidRDefault="00000000" w14:paraId="0000007E" wp14:textId="77777777">
      <w:pPr>
        <w:pStyle w:val="Heading2"/>
        <w:jc w:val="both"/>
        <w:rPr>
          <w:sz w:val="22"/>
          <w:szCs w:val="22"/>
          <w:lang w:val="en-US"/>
        </w:rPr>
      </w:pPr>
      <w:r w:rsidRPr="3517E32E" w:rsidR="3517E32E">
        <w:rPr>
          <w:sz w:val="22"/>
          <w:szCs w:val="22"/>
          <w:lang w:val="en-US"/>
        </w:rPr>
        <w:t>2.4 Gestión de experimentos con MLflow</w:t>
      </w:r>
    </w:p>
    <w:p xmlns:wp14="http://schemas.microsoft.com/office/word/2010/wordml" w:rsidP="3517E32E" w:rsidRDefault="00000000" w14:paraId="0000007F"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Los experimentos vigentes se registran en MLflow bajo sat-dengue. Cada corrida conserva parámetros, horizonte, conjunto evaluado, métricas, umbral y artefactos. La convención de alcance separa las métricas de los dos municipios, las nacionales y las específicas por DIVIPOLA. Esta normalización evita comparar números calculados sobre universos diferentes y permite rastrear el modelo desplegado frente a sus corridas.</w:t>
      </w:r>
      <w:r>
        <w:rPr>
          <w:rtl w:val="0"/>
        </w:rPr>
      </w:r>
    </w:p>
    <w:p xmlns:wp14="http://schemas.microsoft.com/office/word/2010/wordml" w:rsidP="3517E32E" w:rsidRDefault="00000000" w14:paraId="0000008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"Vista de MLflow filtrada por params.conjunto = prueba, mostrando corridas T+1/T+2 y métricas usadas en la comparación final"]</w:t>
      </w:r>
      <w:r>
        <w:rPr>
          <w:rtl w:val="0"/>
        </w:rPr>
      </w:r>
    </w:p>
    <w:p xmlns:wp14="http://schemas.microsoft.com/office/word/2010/wordml" w:rsidRDefault="00000000" w14:paraId="00000081" wp14:textId="77777777">
      <w:pPr>
        <w:pStyle w:val="Heading2"/>
        <w:jc w:val="both"/>
        <w:rPr>
          <w:sz w:val="22"/>
          <w:szCs w:val="22"/>
        </w:rPr>
      </w:pPr>
      <w:r>
        <w:rPr>
          <w:rtl w:val="0"/>
        </w:rPr>
      </w:r>
    </w:p>
    <w:p xmlns:wp14="http://schemas.microsoft.com/office/word/2010/wordml" w:rsidP="3517E32E" w:rsidRDefault="00000000" w14:paraId="00000082" wp14:textId="77777777">
      <w:pPr>
        <w:pStyle w:val="Heading2"/>
        <w:jc w:val="both"/>
        <w:rPr>
          <w:sz w:val="22"/>
          <w:szCs w:val="22"/>
          <w:lang w:val="en-US"/>
        </w:rPr>
      </w:pPr>
      <w:r w:rsidRPr="3517E32E" w:rsidR="3517E32E">
        <w:rPr>
          <w:sz w:val="22"/>
          <w:szCs w:val="22"/>
          <w:lang w:val="en-US"/>
        </w:rPr>
        <w:t>2.5 Evaluación comparativa y selección del Champion</w:t>
      </w:r>
    </w:p>
    <w:p xmlns:wp14="http://schemas.microsoft.com/office/word/2010/wordml" w:rsidP="3517E32E" w:rsidRDefault="00000000" w14:paraId="00000083"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XGBoost se mantiene como Champion desplegado porque es la alternativa integrada, calibrada y validada de extremo a extremo contra el contrato de 39 features. Esta elección es de integración y reproducibilidad del producto, no una afirmación de superioridad absoluta: en T+1 empata con LightGBM en F1 e inicios, y en T+2 LightGBM muestra mejor detección de inicios. La evidencia actual obliga a separar “mejor integrado” de “mejor predictor”.</w:t>
      </w:r>
      <w:r>
        <w:rPr>
          <w:rtl w:val="0"/>
        </w:rPr>
      </w:r>
    </w:p>
    <w:p xmlns:wp14="http://schemas.microsoft.com/office/word/2010/wordml" w:rsidP="3517E32E" w:rsidRDefault="00000000" w14:paraId="00000084" wp14:textId="77777777">
      <w:pPr>
        <w:pStyle w:val="Heading1"/>
        <w:jc w:val="center"/>
        <w:rPr>
          <w:sz w:val="22"/>
          <w:szCs w:val="22"/>
          <w:lang w:val="en-US"/>
        </w:rPr>
      </w:pPr>
      <w:r w:rsidRPr="3517E32E" w:rsidR="3517E32E">
        <w:rPr>
          <w:sz w:val="22"/>
          <w:szCs w:val="22"/>
          <w:lang w:val="en-US"/>
        </w:rPr>
        <w:t>3. Tablero de predicciones</w:t>
      </w:r>
    </w:p>
    <w:p xmlns:wp14="http://schemas.microsoft.com/office/word/2010/wordml" w:rsidP="3517E32E" w:rsidRDefault="00000000" w14:paraId="00000085" wp14:textId="77777777">
      <w:pPr>
        <w:pStyle w:val="Heading2"/>
        <w:jc w:val="both"/>
        <w:rPr>
          <w:sz w:val="22"/>
          <w:szCs w:val="22"/>
          <w:lang w:val="en-US"/>
        </w:rPr>
      </w:pPr>
      <w:r w:rsidRPr="3517E32E" w:rsidR="3517E32E">
        <w:rPr>
          <w:sz w:val="22"/>
          <w:szCs w:val="22"/>
          <w:lang w:val="en-US"/>
        </w:rPr>
        <w:t>3.1 Arquitectura funcional</w:t>
      </w:r>
    </w:p>
    <w:p xmlns:wp14="http://schemas.microsoft.com/office/word/2010/wordml" w:rsidP="3517E32E" w:rsidRDefault="00000000" w14:paraId="00000086" wp14:textId="77777777">
      <w:pPr>
        <w:spacing w:before="0" w:after="4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La arquitectura separa inferencia y presentación. Un input mensual con dos filas (Bucaramanga y Cali) y exactamente 39 features contractuales alimenta el Champion; éste produce cuatro predicciones (dos ciudades × T+1/T+2). FastAPI /api/v2 valida el contrato y persiste el ChampionResult en SQLite. El dashboard React/Vite consume resultados por HTTP y no ejecuta el modelo ni recalcula probability, threshold o label.</w:t>
      </w:r>
      <w:r>
        <w:rPr>
          <w:rtl w:val="0"/>
        </w:rPr>
      </w:r>
    </w:p>
    <w:p xmlns:wp14="http://schemas.microsoft.com/office/word/2010/wordml" w:rsidP="3517E32E" w:rsidRDefault="00000000" w14:paraId="00000087"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"Diagrama de arquitectura final de </w:t>
      </w:r>
      <w:r w:rsidRPr="3517E32E" w:rsidR="3517E32E">
        <w:rPr>
          <w:i w:val="1"/>
          <w:iCs w:val="1"/>
          <w:color w:val="5b677a"/>
          <w:sz w:val="22"/>
          <w:szCs w:val="22"/>
          <w:lang w:val="en-US"/>
        </w:rPr>
        <w:t xml:space="preserve">SAT_Dengue</w:t>
      </w:r>
      <w:sdt>
        <w:sdtPr>
          <w:id w:val="1676541920"/>
          <w:tag w:val="goog_rdk_1"/>
          <w:placeholder>
            <w:docPart w:val="DefaultPlaceholder_1081868574"/>
          </w:placeholder>
        </w:sdtPr>
        <w:sdtContent>
          <w:r w:rsidRPr="3517E32E" w:rsidR="3517E32E">
            <w:rPr>
              <w:rFonts w:ascii="Arial Unicode MS" w:hAnsi="Arial Unicode MS" w:eastAsia="Arial Unicode MS" w:cs="Arial Unicode MS"/>
              <w:b w:val="0"/>
              <w:bCs w:val="0"/>
              <w:i w:val="1"/>
              <w:iCs w:val="1"/>
              <w:color w:val="5b677a"/>
              <w:sz w:val="22"/>
              <w:szCs w:val="22"/>
              <w:lang w:val="en-US"/>
            </w:rPr>
            <w:t xml:space="preserve">: input mensual → Champion → FastAPI /api/v2 → SQLite → GET latest/history → dashboard"]</w:t>
          </w:r>
        </w:sdtContent>
      </w:sdt>
      <w:r>
        <w:rPr>
          <w:rtl w:val="0"/>
        </w:rPr>
      </w:r>
    </w:p>
    <w:p xmlns:wp14="http://schemas.microsoft.com/office/word/2010/wordml" w:rsidRDefault="00000000" w14:paraId="00000088" wp14:textId="77777777">
      <w:pPr>
        <w:pStyle w:val="Heading2"/>
        <w:jc w:val="both"/>
        <w:rPr>
          <w:sz w:val="22"/>
          <w:szCs w:val="22"/>
        </w:rPr>
      </w:pPr>
      <w:r>
        <w:rPr>
          <w:rtl w:val="0"/>
        </w:rPr>
      </w:r>
    </w:p>
    <w:p xmlns:wp14="http://schemas.microsoft.com/office/word/2010/wordml" w:rsidP="3517E32E" w:rsidRDefault="00000000" w14:paraId="00000089" wp14:textId="77777777">
      <w:pPr>
        <w:pStyle w:val="Heading2"/>
        <w:jc w:val="both"/>
        <w:rPr>
          <w:sz w:val="22"/>
          <w:szCs w:val="22"/>
          <w:lang w:val="en-US"/>
        </w:rPr>
      </w:pPr>
      <w:r w:rsidRPr="3517E32E" w:rsidR="3517E32E">
        <w:rPr>
          <w:sz w:val="22"/>
          <w:szCs w:val="22"/>
          <w:lang w:val="en-US"/>
        </w:rPr>
        <w:t>3.2 Funcionalidades del tablero</w:t>
      </w:r>
    </w:p>
    <w:p xmlns:wp14="http://schemas.microsoft.com/office/word/2010/wordml" w:rsidP="3517E32E" w:rsidRDefault="00000000" w14:paraId="0000008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Selección de Bucaramanga o Cali y lectura conjunta de los horizontes T+1 y T+2.</w:t>
      </w:r>
    </w:p>
    <w:p xmlns:wp14="http://schemas.microsoft.com/office/word/2010/wordml" w:rsidP="3517E32E" w:rsidRDefault="00000000" w14:paraId="0000008B"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Etiqueta EXCESO/NO_EXCESO, probabilidad calibrada, umbral, periodo de referencia/objetivo y trazabilidad del modelo/run.</w:t>
      </w:r>
    </w:p>
    <w:p xmlns:wp14="http://schemas.microsoft.com/office/word/2010/wordml" w:rsidP="3517E32E" w:rsidRDefault="00000000" w14:paraId="0000008C"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Consulta de latest y de history; “Actualizar vista” vuelve a leer latest y no dispara una nueva inferencia.</w:t>
      </w:r>
    </w:p>
    <w:p xmlns:wp14="http://schemas.microsoft.com/office/word/2010/wordml" w:rsidP="3517E32E" w:rsidRDefault="00000000" w14:paraId="0000008D"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1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Contexto epidemiológico (P25, P75 y zona del canal) cuando esos campos están presentes en el input validado; la UI refleja el API sin inventar valores.</w:t>
      </w:r>
    </w:p>
    <w:p xmlns:wp14="http://schemas.microsoft.com/office/word/2010/wordml" w:rsidP="3517E32E" w:rsidRDefault="00000000" w14:paraId="0000008E" wp14:textId="77777777">
      <w:pPr>
        <w:spacing w:before="0" w:after="2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Ejemplo real de integración validado con reference_month = 2025-12:</w:t>
      </w:r>
    </w:p>
    <w:p xmlns:wp14="http://schemas.microsoft.com/office/word/2010/wordml" w:rsidRDefault="00000000" w14:paraId="0000008F" wp14:textId="77777777">
      <w:pPr>
        <w:spacing w:before="0" w:after="20" w:line="240" w:lineRule="auto"/>
        <w:jc w:val="both"/>
        <w:rPr>
          <w:sz w:val="22"/>
          <w:szCs w:val="22"/>
        </w:rPr>
      </w:pPr>
      <w:r>
        <w:rPr>
          <w:rtl w:val="0"/>
        </w:rPr>
      </w:r>
    </w:p>
    <w:tbl>
      <w:tblPr>
        <w:tblStyle w:val="Table5"/>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762252173">
          <w:tblPr/>
        </w:tblPrChange>
      </w:tblPr>
      <w:tblGrid>
        <w:gridCol w:w="2114"/>
        <w:gridCol w:w="2114"/>
        <w:gridCol w:w="2114"/>
        <w:gridCol w:w="2114"/>
        <w:gridCol w:w="2114"/>
      </w:tblGrid>
      <w:tr xmlns:wp14="http://schemas.microsoft.com/office/word/2010/wordml" w:rsidTr="3517E32E" w14:paraId="4A112BFF" wp14:textId="77777777">
        <w:trPr>
          <w:cantSplit w:val="0"/>
          <w:tblHeader w:val="1"/>
        </w:trPr>
        <w:tc>
          <w:tcPr>
            <w:shd w:val="clear" w:color="auto" w:fill="D5E5F5"/>
            <w:tcMar>
              <w:top w:w="45.0" w:type="dxa"/>
              <w:bottom w:w="45.0" w:type="dxa"/>
            </w:tcMar>
            <w:vAlign w:val="center"/>
          </w:tcPr>
          <w:p w:rsidRDefault="00000000" w14:paraId="00000090"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Municipio</w:t>
            </w:r>
            <w:r>
              <w:rPr>
                <w:rtl w:val="0"/>
              </w:rPr>
            </w:r>
          </w:p>
        </w:tc>
        <w:tc>
          <w:tcPr>
            <w:shd w:val="clear" w:color="auto" w:fill="D5E5F5"/>
            <w:tcMar>
              <w:top w:w="45.0" w:type="dxa"/>
              <w:bottom w:w="45.0" w:type="dxa"/>
            </w:tcMar>
            <w:vAlign w:val="center"/>
          </w:tcPr>
          <w:p w:rsidRDefault="00000000" w14:paraId="00000091"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Horizonte</w:t>
            </w:r>
            <w:r>
              <w:rPr>
                <w:rtl w:val="0"/>
              </w:rPr>
            </w:r>
          </w:p>
        </w:tc>
        <w:tc>
          <w:tcPr>
            <w:shd w:val="clear" w:color="auto" w:fill="D5E5F5"/>
            <w:tcMar>
              <w:top w:w="45.0" w:type="dxa"/>
              <w:bottom w:w="45.0" w:type="dxa"/>
            </w:tcMar>
            <w:vAlign w:val="center"/>
          </w:tcPr>
          <w:p w:rsidRDefault="00000000" w14:paraId="00000092"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Prob.</w:t>
            </w:r>
            <w:r>
              <w:rPr>
                <w:rtl w:val="0"/>
              </w:rPr>
            </w:r>
          </w:p>
        </w:tc>
        <w:tc>
          <w:tcPr>
            <w:shd w:val="clear" w:color="auto" w:fill="D5E5F5"/>
            <w:tcMar>
              <w:top w:w="45.0" w:type="dxa"/>
              <w:bottom w:w="45.0" w:type="dxa"/>
            </w:tcMar>
            <w:vAlign w:val="center"/>
          </w:tcPr>
          <w:p w:rsidRDefault="00000000" w14:paraId="00000093"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Umbral</w:t>
            </w:r>
            <w:r>
              <w:rPr>
                <w:rtl w:val="0"/>
              </w:rPr>
            </w:r>
          </w:p>
        </w:tc>
        <w:tc>
          <w:tcPr>
            <w:shd w:val="clear" w:color="auto" w:fill="D5E5F5"/>
            <w:tcMar>
              <w:top w:w="45.0" w:type="dxa"/>
              <w:bottom w:w="45.0" w:type="dxa"/>
            </w:tcMar>
            <w:vAlign w:val="center"/>
          </w:tcPr>
          <w:p w:rsidP="3517E32E" w:rsidRDefault="00000000" w14:paraId="00000094"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Etiqueta</w:t>
            </w:r>
            <w:r>
              <w:rPr>
                <w:rtl w:val="0"/>
              </w:rPr>
            </w:r>
          </w:p>
        </w:tc>
      </w:tr>
      <w:tr xmlns:wp14="http://schemas.microsoft.com/office/word/2010/wordml" w:rsidTr="3517E32E" w14:paraId="434361E3" wp14:textId="77777777">
        <w:trPr>
          <w:cantSplit w:val="0"/>
          <w:tblHeader w:val="0"/>
        </w:trPr>
        <w:tc>
          <w:tcPr>
            <w:tcMar>
              <w:top w:w="45.0" w:type="dxa"/>
              <w:bottom w:w="45.0" w:type="dxa"/>
            </w:tcMar>
            <w:vAlign w:val="top"/>
          </w:tcPr>
          <w:p w:rsidRDefault="00000000" w14:paraId="0000009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tcMar>
              <w:top w:w="45.0" w:type="dxa"/>
              <w:bottom w:w="45.0" w:type="dxa"/>
            </w:tcMar>
            <w:vAlign w:val="top"/>
          </w:tcPr>
          <w:p w:rsidRDefault="00000000" w14:paraId="0000009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9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0,7347</w:t>
            </w:r>
            <w:r>
              <w:rPr>
                <w:rtl w:val="0"/>
              </w:rPr>
            </w:r>
          </w:p>
        </w:tc>
        <w:tc>
          <w:tcPr>
            <w:tcMar>
              <w:top w:w="45.0" w:type="dxa"/>
              <w:bottom w:w="45.0" w:type="dxa"/>
            </w:tcMar>
            <w:vAlign w:val="top"/>
          </w:tcPr>
          <w:p w:rsidRDefault="00000000" w14:paraId="0000009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9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691F532C" wp14:textId="77777777">
        <w:trPr>
          <w:cantSplit w:val="0"/>
          <w:tblHeader w:val="0"/>
        </w:trPr>
        <w:tc>
          <w:tcPr>
            <w:shd w:val="clear" w:color="auto" w:fill="FAFBFC"/>
            <w:tcMar>
              <w:top w:w="45.0" w:type="dxa"/>
              <w:bottom w:w="45.0" w:type="dxa"/>
            </w:tcMar>
            <w:vAlign w:val="top"/>
          </w:tcPr>
          <w:p w:rsidRDefault="00000000" w14:paraId="0000009A"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Bucaramanga</w:t>
            </w:r>
            <w:r>
              <w:rPr>
                <w:rtl w:val="0"/>
              </w:rPr>
            </w:r>
          </w:p>
        </w:tc>
        <w:tc>
          <w:tcPr>
            <w:shd w:val="clear" w:color="auto" w:fill="FAFBFC"/>
            <w:tcMar>
              <w:top w:w="45.0" w:type="dxa"/>
              <w:bottom w:w="45.0" w:type="dxa"/>
            </w:tcMar>
            <w:vAlign w:val="top"/>
          </w:tcPr>
          <w:p w:rsidRDefault="00000000" w14:paraId="0000009B"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9C"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0,6724</w:t>
            </w:r>
            <w:r>
              <w:rPr>
                <w:rtl w:val="0"/>
              </w:rPr>
            </w:r>
          </w:p>
        </w:tc>
        <w:tc>
          <w:tcPr>
            <w:shd w:val="clear" w:color="auto" w:fill="FAFBFC"/>
            <w:tcMar>
              <w:top w:w="45.0" w:type="dxa"/>
              <w:bottom w:w="45.0" w:type="dxa"/>
            </w:tcMar>
            <w:vAlign w:val="top"/>
          </w:tcPr>
          <w:p w:rsidRDefault="00000000" w14:paraId="0000009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9E"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r>
      <w:tr xmlns:wp14="http://schemas.microsoft.com/office/word/2010/wordml" w:rsidTr="3517E32E" w14:paraId="5B64ECA2" wp14:textId="77777777">
        <w:trPr>
          <w:cantSplit w:val="0"/>
          <w:tblHeader w:val="0"/>
        </w:trPr>
        <w:tc>
          <w:tcPr>
            <w:tcMar>
              <w:top w:w="45.0" w:type="dxa"/>
              <w:bottom w:w="45.0" w:type="dxa"/>
            </w:tcMar>
            <w:vAlign w:val="top"/>
          </w:tcPr>
          <w:p w:rsidRDefault="00000000" w14:paraId="0000009F"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tcMar>
              <w:top w:w="45.0" w:type="dxa"/>
              <w:bottom w:w="45.0" w:type="dxa"/>
            </w:tcMar>
            <w:vAlign w:val="top"/>
          </w:tcPr>
          <w:p w:rsidRDefault="00000000" w14:paraId="000000A0"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T+1</w:t>
            </w:r>
            <w:r>
              <w:rPr>
                <w:rtl w:val="0"/>
              </w:rPr>
            </w:r>
          </w:p>
        </w:tc>
        <w:tc>
          <w:tcPr>
            <w:tcMar>
              <w:top w:w="45.0" w:type="dxa"/>
              <w:bottom w:w="45.0" w:type="dxa"/>
            </w:tcMar>
            <w:vAlign w:val="top"/>
          </w:tcPr>
          <w:p w:rsidRDefault="00000000" w14:paraId="000000A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0,0132</w:t>
            </w:r>
            <w:r>
              <w:rPr>
                <w:rtl w:val="0"/>
              </w:rPr>
            </w:r>
          </w:p>
        </w:tc>
        <w:tc>
          <w:tcPr>
            <w:tcMar>
              <w:top w:w="45.0" w:type="dxa"/>
              <w:bottom w:w="45.0" w:type="dxa"/>
            </w:tcMar>
            <w:vAlign w:val="top"/>
          </w:tcPr>
          <w:p w:rsidRDefault="00000000" w14:paraId="000000A2"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0,34</w:t>
            </w:r>
            <w:r>
              <w:rPr>
                <w:rtl w:val="0"/>
              </w:rPr>
            </w:r>
          </w:p>
        </w:tc>
        <w:tc>
          <w:tcPr>
            <w:tcMar>
              <w:top w:w="45.0" w:type="dxa"/>
              <w:bottom w:w="45.0" w:type="dxa"/>
            </w:tcMar>
            <w:vAlign w:val="top"/>
          </w:tcPr>
          <w:p w:rsidRDefault="00000000" w14:paraId="000000A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r xmlns:wp14="http://schemas.microsoft.com/office/word/2010/wordml" w:rsidTr="3517E32E" w14:paraId="3E19EA2E" wp14:textId="77777777">
        <w:trPr>
          <w:cantSplit w:val="0"/>
          <w:tblHeader w:val="0"/>
        </w:trPr>
        <w:tc>
          <w:tcPr>
            <w:shd w:val="clear" w:color="auto" w:fill="FAFBFC"/>
            <w:tcMar>
              <w:top w:w="45.0" w:type="dxa"/>
              <w:bottom w:w="45.0" w:type="dxa"/>
            </w:tcMar>
            <w:vAlign w:val="top"/>
          </w:tcPr>
          <w:p w:rsidRDefault="00000000" w14:paraId="000000A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Cali</w:t>
            </w:r>
            <w:r>
              <w:rPr>
                <w:rtl w:val="0"/>
              </w:rPr>
            </w:r>
          </w:p>
        </w:tc>
        <w:tc>
          <w:tcPr>
            <w:shd w:val="clear" w:color="auto" w:fill="FAFBFC"/>
            <w:tcMar>
              <w:top w:w="45.0" w:type="dxa"/>
              <w:bottom w:w="45.0" w:type="dxa"/>
            </w:tcMar>
            <w:vAlign w:val="top"/>
          </w:tcPr>
          <w:p w:rsidRDefault="00000000" w14:paraId="000000A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T+2</w:t>
            </w:r>
            <w:r>
              <w:rPr>
                <w:rtl w:val="0"/>
              </w:rPr>
            </w:r>
          </w:p>
        </w:tc>
        <w:tc>
          <w:tcPr>
            <w:shd w:val="clear" w:color="auto" w:fill="FAFBFC"/>
            <w:tcMar>
              <w:top w:w="45.0" w:type="dxa"/>
              <w:bottom w:w="45.0" w:type="dxa"/>
            </w:tcMar>
            <w:vAlign w:val="top"/>
          </w:tcPr>
          <w:p w:rsidRDefault="00000000" w14:paraId="000000A6"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0,0150</w:t>
            </w:r>
            <w:r>
              <w:rPr>
                <w:rtl w:val="0"/>
              </w:rPr>
            </w:r>
          </w:p>
        </w:tc>
        <w:tc>
          <w:tcPr>
            <w:shd w:val="clear" w:color="auto" w:fill="FAFBFC"/>
            <w:tcMar>
              <w:top w:w="45.0" w:type="dxa"/>
              <w:bottom w:w="45.0" w:type="dxa"/>
            </w:tcMar>
            <w:vAlign w:val="top"/>
          </w:tcPr>
          <w:p w:rsidRDefault="00000000" w14:paraId="000000A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0,27</w:t>
            </w:r>
            <w:r>
              <w:rPr>
                <w:rtl w:val="0"/>
              </w:rPr>
            </w:r>
          </w:p>
        </w:tc>
        <w:tc>
          <w:tcPr>
            <w:shd w:val="clear" w:color="auto" w:fill="FAFBFC"/>
            <w:tcMar>
              <w:top w:w="45.0" w:type="dxa"/>
              <w:bottom w:w="45.0" w:type="dxa"/>
            </w:tcMar>
            <w:vAlign w:val="top"/>
          </w:tcPr>
          <w:p w:rsidRDefault="00000000" w14:paraId="000000A8"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r>
    </w:tbl>
    <w:p xmlns:wp14="http://schemas.microsoft.com/office/word/2010/wordml" w:rsidRDefault="00000000" w14:paraId="000000A9" wp14:textId="77777777">
      <w:pPr>
        <w:pStyle w:val="Heading2"/>
        <w:jc w:val="both"/>
        <w:rPr>
          <w:sz w:val="22"/>
          <w:szCs w:val="22"/>
        </w:rPr>
      </w:pPr>
      <w:r>
        <w:rPr>
          <w:rtl w:val="0"/>
        </w:rPr>
      </w:r>
    </w:p>
    <w:p xmlns:wp14="http://schemas.microsoft.com/office/word/2010/wordml" w:rsidP="3517E32E" w:rsidRDefault="00000000" w14:paraId="000000AA" wp14:textId="77777777">
      <w:pPr>
        <w:pStyle w:val="Heading2"/>
        <w:jc w:val="both"/>
        <w:rPr>
          <w:sz w:val="22"/>
          <w:szCs w:val="22"/>
          <w:lang w:val="en-US"/>
        </w:rPr>
      </w:pPr>
      <w:r w:rsidRPr="3517E32E" w:rsidR="3517E32E">
        <w:rPr>
          <w:sz w:val="22"/>
          <w:szCs w:val="22"/>
          <w:lang w:val="en-US"/>
        </w:rPr>
        <w:t>3.3 Diferenciación entre inicio y continuación</w:t>
      </w:r>
    </w:p>
    <w:p xmlns:wp14="http://schemas.microsoft.com/office/word/2010/wordml" w:rsidP="3517E32E" w:rsidRDefault="00000000" w14:paraId="000000AB"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i w:val="0"/>
          <w:iCs w:val="0"/>
          <w:color w:val="203040"/>
          <w:sz w:val="22"/>
          <w:szCs w:val="22"/>
          <w:lang w:val="en-US"/>
        </w:rPr>
        <w:t>Para que una secretaría interprete la alerta como una decisión y no solo como una etiqueta, el reporte adopta la siguiente regla operacional: si el municipio no está hoy en exceso (brote = 0) y el modelo pronostica EXCESO, el evento es INICIO DE BROTE; si ya está en exceso (brote = 1) y el pronóstico sigue en EXCESO, es CONTINUACIÓN DE BROTE; si el pronóstico es NO_EXCESO, se reporta SIN BROTE previsto. Esta distinción materializa el valor frente a la simple persistencia.</w:t>
      </w:r>
    </w:p>
    <w:p xmlns:wp14="http://schemas.microsoft.com/office/word/2010/wordml" w:rsidRDefault="00000000" w14:paraId="000000AC" wp14:textId="77777777">
      <w:pPr>
        <w:spacing w:before="0" w:after="40" w:line="240" w:lineRule="auto"/>
        <w:jc w:val="both"/>
        <w:rPr>
          <w:sz w:val="22"/>
          <w:szCs w:val="22"/>
        </w:rPr>
      </w:pPr>
      <w:r>
        <w:rPr>
          <w:rtl w:val="0"/>
        </w:rPr>
      </w:r>
    </w:p>
    <w:tbl>
      <w:tblPr>
        <w:tblStyle w:val="Table6"/>
        <w:tblW w:w="10569"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69282225">
          <w:tblPr/>
        </w:tblPrChange>
      </w:tblPr>
      <w:tblGrid>
        <w:gridCol w:w="3523"/>
        <w:gridCol w:w="3523"/>
        <w:gridCol w:w="3523"/>
      </w:tblGrid>
      <w:tr xmlns:wp14="http://schemas.microsoft.com/office/word/2010/wordml" w:rsidTr="3517E32E" w14:paraId="0FFC1D0F" wp14:textId="77777777">
        <w:trPr>
          <w:cantSplit w:val="0"/>
          <w:tblHeader w:val="1"/>
        </w:trPr>
        <w:tc>
          <w:tcPr>
            <w:shd w:val="clear" w:color="auto" w:fill="D5E5F5"/>
            <w:tcMar>
              <w:top w:w="45.0" w:type="dxa"/>
              <w:bottom w:w="45.0" w:type="dxa"/>
            </w:tcMar>
            <w:vAlign w:val="center"/>
          </w:tcPr>
          <w:p w:rsidRDefault="00000000" w14:paraId="000000AD" wp14:textId="77777777">
            <w:pPr>
              <w:spacing w:before="0" w:after="0" w:line="240" w:lineRule="auto"/>
              <w:jc w:val="both"/>
              <w:rPr>
                <w:sz w:val="22"/>
                <w:szCs w:val="22"/>
              </w:rPr>
            </w:pPr>
            <w:r>
              <w:rPr>
                <w:rFonts w:ascii="Arial" w:hAnsi="Arial" w:eastAsia="Arial" w:cs="Arial"/>
                <w:b w:val="1"/>
                <w:bCs w:val="1"/>
                <w:i w:val="0"/>
                <w:iCs w:val="0"/>
                <w:color w:val="203040"/>
                <w:sz w:val="22"/>
                <w:szCs w:val="22"/>
                <w:rtl w:val="0"/>
              </w:rPr>
              <w:t xml:space="preserve">Estado actual</w:t>
            </w:r>
            <w:r>
              <w:rPr>
                <w:rtl w:val="0"/>
              </w:rPr>
            </w:r>
          </w:p>
        </w:tc>
        <w:tc>
          <w:tcPr>
            <w:shd w:val="clear" w:color="auto" w:fill="D5E5F5"/>
            <w:tcMar>
              <w:top w:w="45.0" w:type="dxa"/>
              <w:bottom w:w="45.0" w:type="dxa"/>
            </w:tcMar>
            <w:vAlign w:val="center"/>
          </w:tcPr>
          <w:p w:rsidP="3517E32E" w:rsidRDefault="00000000" w14:paraId="000000AE"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Predicción</w:t>
            </w:r>
            <w:r>
              <w:rPr>
                <w:rtl w:val="0"/>
              </w:rPr>
            </w:r>
          </w:p>
        </w:tc>
        <w:tc>
          <w:tcPr>
            <w:shd w:val="clear" w:color="auto" w:fill="D5E5F5"/>
            <w:tcMar>
              <w:top w:w="45.0" w:type="dxa"/>
              <w:bottom w:w="45.0" w:type="dxa"/>
            </w:tcMar>
            <w:vAlign w:val="center"/>
          </w:tcPr>
          <w:p w:rsidP="3517E32E" w:rsidRDefault="00000000" w14:paraId="000000AF"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Interpretación para decisión</w:t>
            </w:r>
            <w:r>
              <w:rPr>
                <w:rtl w:val="0"/>
              </w:rPr>
            </w:r>
          </w:p>
        </w:tc>
      </w:tr>
      <w:tr xmlns:wp14="http://schemas.microsoft.com/office/word/2010/wordml" w:rsidTr="3517E32E" w14:paraId="73AD6DA3" wp14:textId="77777777">
        <w:trPr>
          <w:cantSplit w:val="0"/>
          <w:tblHeader w:val="0"/>
        </w:trPr>
        <w:tc>
          <w:tcPr>
            <w:tcMar>
              <w:top w:w="45.0" w:type="dxa"/>
              <w:bottom w:w="45.0" w:type="dxa"/>
            </w:tcMar>
            <w:vAlign w:val="top"/>
          </w:tcPr>
          <w:p w:rsidP="3517E32E" w:rsidRDefault="00000000" w14:paraId="000000B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No exceso</w:t>
            </w:r>
            <w:r>
              <w:rPr>
                <w:rtl w:val="0"/>
              </w:rPr>
            </w:r>
          </w:p>
        </w:tc>
        <w:tc>
          <w:tcPr>
            <w:tcMar>
              <w:top w:w="45.0" w:type="dxa"/>
              <w:bottom w:w="45.0" w:type="dxa"/>
            </w:tcMar>
            <w:vAlign w:val="top"/>
          </w:tcPr>
          <w:p w:rsidRDefault="00000000" w14:paraId="000000B1"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tcMar>
              <w:top w:w="45.0" w:type="dxa"/>
              <w:bottom w:w="45.0" w:type="dxa"/>
            </w:tcMar>
            <w:vAlign w:val="top"/>
          </w:tcPr>
          <w:p w:rsidP="3517E32E" w:rsidRDefault="00000000" w14:paraId="000000B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INICIO DE BROTE — priorizar acción preventiva.</w:t>
            </w:r>
            <w:r>
              <w:rPr>
                <w:rtl w:val="0"/>
              </w:rPr>
            </w:r>
          </w:p>
        </w:tc>
      </w:tr>
      <w:tr xmlns:wp14="http://schemas.microsoft.com/office/word/2010/wordml" w:rsidTr="3517E32E" w14:paraId="0A63EBE2" wp14:textId="77777777">
        <w:trPr>
          <w:cantSplit w:val="0"/>
          <w:tblHeader w:val="0"/>
        </w:trPr>
        <w:tc>
          <w:tcPr>
            <w:shd w:val="clear" w:color="auto" w:fill="FAFBFC"/>
            <w:tcMar>
              <w:top w:w="45.0" w:type="dxa"/>
              <w:bottom w:w="45.0" w:type="dxa"/>
            </w:tcMar>
            <w:vAlign w:val="top"/>
          </w:tcPr>
          <w:p w:rsidP="3517E32E" w:rsidRDefault="00000000" w14:paraId="000000B3"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Exceso</w:t>
            </w:r>
            <w:r>
              <w:rPr>
                <w:rtl w:val="0"/>
              </w:rPr>
            </w:r>
          </w:p>
        </w:tc>
        <w:tc>
          <w:tcPr>
            <w:shd w:val="clear" w:color="auto" w:fill="FAFBFC"/>
            <w:tcMar>
              <w:top w:w="45.0" w:type="dxa"/>
              <w:bottom w:w="45.0" w:type="dxa"/>
            </w:tcMar>
            <w:vAlign w:val="top"/>
          </w:tcPr>
          <w:p w:rsidRDefault="00000000" w14:paraId="000000B4"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EXCESO</w:t>
            </w:r>
            <w:r>
              <w:rPr>
                <w:rtl w:val="0"/>
              </w:rPr>
            </w:r>
          </w:p>
        </w:tc>
        <w:tc>
          <w:tcPr>
            <w:shd w:val="clear" w:color="auto" w:fill="FAFBFC"/>
            <w:tcMar>
              <w:top w:w="45.0" w:type="dxa"/>
              <w:bottom w:w="45.0" w:type="dxa"/>
            </w:tcMar>
            <w:vAlign w:val="top"/>
          </w:tcPr>
          <w:p w:rsidP="3517E32E" w:rsidRDefault="00000000" w14:paraId="000000B5"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CONTINUACIÓN DE BROTE — sostener/reforzar respuesta.</w:t>
            </w:r>
            <w:r>
              <w:rPr>
                <w:rtl w:val="0"/>
              </w:rPr>
            </w:r>
          </w:p>
        </w:tc>
      </w:tr>
      <w:tr xmlns:wp14="http://schemas.microsoft.com/office/word/2010/wordml" w:rsidTr="3517E32E" w14:paraId="141013C2" wp14:textId="77777777">
        <w:trPr>
          <w:cantSplit w:val="0"/>
          <w:tblHeader w:val="0"/>
        </w:trPr>
        <w:tc>
          <w:tcPr>
            <w:tcMar>
              <w:top w:w="45.0" w:type="dxa"/>
              <w:bottom w:w="45.0" w:type="dxa"/>
            </w:tcMar>
            <w:vAlign w:val="top"/>
          </w:tcPr>
          <w:p w:rsidP="3517E32E" w:rsidRDefault="00000000" w14:paraId="000000B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Cualquiera</w:t>
            </w:r>
            <w:r>
              <w:rPr>
                <w:rtl w:val="0"/>
              </w:rPr>
            </w:r>
          </w:p>
        </w:tc>
        <w:tc>
          <w:tcPr>
            <w:tcMar>
              <w:top w:w="45.0" w:type="dxa"/>
              <w:bottom w:w="45.0" w:type="dxa"/>
            </w:tcMar>
            <w:vAlign w:val="top"/>
          </w:tcPr>
          <w:p w:rsidRDefault="00000000" w14:paraId="000000B7"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NO_EXCESO</w:t>
            </w:r>
            <w:r>
              <w:rPr>
                <w:rtl w:val="0"/>
              </w:rPr>
            </w:r>
          </w:p>
        </w:tc>
        <w:tc>
          <w:tcPr>
            <w:tcMar>
              <w:top w:w="45.0" w:type="dxa"/>
              <w:bottom w:w="45.0" w:type="dxa"/>
            </w:tcMar>
            <w:vAlign w:val="top"/>
          </w:tcPr>
          <w:p w:rsidP="3517E32E" w:rsidRDefault="00000000" w14:paraId="000000B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SIN BROTE previsto — vigilancia y seguimiento.</w:t>
            </w:r>
            <w:r>
              <w:rPr>
                <w:rtl w:val="0"/>
              </w:rPr>
            </w:r>
          </w:p>
        </w:tc>
      </w:tr>
    </w:tbl>
    <w:p xmlns:wp14="http://schemas.microsoft.com/office/word/2010/wordml" w:rsidRDefault="00000000" w14:paraId="000000B9" wp14:textId="77777777">
      <w:pPr>
        <w:spacing w:before="0" w:after="40" w:line="240" w:lineRule="auto"/>
        <w:jc w:val="both"/>
        <w:rPr>
          <w:sz w:val="22"/>
          <w:szCs w:val="22"/>
        </w:rPr>
      </w:pPr>
      <w:r>
        <w:rPr>
          <w:rtl w:val="0"/>
        </w:rPr>
      </w:r>
    </w:p>
    <w:p xmlns:wp14="http://schemas.microsoft.com/office/word/2010/wordml" w:rsidP="3517E32E" w:rsidRDefault="00000000" w14:paraId="000000BA" wp14:textId="77777777">
      <w:pPr>
        <w:spacing w:before="0" w:after="40" w:line="240" w:lineRule="auto"/>
        <w:jc w:val="both"/>
        <w:rPr>
          <w:rFonts w:ascii="Arial" w:hAnsi="Arial" w:eastAsia="Arial" w:cs="Arial"/>
          <w:b w:val="0"/>
          <w:bCs w:val="0"/>
          <w:i w:val="0"/>
          <w:iCs w:val="0"/>
          <w:color w:val="203040"/>
          <w:sz w:val="22"/>
          <w:szCs w:val="22"/>
          <w:lang w:val="en-US"/>
        </w:rPr>
      </w:pPr>
      <w:r w:rsidRPr="3517E32E" w:rsidR="3517E32E">
        <w:rPr>
          <w:rFonts w:ascii="Arial" w:hAnsi="Arial" w:eastAsia="Arial" w:cs="Arial"/>
          <w:b w:val="0"/>
          <w:bCs w:val="0"/>
          <w:color w:val="203040"/>
          <w:sz w:val="22"/>
          <w:szCs w:val="22"/>
          <w:lang w:val="en-US"/>
        </w:rPr>
        <w:t xml:space="preserve">La clasificación se deriva de dos campos que el sistema ya maneja y no requiere cálculo adicional: brote, que viene en el archivo mensual validado y describe el estado del mes de referencia, y label, que es la salida del modelo. Con la corrida de referencia 2025-12 el resultado es verificable de extremo a extremo. Bucaramanga entra con brote igual a 1 y el modelo devuelve EXCESO a T+1, de manera que el evento se clasifica como CONTINUACIÓN DE BROTE y la acción correspondiente es sostener la respuesta. Cali entra con brote igual a 0 y el modelo devuelve NO_EXCESO, de manera que se clasifica como SIN BROTE previsto y la acción es seguimiento. La captura de cierre muestra ambos campos en la misma vista para que la clasificación sea comprobable por el lector.</w:t>
      </w:r>
    </w:p>
    <w:p xmlns:wp14="http://schemas.microsoft.com/office/word/2010/wordml" w:rsidRDefault="00000000" w14:paraId="000000BB" wp14:textId="77777777">
      <w:pPr>
        <w:spacing w:before="0" w:after="40" w:line="240" w:lineRule="auto"/>
        <w:jc w:val="both"/>
        <w:rPr>
          <w:sz w:val="22"/>
          <w:szCs w:val="22"/>
        </w:rPr>
      </w:pPr>
      <w:r>
        <w:rPr>
          <w:rtl w:val="0"/>
        </w:rPr>
      </w:r>
    </w:p>
    <w:p xmlns:wp14="http://schemas.microsoft.com/office/word/2010/wordml" w:rsidP="3517E32E" w:rsidRDefault="00000000" w14:paraId="000000BC" wp14:textId="77777777">
      <w:pPr>
        <w:pStyle w:val="Heading2"/>
        <w:jc w:val="both"/>
        <w:rPr>
          <w:sz w:val="22"/>
          <w:szCs w:val="22"/>
          <w:lang w:val="en-US"/>
        </w:rPr>
      </w:pPr>
      <w:r w:rsidRPr="3517E32E" w:rsidR="3517E32E">
        <w:rPr>
          <w:sz w:val="22"/>
          <w:szCs w:val="22"/>
          <w:lang w:val="en-US"/>
        </w:rPr>
        <w:t>3.4 Evidencia de funcionamiento y calidad de información</w:t>
      </w:r>
    </w:p>
    <w:p xmlns:wp14="http://schemas.microsoft.com/office/word/2010/wordml" w:rsidP="3517E32E" w:rsidRDefault="00000000" w14:paraId="000000BD" wp14:textId="77777777">
      <w:pPr>
        <w:spacing w:before="0" w:after="40" w:line="240" w:lineRule="auto"/>
        <w:jc w:val="both"/>
        <w:rPr>
          <w:sz w:val="22"/>
          <w:szCs w:val="22"/>
          <w:lang w:val="en-US"/>
        </w:rPr>
      </w:pPr>
      <w:r w:rsidRPr="3517E32E" w:rsidR="3517E32E">
        <w:rPr>
          <w:rFonts w:ascii="Arial" w:hAnsi="Arial" w:eastAsia="Arial" w:cs="Arial"/>
          <w:b w:val="0"/>
          <w:bCs w:val="0"/>
          <w:color w:val="203040"/>
          <w:sz w:val="22"/>
          <w:szCs w:val="22"/>
          <w:lang w:val="en-US"/>
        </w:rPr>
        <w:t xml:space="preserve">La evidencia de funcionamiento prioriza una vista donde la predicción y el contexto epidemiológico sean legibles al mismo tiempo, porque es la lectura que hace útil la alerta. La API conserva y expone la probabilidad calibrada, el umbral aplicado, la etiqueta, el identificador de la corrida, la versión del modelo y los percentiles del canal con la zona del mes cargado. Sobre la calidad de la información, el criterio del sistema es que los campos que la fuente actual no materializa, como los casos observados del mes objetivo, el percentil 50 o una explicación local vigente, se muestran como ausencia explícita. No se completan con ceros ni con valores derivados de otros campos, porque un valor sintético en una alerta sanitaria es peor que un dato ausente: el usuario no tiene cómo distinguir uno del otro y podría actuar sobre información que el sistema no tiene.</w:t>
      </w:r>
    </w:p>
    <w:p w:rsidR="3517E32E" w:rsidP="3517E32E" w:rsidRDefault="3517E32E" w14:paraId="5B02EA58" w14:textId="5C8FEA0F">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5D870C70" w:rsidP="3517E32E" w:rsidRDefault="5D870C70" w14:paraId="2E10BFAA" w14:textId="4897C9A4">
      <w:pPr>
        <w:pStyle w:val="Normal"/>
        <w:shd w:val="clear" w:color="auto" w:fill="F5F8FC"/>
        <w:spacing w:before="30" w:after="40" w:line="240" w:lineRule="auto"/>
        <w:ind w:left="216" w:right="216" w:firstLine="0"/>
        <w:jc w:val="both"/>
      </w:pPr>
      <w:r w:rsidR="5D870C70">
        <w:drawing>
          <wp:inline wp14:editId="158199FA" wp14:anchorId="5A3C9F33">
            <wp:extent cx="6019800" cy="3547078"/>
            <wp:effectExtent l="0" t="0" r="0" b="0"/>
            <wp:docPr id="18667296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6729650" name="Picture 1866729650"/>
                    <pic:cNvPicPr/>
                  </pic:nvPicPr>
                  <pic:blipFill>
                    <a:blip xmlns:r="http://schemas.openxmlformats.org/officeDocument/2006/relationships" r:embed="rId939513292">
                      <a:extLst>
                        <a:ext uri="{28A0092B-C50C-407E-A947-70E740481C1C}">
                          <a14:useLocalDpi xmlns:a14="http://schemas.microsoft.com/office/drawing/2010/main"/>
                        </a:ext>
                      </a:extLst>
                    </a:blip>
                    <a:stretch>
                      <a:fillRect/>
                    </a:stretch>
                  </pic:blipFill>
                  <pic:spPr>
                    <a:xfrm rot="0">
                      <a:off x="0" y="0"/>
                      <a:ext cx="6019800" cy="3547078"/>
                    </a:xfrm>
                    <a:prstGeom prst="rect">
                      <a:avLst/>
                    </a:prstGeom>
                  </pic:spPr>
                </pic:pic>
              </a:graphicData>
            </a:graphic>
          </wp:inline>
        </w:drawing>
      </w:r>
    </w:p>
    <w:p xmlns:wp14="http://schemas.microsoft.com/office/word/2010/wordml" w:rsidP="3517E32E" w:rsidRDefault="00000000" w14:paraId="000000B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"Dashboard </w:t>
      </w:r>
      <w:r w:rsidRPr="3517E32E" w:rsidR="3517E32E">
        <w:rPr>
          <w:i w:val="1"/>
          <w:iCs w:val="1"/>
          <w:color w:val="5b677a"/>
          <w:sz w:val="22"/>
          <w:szCs w:val="22"/>
          <w:lang w:val="en-US"/>
        </w:rPr>
        <w:t xml:space="preserve">SAT-Dengue</w:t>
      </w:r>
      <w:r w:rsidRPr="3517E32E" w:rsidR="3517E32E">
        <w:rPr>
          <w:rFonts w:ascii="Arial" w:hAnsi="Arial" w:eastAsia="Arial" w:cs="Arial"/>
          <w:b w:val="0"/>
          <w:bCs w:val="0"/>
          <w:i w:val="1"/>
          <w:iCs w:val="1"/>
          <w:color w:val="5b677a"/>
          <w:sz w:val="22"/>
          <w:szCs w:val="22"/>
          <w:lang w:val="en-US"/>
        </w:rPr>
        <w:t xml:space="preserve"> final mostrando municipio, T+1/T+2, probabilidad, threshold, canal endémico, tipo de evento (inicio/continuación/sin brote) y trazabilidad"]</w:t>
      </w:r>
      <w:r>
        <w:rPr>
          <w:rtl w:val="0"/>
        </w:rPr>
      </w:r>
    </w:p>
    <w:p xmlns:wp14="http://schemas.microsoft.com/office/word/2010/wordml" w:rsidRDefault="00000000" w14:paraId="000000BF" wp14:textId="77777777">
      <w:pPr>
        <w:pStyle w:val="Heading2"/>
        <w:jc w:val="both"/>
        <w:rPr>
          <w:sz w:val="22"/>
          <w:szCs w:val="22"/>
        </w:rPr>
      </w:pPr>
      <w:r>
        <w:rPr>
          <w:rtl w:val="0"/>
        </w:rPr>
      </w:r>
    </w:p>
    <w:p xmlns:wp14="http://schemas.microsoft.com/office/word/2010/wordml" w:rsidP="3517E32E" w:rsidRDefault="00000000" w14:paraId="000000C0" wp14:textId="77777777">
      <w:pPr>
        <w:pStyle w:val="Heading2"/>
        <w:jc w:val="both"/>
        <w:rPr>
          <w:sz w:val="22"/>
          <w:szCs w:val="22"/>
          <w:lang w:val="en-US"/>
        </w:rPr>
      </w:pPr>
      <w:r w:rsidRPr="3517E32E" w:rsidR="3517E32E">
        <w:rPr>
          <w:sz w:val="22"/>
          <w:szCs w:val="22"/>
          <w:lang w:val="en-US"/>
        </w:rPr>
        <w:t>3.5 Integración técnica</w:t>
      </w:r>
    </w:p>
    <w:p xmlns:wp14="http://schemas.microsoft.com/office/word/2010/wordml" w:rsidP="3517E32E" w:rsidRDefault="00000000" w14:paraId="000000C1" wp14:textId="77777777">
      <w:pPr>
        <w:spacing w:after="0" w:lineRule="auto"/>
        <w:ind w:left="0" w:firstLine="0"/>
        <w:jc w:val="both"/>
        <w:rPr>
          <w:lang w:val="en-US"/>
        </w:rPr>
      </w:pPr>
      <w:r w:rsidRPr="3517E32E" w:rsidR="3517E32E">
        <w:rPr>
          <w:sz w:val="22"/>
          <w:szCs w:val="22"/>
          <w:lang w:val="en-US"/>
        </w:rPr>
        <w:t xml:space="preserve">La integración entre el modelo y la interfaz se sostiene en un contrato explícito y no en una convención implícita. Las 39 columnas que el modelo espera están declaradas en un único módulo del API, y tanto el validador de la carga mensual como el generador del archivo de entrada las importan de ahí, de modo que si el contrato cambia el generador falla en vez de producir un archivo que el validador rechace más adelante. El validador verifica el formato, la codificación, el tamaño, la presencia de las dos filas municipales y la ausencia de columnas derivadas del futuro, y rechaza la carga con un código de error específico antes de invocar al modelo. Superada la validación, el orquestador ejecuta el Champion, persiste el resultado con su trazabilidad y devuelve el identificador de la corrida. El tablero consume esa salida y no recalcula nada, así que cualquier valor que muestre la interfaz puede rastrearse hasta la corrida que lo produjo. El comportamiento del contrato y de los errores está cubierto por 143 funciones de prueba automatizadas repartidas en 20 archivos.</w:t>
      </w:r>
    </w:p>
    <w:p xmlns:wp14="http://schemas.microsoft.com/office/word/2010/wordml" w:rsidRDefault="00000000" w14:paraId="000000C2" wp14:textId="77777777">
      <w:pPr>
        <w:rPr/>
      </w:pPr>
      <w:r>
        <w:rPr>
          <w:rtl w:val="0"/>
        </w:rPr>
      </w:r>
    </w:p>
    <w:p xmlns:wp14="http://schemas.microsoft.com/office/word/2010/wordml" w:rsidRDefault="00000000" w14:paraId="000000C3" wp14:textId="77777777">
      <w:pPr>
        <w:pStyle w:val="Heading2"/>
        <w:jc w:val="both"/>
        <w:rPr>
          <w:sz w:val="22"/>
          <w:szCs w:val="22"/>
        </w:rPr>
      </w:pPr>
      <w:r>
        <w:rPr>
          <w:rtl w:val="0"/>
        </w:rPr>
      </w:r>
    </w:p>
    <w:p xmlns:wp14="http://schemas.microsoft.com/office/word/2010/wordml" w:rsidP="3517E32E" w:rsidRDefault="00000000" w14:paraId="000000C4" wp14:textId="77777777">
      <w:pPr>
        <w:pStyle w:val="Heading2"/>
        <w:jc w:val="center"/>
        <w:rPr>
          <w:sz w:val="22"/>
          <w:szCs w:val="22"/>
          <w:lang w:val="en-US"/>
        </w:rPr>
      </w:pPr>
      <w:r w:rsidRPr="3517E32E" w:rsidR="3517E32E">
        <w:rPr>
          <w:sz w:val="22"/>
          <w:szCs w:val="22"/>
          <w:lang w:val="en-US"/>
        </w:rPr>
        <w:t>4. Principales resultados, observaciones y conclusiones</w:t>
      </w:r>
    </w:p>
    <w:p xmlns:wp14="http://schemas.microsoft.com/office/word/2010/wordml" w:rsidP="3517E32E" w:rsidRDefault="00000000" w14:paraId="000000C5"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Desempeño general: en T+1 XGBoost y LightGBM alcanzan F1=0,965; el canal endémico, 0,951. XGBoost detecta 41/42 meses de brote frente a 39/42 del canal, a costa de una falsa alarma adicional (2 vs. 1).</w:t>
      </w:r>
    </w:p>
    <w:p xmlns:wp14="http://schemas.microsoft.com/office/word/2010/wordml" w:rsidP="3517E32E" w:rsidRDefault="00000000" w14:paraId="000000C6"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Inicio de brote: la evidencia actual no demuestra que el modelo supere al canal en el objetivo más importante. XGBoost, LightGBM y canal endémico detectan 2/3 inicios; persistencia detecta 0/3. El tamaño muestral de tres transiciones impide conclusiones fuertes.</w:t>
      </w:r>
    </w:p>
    <w:p xmlns:wp14="http://schemas.microsoft.com/office/word/2010/wordml" w:rsidP="3517E32E" w:rsidRDefault="00000000" w14:paraId="000000C7"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Horizonte T+2: LightGBM mantiene F1=0,920 y 2/3 inicios, mientras XGBoost obtiene F1=0,918 y 1/3. T+2 es útil como ventana de planificación, pero faltan baselines T+2 completamente comparables antes de declarar una ganancia definitiva.</w:t>
      </w:r>
    </w:p>
    <w:p xmlns:wp14="http://schemas.microsoft.com/office/word/2010/wordml" w:rsidP="3517E32E" w:rsidRDefault="00000000" w14:paraId="000000C8"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Dependencia del estado reciente: la alta importancia observada previamente para brote_lag_1 y variables del canal es coherente con un problema donde la persistencia explica buena parte de los brotes.</w:t>
      </w:r>
    </w:p>
    <w:p xmlns:wp14="http://schemas.microsoft.com/office/word/2010/wordml" w:rsidP="3517E32E" w:rsidRDefault="00000000" w14:paraId="000000C9"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40" w:lineRule="auto"/>
        <w:ind w:left="360" w:right="0" w:hanging="360"/>
        <w:jc w:val="both"/>
        <w:rPr>
          <w:sz w:val="22"/>
          <w:szCs w:val="22"/>
          <w:lang w:val="en-US"/>
        </w:rPr>
      </w:pPr>
      <w:r w:rsidRPr="3517E32E" w:rsidR="3517E32E">
        <w:rPr>
          <w:rFonts w:ascii="Arial" w:hAnsi="Arial" w:eastAsia="Arial" w:cs="Arial"/>
          <w:b w:val="0"/>
          <w:bCs w:val="0"/>
          <w:caps w:val="0"/>
          <w:smallCaps w:val="0"/>
          <w:strike w:val="0"/>
          <w:dstrike w:val="0"/>
          <w:color w:val="203040"/>
          <w:sz w:val="22"/>
          <w:szCs w:val="22"/>
          <w:u w:val="none"/>
          <w:vertAlign w:val="baseline"/>
          <w:lang w:val="en-US"/>
        </w:rPr>
        <w:t xml:space="preserve">Probabilidades y producto: el Champion desplegado aplica calibración Platt ajustada sobre el conjunto de validación, que reduce el Brier score de 0,116 a 0,072, con umbrales explícitos de 0,34 para T+1 y 0,27 para T+2. Esto permite que la salida se lea como un riesgo y no solo como un puntaje de ordenamiento. La API conserva las salidas del modelo sin transformarlas y el tablero se limita a leerlas, de modo que la probabilidad que ve el usuario es la misma que produjo la corrida registrada.</w:t>
      </w:r>
    </w:p>
    <w:p xmlns:wp14="http://schemas.microsoft.com/office/word/2010/wordml" w:rsidP="3517E32E" w:rsidRDefault="00000000" w14:paraId="000000CA" wp14:textId="77777777">
      <w:pPr>
        <w:keepNext w:val="0"/>
        <w:keepLines w:val="0"/>
        <w:pageBreakBefore w:val="0"/>
        <w:widowControl w:val="1"/>
        <w:numPr>
          <w:ilvl w:val="0"/>
          <w:numId w:val="1"/>
        </w:numPr>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20" w:line="240" w:lineRule="auto"/>
        <w:ind w:left="360" w:right="0" w:hanging="360"/>
        <w:jc w:val="both"/>
        <w:rPr>
          <w:sz w:val="22"/>
          <w:szCs w:val="22"/>
          <w:lang w:val="en-US"/>
        </w:rPr>
      </w:pP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Conclusión de negocio: </w:t>
      </w:r>
      <w:r w:rsidRPr="3517E32E" w:rsidR="3517E32E">
        <w:rPr>
          <w:sz w:val="22"/>
          <w:szCs w:val="22"/>
          <w:lang w:val="en-US"/>
        </w:rPr>
        <w:t xml:space="preserve">SAT-Dengue</w:t>
      </w:r>
      <w:r w:rsidRPr="3517E32E" w:rsidR="3517E32E">
        <w:rPr>
          <w:rFonts w:ascii="Arial" w:hAnsi="Arial" w:eastAsia="Arial" w:cs="Arial"/>
          <w:b w:val="0"/>
          <w:bCs w:val="0"/>
          <w:i w:val="0"/>
          <w:iCs w:val="0"/>
          <w:caps w:val="0"/>
          <w:smallCaps w:val="0"/>
          <w:strike w:val="0"/>
          <w:dstrike w:val="0"/>
          <w:color w:val="203040"/>
          <w:sz w:val="22"/>
          <w:szCs w:val="22"/>
          <w:u w:val="none"/>
          <w:shd w:val="clear" w:fill="auto"/>
          <w:vertAlign w:val="baseline"/>
          <w:lang w:val="en-US"/>
        </w:rPr>
        <w:t xml:space="preserve"> demuestra un prototipo funcional para llevar una predicción mensual desde datos/modelo hasta una interfaz de decisión.</w:t>
      </w:r>
    </w:p>
    <w:p xmlns:wp14="http://schemas.microsoft.com/office/word/2010/wordml" w:rsidRDefault="00000000" w14:paraId="000000C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spacing w:before="0" w:after="20" w:line="240" w:lineRule="auto"/>
        <w:ind w:left="360" w:right="0" w:firstLine="0"/>
        <w:jc w:val="both"/>
        <w:rPr>
          <w:sz w:val="22"/>
          <w:szCs w:val="22"/>
        </w:rPr>
      </w:pPr>
      <w:r>
        <w:rPr>
          <w:rtl w:val="0"/>
        </w:rPr>
      </w:r>
    </w:p>
    <w:p xmlns:wp14="http://schemas.microsoft.com/office/word/2010/wordml" w:rsidP="3517E32E" w:rsidRDefault="00000000" w14:paraId="000000CC" wp14:textId="77777777">
      <w:pPr>
        <w:pStyle w:val="Heading1"/>
        <w:jc w:val="both"/>
        <w:rPr>
          <w:sz w:val="22"/>
          <w:szCs w:val="22"/>
          <w:lang w:val="en-US"/>
        </w:rPr>
      </w:pPr>
      <w:r w:rsidRPr="3517E32E" w:rsidR="3517E32E">
        <w:rPr>
          <w:sz w:val="22"/>
          <w:szCs w:val="22"/>
          <w:lang w:val="en-US"/>
        </w:rPr>
        <w:t>5. Repositorio de código en GitHub</w:t>
      </w:r>
    </w:p>
    <w:p xmlns:wp14="http://schemas.microsoft.com/office/word/2010/wordml" w:rsidP="3517E32E" w:rsidRDefault="00000000" wp14:textId="77777777" w14:paraId="68412347">
      <w:pPr>
        <w:spacing w:before="0" w:after="2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Repositorio: </w:t>
      </w:r>
      <w:hyperlink r:id="Reeebc183220c43f6">
        <w:r w:rsidRPr="3517E32E" w:rsidR="3517E32E">
          <w:rPr>
            <w:color w:val="1F5AA6"/>
            <w:sz w:val="22"/>
            <w:szCs w:val="22"/>
            <w:u w:val="single"/>
            <w:lang w:val="en-US"/>
          </w:rPr>
          <w:t>microproyecto-tema3</w:t>
        </w:r>
      </w:hyperlink>
    </w:p>
    <w:p xmlns:wp14="http://schemas.microsoft.com/office/word/2010/wordml" w:rsidP="3517E32E" w:rsidRDefault="00000000" w14:paraId="2AE0903B" wp14:textId="11D4C89E">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xmlns:wp14="http://schemas.microsoft.com/office/word/2010/wordml" w:rsidP="3517E32E" w:rsidRDefault="00000000" w14:paraId="233A6A2B" wp14:textId="5A6B8880">
      <w:pPr>
        <w:pStyle w:val="Normal"/>
        <w:shd w:val="clear" w:color="auto" w:fill="F5F8FC"/>
        <w:spacing w:before="30" w:after="40" w:line="240" w:lineRule="auto"/>
        <w:ind w:left="216" w:right="216" w:firstLine="0"/>
        <w:jc w:val="center"/>
      </w:pPr>
      <w:r w:rsidR="1EDBF51F">
        <w:drawing>
          <wp:inline xmlns:wp14="http://schemas.microsoft.com/office/word/2010/wordprocessingDrawing" wp14:editId="22997891" wp14:anchorId="1B1488EB">
            <wp:extent cx="4223101" cy="3577074"/>
            <wp:effectExtent l="0" t="0" r="0" b="0"/>
            <wp:docPr id="6266896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26689604" name="Picture 626689604"/>
                    <pic:cNvPicPr/>
                  </pic:nvPicPr>
                  <pic:blipFill>
                    <a:blip xmlns:r="http://schemas.openxmlformats.org/officeDocument/2006/relationships" r:embed="rId2075908979">
                      <a:extLst>
                        <a:ext uri="{28A0092B-C50C-407E-A947-70E740481C1C}">
                          <a14:useLocalDpi xmlns:a14="http://schemas.microsoft.com/office/drawing/2010/main"/>
                        </a:ext>
                      </a:extLst>
                    </a:blip>
                    <a:stretch>
                      <a:fillRect/>
                    </a:stretch>
                  </pic:blipFill>
                  <pic:spPr>
                    <a:xfrm rot="0">
                      <a:off x="0" y="0"/>
                      <a:ext cx="4223101" cy="3577074"/>
                    </a:xfrm>
                    <a:prstGeom prst="rect">
                      <a:avLst/>
                    </a:prstGeom>
                  </pic:spPr>
                </pic:pic>
              </a:graphicData>
            </a:graphic>
          </wp:inline>
        </w:drawing>
      </w:r>
      <w:r>
        <w:rPr>
          <w:rtl w:val="0"/>
        </w:rPr>
      </w:r>
    </w:p>
    <w:p xmlns:wp14="http://schemas.microsoft.com/office/word/2010/wordml" w:rsidP="3517E32E" w:rsidRDefault="00000000" w14:paraId="000000CE"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del API desplegado con endpoints principales visibles"]</w:t>
      </w:r>
      <w:r>
        <w:rPr>
          <w:rtl w:val="0"/>
        </w:rPr>
      </w:r>
    </w:p>
    <w:p w:rsidR="3517E32E" w:rsidP="3517E32E" w:rsidRDefault="3517E32E" w14:paraId="5C308ED0" w14:textId="62A5E6F2">
      <w:pPr>
        <w:shd w:val="clear" w:color="auto" w:fill="F5F8FC"/>
        <w:spacing w:before="30" w:after="40" w:line="240" w:lineRule="auto"/>
        <w:ind w:left="216" w:right="216" w:firstLine="0"/>
        <w:jc w:val="both"/>
        <w:rPr>
          <w:rFonts w:ascii="Arial" w:hAnsi="Arial" w:eastAsia="Arial" w:cs="Arial"/>
          <w:b w:val="0"/>
          <w:bCs w:val="0"/>
          <w:i w:val="1"/>
          <w:iCs w:val="1"/>
          <w:color w:val="5B677A"/>
          <w:sz w:val="22"/>
          <w:szCs w:val="22"/>
          <w:rtl w:val="0"/>
          <w:lang w:val="en-US"/>
        </w:rPr>
      </w:pPr>
    </w:p>
    <w:p w:rsidR="2CB6CBEA" w:rsidP="3517E32E" w:rsidRDefault="2CB6CBEA" w14:paraId="72909EB8" w14:textId="3868AD29">
      <w:pPr>
        <w:pStyle w:val="Normal"/>
        <w:shd w:val="clear" w:color="auto" w:fill="F5F8FC"/>
        <w:spacing w:before="30" w:after="40" w:line="240" w:lineRule="auto"/>
        <w:ind w:left="216" w:right="216" w:firstLine="0"/>
        <w:jc w:val="both"/>
      </w:pPr>
      <w:r w:rsidR="2CB6CBEA">
        <w:drawing>
          <wp:inline wp14:editId="6FAC7695" wp14:anchorId="5723C8D9">
            <wp:extent cx="6724650" cy="1219200"/>
            <wp:effectExtent l="0" t="0" r="0" b="0"/>
            <wp:docPr id="20332990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299069" name="Picture 2033299069"/>
                    <pic:cNvPicPr/>
                  </pic:nvPicPr>
                  <pic:blipFill>
                    <a:blip xmlns:r="http://schemas.openxmlformats.org/officeDocument/2006/relationships" r:embed="rId988908269">
                      <a:extLst>
                        <a:ext uri="{28A0092B-C50C-407E-A947-70E740481C1C}">
                          <a14:useLocalDpi xmlns:a14="http://schemas.microsoft.com/office/drawing/2010/main"/>
                        </a:ext>
                      </a:extLst>
                    </a:blip>
                    <a:stretch>
                      <a:fillRect/>
                    </a:stretch>
                  </pic:blipFill>
                  <pic:spPr>
                    <a:xfrm>
                      <a:off x="0" y="0"/>
                      <a:ext cx="6724650" cy="1219200"/>
                    </a:xfrm>
                    <a:prstGeom prst="rect">
                      <a:avLst/>
                    </a:prstGeom>
                  </pic:spPr>
                </pic:pic>
              </a:graphicData>
            </a:graphic>
          </wp:inline>
        </w:drawing>
      </w:r>
    </w:p>
    <w:p xmlns:wp14="http://schemas.microsoft.com/office/word/2010/wordml" w:rsidP="3517E32E" w:rsidRDefault="00000000" w14:paraId="000000D0" wp14:textId="77777777">
      <w:pPr>
        <w:shd w:val="clear" w:color="auto" w:fill="F5F8FC"/>
        <w:spacing w:before="30" w:after="40" w:line="240" w:lineRule="auto"/>
        <w:ind w:left="216" w:right="216" w:firstLine="0"/>
        <w:jc w:val="both"/>
        <w:rPr>
          <w:sz w:val="22"/>
          <w:szCs w:val="22"/>
          <w:lang w:val="en-US"/>
        </w:rPr>
      </w:pPr>
      <w:r w:rsidRPr="3517E32E" w:rsidR="3517E32E">
        <w:rPr>
          <w:rFonts w:ascii="Arial" w:hAnsi="Arial" w:eastAsia="Arial" w:cs="Arial"/>
          <w:b w:val="0"/>
          <w:bCs w:val="0"/>
          <w:i w:val="1"/>
          <w:iCs w:val="1"/>
          <w:color w:val="5b677a"/>
          <w:sz w:val="22"/>
          <w:szCs w:val="22"/>
          <w:lang w:val="en-US"/>
        </w:rPr>
        <w:t xml:space="preserve">[Imagen "Evidencia de imágenes o servicios Docker usados para desplegar API y dashboard"]</w:t>
      </w:r>
      <w:r>
        <w:rPr>
          <w:rtl w:val="0"/>
        </w:rPr>
      </w:r>
    </w:p>
    <w:p xmlns:wp14="http://schemas.microsoft.com/office/word/2010/wordml" w:rsidRDefault="00000000" w14:paraId="000000D1"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8">
        <w:r>
          <w:rPr>
            <w:color w:val="1f5aa6"/>
            <w:sz w:val="22"/>
            <w:szCs w:val="22"/>
            <w:u w:val="single"/>
            <w:rtl w:val="0"/>
          </w:rPr>
          <w:t xml:space="preserve">Manual_Usuario.docx (commit 9c9203e)</w:t>
        </w:r>
      </w:hyperlink>
      <w:r>
        <w:rPr>
          <w:rtl w:val="0"/>
        </w:rPr>
      </w:r>
    </w:p>
    <w:p xmlns:wp14="http://schemas.microsoft.com/office/word/2010/wordml" w:rsidRDefault="00000000" w14:paraId="000000D2" wp14:textId="77777777">
      <w:pPr>
        <w:spacing w:before="0" w:after="20" w:line="240" w:lineRule="auto"/>
        <w:jc w:val="both"/>
        <w:rPr>
          <w:sz w:val="22"/>
          <w:szCs w:val="22"/>
        </w:rPr>
      </w:pPr>
      <w:r>
        <w:rPr>
          <w:rFonts w:ascii="Arial" w:hAnsi="Arial" w:eastAsia="Arial" w:cs="Arial"/>
          <w:b w:val="1"/>
          <w:bCs w:val="1"/>
          <w:i w:val="0"/>
          <w:iCs w:val="0"/>
          <w:color w:val="203040"/>
          <w:sz w:val="22"/>
          <w:szCs w:val="22"/>
          <w:rtl w:val="0"/>
        </w:rPr>
        <w:t xml:space="preserve">Manual: </w:t>
      </w:r>
      <w:hyperlink r:id="rId9">
        <w:r>
          <w:rPr>
            <w:color w:val="1f5aa6"/>
            <w:sz w:val="22"/>
            <w:szCs w:val="22"/>
            <w:u w:val="single"/>
            <w:rtl w:val="0"/>
          </w:rPr>
          <w:t xml:space="preserve">Manual_Instalacion.docx (commit 9c9203e)</w:t>
        </w:r>
      </w:hyperlink>
      <w:r>
        <w:rPr>
          <w:rtl w:val="0"/>
        </w:rPr>
      </w:r>
    </w:p>
    <w:p xmlns:wp14="http://schemas.microsoft.com/office/word/2010/wordml" w:rsidRDefault="00000000" w14:paraId="000000D3" wp14:textId="77777777">
      <w:pPr>
        <w:spacing w:before="0" w:after="20" w:line="240" w:lineRule="auto"/>
        <w:jc w:val="both"/>
        <w:rPr>
          <w:sz w:val="22"/>
          <w:szCs w:val="22"/>
        </w:rPr>
      </w:pPr>
      <w:r>
        <w:rPr>
          <w:b w:val="1"/>
          <w:bCs w:val="1"/>
          <w:sz w:val="22"/>
          <w:szCs w:val="22"/>
          <w:rtl w:val="0"/>
        </w:rPr>
        <w:t xml:space="preserve">Video</w:t>
      </w:r>
      <w:r>
        <w:rPr>
          <w:rFonts w:ascii="Arial" w:hAnsi="Arial" w:eastAsia="Arial" w:cs="Arial"/>
          <w:b w:val="1"/>
          <w:bCs w:val="1"/>
          <w:i w:val="0"/>
          <w:iCs w:val="0"/>
          <w:color w:val="203040"/>
          <w:sz w:val="22"/>
          <w:szCs w:val="22"/>
          <w:rtl w:val="0"/>
        </w:rPr>
        <w:t xml:space="preserve">: </w:t>
      </w:r>
      <w:r>
        <w:rPr>
          <w:rtl w:val="0"/>
        </w:rPr>
      </w:r>
    </w:p>
    <w:p xmlns:wp14="http://schemas.microsoft.com/office/word/2010/wordml" w:rsidRDefault="00000000" w14:paraId="000000D4" wp14:textId="77777777">
      <w:pPr>
        <w:pStyle w:val="Heading1"/>
        <w:jc w:val="both"/>
        <w:rPr>
          <w:sz w:val="22"/>
          <w:szCs w:val="22"/>
        </w:rPr>
      </w:pPr>
      <w:r>
        <w:rPr>
          <w:rtl w:val="0"/>
        </w:rPr>
      </w:r>
    </w:p>
    <w:p xmlns:wp14="http://schemas.microsoft.com/office/word/2010/wordml" w:rsidP="3517E32E" w:rsidRDefault="00000000" w14:paraId="000000D5" wp14:textId="77777777">
      <w:pPr>
        <w:pStyle w:val="Heading1"/>
        <w:jc w:val="both"/>
        <w:rPr>
          <w:sz w:val="22"/>
          <w:szCs w:val="22"/>
          <w:lang w:val="en-US"/>
        </w:rPr>
      </w:pPr>
      <w:r w:rsidRPr="3517E32E" w:rsidR="3517E32E">
        <w:rPr>
          <w:sz w:val="22"/>
          <w:szCs w:val="22"/>
          <w:lang w:val="en-US"/>
        </w:rPr>
        <w:t>9. Reporte de trabajo en equipo</w:t>
      </w:r>
    </w:p>
    <w:tbl>
      <w:tblPr>
        <w:tblStyle w:val="Table7"/>
        <w:tblW w:w="10570" w:type="dxa"/>
        <w:jc w:val="center"/>
        <w:tblBorders>
          <w:top w:val="single" w:color="b8c6d8" w:sz="4" w:space="0"/>
          <w:left w:val="single" w:color="b8c6d8" w:sz="4" w:space="0"/>
          <w:bottom w:val="single" w:color="b8c6d8" w:sz="4" w:space="0"/>
          <w:right w:val="single" w:color="b8c6d8" w:sz="4" w:space="0"/>
          <w:insideH w:val="single" w:color="b8c6d8" w:sz="4" w:space="0"/>
          <w:insideV w:val="single" w:color="b8c6d8" w:sz="4" w:space="0"/>
        </w:tblBorders>
        <w:tblLayout w:type="fixed"/>
        <w:tblLook w:val="0400"/>
        <w:tblPrChange w:author="" w:id="1980588618">
          <w:tblPr/>
        </w:tblPrChange>
      </w:tblPr>
      <w:tblGrid>
        <w:gridCol w:w="5285"/>
        <w:gridCol w:w="5285"/>
      </w:tblGrid>
      <w:tr xmlns:wp14="http://schemas.microsoft.com/office/word/2010/wordml" w:rsidTr="3517E32E" w14:paraId="7462DB71" wp14:textId="77777777">
        <w:trPr>
          <w:cantSplit w:val="0"/>
          <w:tblHeader w:val="1"/>
        </w:trPr>
        <w:tc>
          <w:tcPr>
            <w:shd w:val="clear" w:color="auto" w:fill="D5E5F5"/>
            <w:tcMar>
              <w:top w:w="45.0" w:type="dxa"/>
              <w:bottom w:w="45.0" w:type="dxa"/>
            </w:tcMar>
            <w:vAlign w:val="center"/>
          </w:tcPr>
          <w:p w:rsidP="3517E32E" w:rsidRDefault="00000000" w14:paraId="000000D6"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Actividad</w:t>
            </w:r>
            <w:r>
              <w:rPr>
                <w:rtl w:val="0"/>
              </w:rPr>
            </w:r>
          </w:p>
        </w:tc>
        <w:tc>
          <w:tcPr>
            <w:shd w:val="clear" w:color="auto" w:fill="D5E5F5"/>
            <w:tcMar>
              <w:top w:w="45.0" w:type="dxa"/>
              <w:bottom w:w="45.0" w:type="dxa"/>
            </w:tcMar>
            <w:vAlign w:val="center"/>
          </w:tcPr>
          <w:p w:rsidP="3517E32E" w:rsidRDefault="00000000" w14:paraId="000000D7" wp14:textId="77777777">
            <w:pPr>
              <w:spacing w:before="0" w:after="0" w:line="240" w:lineRule="auto"/>
              <w:jc w:val="both"/>
              <w:rPr>
                <w:sz w:val="22"/>
                <w:szCs w:val="22"/>
                <w:lang w:val="en-US"/>
              </w:rPr>
            </w:pPr>
            <w:r w:rsidRPr="3517E32E" w:rsidR="3517E32E">
              <w:rPr>
                <w:rFonts w:ascii="Arial" w:hAnsi="Arial" w:eastAsia="Arial" w:cs="Arial"/>
                <w:b w:val="1"/>
                <w:bCs w:val="1"/>
                <w:i w:val="0"/>
                <w:iCs w:val="0"/>
                <w:color w:val="203040"/>
                <w:sz w:val="22"/>
                <w:szCs w:val="22"/>
                <w:lang w:val="en-US"/>
              </w:rPr>
              <w:t xml:space="preserve">Responsable(s) / evidencia</w:t>
            </w:r>
            <w:r>
              <w:rPr>
                <w:rtl w:val="0"/>
              </w:rPr>
            </w:r>
          </w:p>
        </w:tc>
      </w:tr>
      <w:tr xmlns:wp14="http://schemas.microsoft.com/office/word/2010/wordml" w:rsidTr="3517E32E" w14:paraId="7A69409C" wp14:textId="77777777">
        <w:trPr>
          <w:cantSplit w:val="0"/>
          <w:tblHeader w:val="0"/>
        </w:trPr>
        <w:tc>
          <w:tcPr>
            <w:tcMar>
              <w:top w:w="45.0" w:type="dxa"/>
              <w:bottom w:w="45.0" w:type="dxa"/>
            </w:tcMar>
            <w:vAlign w:val="top"/>
          </w:tcPr>
          <w:p w:rsidP="3517E32E" w:rsidRDefault="00000000" w14:paraId="000000D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Problema, pregunta de negocio, canal endémico y conclusiones</w:t>
            </w:r>
            <w:r>
              <w:rPr>
                <w:rtl w:val="0"/>
              </w:rPr>
            </w:r>
          </w:p>
        </w:tc>
        <w:tc>
          <w:tcPr>
            <w:tcMar>
              <w:top w:w="45.0" w:type="dxa"/>
              <w:bottom w:w="45.0" w:type="dxa"/>
            </w:tcMar>
            <w:vAlign w:val="top"/>
          </w:tcPr>
          <w:p w:rsidRDefault="00000000" w14:paraId="000000D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Todos</w:t>
            </w:r>
            <w:r>
              <w:rPr>
                <w:rtl w:val="0"/>
              </w:rPr>
            </w:r>
          </w:p>
        </w:tc>
      </w:tr>
      <w:tr xmlns:wp14="http://schemas.microsoft.com/office/word/2010/wordml" w:rsidTr="3517E32E" w14:paraId="58DC2706" wp14:textId="77777777">
        <w:trPr>
          <w:cantSplit w:val="0"/>
          <w:tblHeader w:val="0"/>
        </w:trPr>
        <w:tc>
          <w:tcPr>
            <w:shd w:val="clear" w:color="auto" w:fill="FAFBFC"/>
            <w:tcMar>
              <w:top w:w="45.0" w:type="dxa"/>
              <w:bottom w:w="45.0" w:type="dxa"/>
            </w:tcMar>
            <w:vAlign w:val="top"/>
          </w:tcPr>
          <w:p w:rsidP="3517E32E" w:rsidRDefault="00000000" w14:paraId="000000DA"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Descarga/consolidación SIVIGILA y preparación de datos</w:t>
            </w:r>
            <w:r>
              <w:rPr>
                <w:rtl w:val="0"/>
              </w:rPr>
            </w:r>
          </w:p>
        </w:tc>
        <w:tc>
          <w:tcPr>
            <w:shd w:val="clear" w:color="auto" w:fill="FAFBFC"/>
            <w:tcMar>
              <w:top w:w="45.0" w:type="dxa"/>
              <w:bottom w:w="45.0" w:type="dxa"/>
            </w:tcMar>
            <w:vAlign w:val="top"/>
          </w:tcPr>
          <w:p w:rsidRDefault="00000000" w14:paraId="000000DB" wp14:textId="77777777">
            <w:pPr>
              <w:spacing w:before="0" w:after="0" w:line="240" w:lineRule="auto"/>
              <w:jc w:val="both"/>
              <w:rPr>
                <w:sz w:val="22"/>
                <w:szCs w:val="22"/>
              </w:rPr>
            </w:pPr>
            <w:r>
              <w:rPr>
                <w:rtl w:val="0"/>
              </w:rPr>
            </w:r>
          </w:p>
        </w:tc>
      </w:tr>
      <w:tr xmlns:wp14="http://schemas.microsoft.com/office/word/2010/wordml" w:rsidTr="3517E32E" w14:paraId="5CF69933" wp14:textId="77777777">
        <w:trPr>
          <w:cantSplit w:val="0"/>
          <w:tblHeader w:val="0"/>
        </w:trPr>
        <w:tc>
          <w:tcPr>
            <w:tcMar>
              <w:top w:w="45.0" w:type="dxa"/>
              <w:bottom w:w="45.0" w:type="dxa"/>
            </w:tcMar>
            <w:vAlign w:val="top"/>
          </w:tcPr>
          <w:p w:rsidP="3517E32E" w:rsidRDefault="00000000" w14:paraId="000000DC" wp14:textId="77777777">
            <w:pPr>
              <w:spacing w:before="0" w:after="0" w:line="240" w:lineRule="auto"/>
              <w:jc w:val="both"/>
              <w:rPr>
                <w:sz w:val="22"/>
                <w:szCs w:val="22"/>
                <w:lang w:val="en-US"/>
              </w:rPr>
            </w:pPr>
            <w:r w:rsidRPr="3517E32E" w:rsidR="3517E32E">
              <w:rPr>
                <w:sz w:val="22"/>
                <w:szCs w:val="22"/>
                <w:lang w:val="en-US"/>
              </w:rPr>
              <w:t>Empaquetado de la solución</w:t>
            </w:r>
          </w:p>
        </w:tc>
        <w:tc>
          <w:tcPr>
            <w:tcMar>
              <w:top w:w="45.0" w:type="dxa"/>
              <w:bottom w:w="45.0" w:type="dxa"/>
            </w:tcMar>
            <w:vAlign w:val="top"/>
          </w:tcPr>
          <w:p w:rsidRDefault="00000000" w14:paraId="000000DD"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Sergio Ballesteros.</w:t>
            </w:r>
            <w:r>
              <w:rPr>
                <w:rtl w:val="0"/>
              </w:rPr>
            </w:r>
          </w:p>
        </w:tc>
      </w:tr>
      <w:tr xmlns:wp14="http://schemas.microsoft.com/office/word/2010/wordml" w:rsidTr="3517E32E" w14:paraId="69CABA2E" wp14:textId="77777777">
        <w:trPr>
          <w:cantSplit w:val="0"/>
          <w:tblHeader w:val="0"/>
        </w:trPr>
        <w:tc>
          <w:tcPr>
            <w:shd w:val="clear" w:color="auto" w:fill="FAFBFC"/>
            <w:tcMar>
              <w:top w:w="45.0" w:type="dxa"/>
              <w:bottom w:w="45.0" w:type="dxa"/>
            </w:tcMar>
            <w:vAlign w:val="top"/>
          </w:tcPr>
          <w:p w:rsidP="3517E32E" w:rsidRDefault="00000000" w14:paraId="000000DE"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DVC, remoto S3 y estructura/versionamiento del repositorio</w:t>
            </w:r>
            <w:r>
              <w:rPr>
                <w:rtl w:val="0"/>
              </w:rPr>
            </w:r>
          </w:p>
        </w:tc>
        <w:tc>
          <w:tcPr>
            <w:shd w:val="clear" w:color="auto" w:fill="FAFBFC"/>
            <w:tcMar>
              <w:top w:w="45.0" w:type="dxa"/>
              <w:bottom w:w="45.0" w:type="dxa"/>
            </w:tcMar>
            <w:vAlign w:val="top"/>
          </w:tcPr>
          <w:p w:rsidRDefault="00000000" w14:paraId="000000DF"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517E32E" w14:paraId="7FC1F771" wp14:textId="77777777">
        <w:trPr>
          <w:cantSplit w:val="0"/>
          <w:tblHeader w:val="0"/>
        </w:trPr>
        <w:tc>
          <w:tcPr>
            <w:tcMar>
              <w:top w:w="45.0" w:type="dxa"/>
              <w:bottom w:w="45.0" w:type="dxa"/>
            </w:tcMar>
            <w:vAlign w:val="top"/>
          </w:tcPr>
          <w:p w:rsidP="3517E32E" w:rsidRDefault="00000000" w14:paraId="000000E0"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Modelado, comparación y correcciones de métricas T+1/T+2</w:t>
            </w:r>
            <w:r>
              <w:rPr>
                <w:rtl w:val="0"/>
              </w:rPr>
            </w:r>
          </w:p>
        </w:tc>
        <w:tc>
          <w:tcPr>
            <w:tcMar>
              <w:top w:w="45.0" w:type="dxa"/>
              <w:bottom w:w="45.0" w:type="dxa"/>
            </w:tcMar>
            <w:vAlign w:val="top"/>
          </w:tcPr>
          <w:p w:rsidRDefault="00000000" w14:paraId="000000E1" wp14:textId="77777777">
            <w:pPr>
              <w:spacing w:before="0" w:after="0" w:line="240" w:lineRule="auto"/>
              <w:jc w:val="both"/>
              <w:rPr>
                <w:sz w:val="22"/>
                <w:szCs w:val="22"/>
              </w:rPr>
            </w:pPr>
            <w:r>
              <w:rPr>
                <w:rtl w:val="0"/>
              </w:rPr>
            </w:r>
          </w:p>
        </w:tc>
      </w:tr>
      <w:tr xmlns:wp14="http://schemas.microsoft.com/office/word/2010/wordml" w:rsidTr="3517E32E" w14:paraId="7296ACF7" wp14:textId="77777777">
        <w:trPr>
          <w:cantSplit w:val="0"/>
          <w:tblHeader w:val="0"/>
        </w:trPr>
        <w:tc>
          <w:tcPr>
            <w:shd w:val="clear" w:color="auto" w:fill="FAFBFC"/>
            <w:tcMar>
              <w:top w:w="45.0" w:type="dxa"/>
              <w:bottom w:w="45.0" w:type="dxa"/>
            </w:tcMar>
            <w:vAlign w:val="top"/>
          </w:tcPr>
          <w:p w:rsidP="3517E32E" w:rsidRDefault="00000000" w14:paraId="000000E2"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MLflow y evidencias de experimentación</w:t>
            </w:r>
            <w:r>
              <w:rPr>
                <w:rtl w:val="0"/>
              </w:rPr>
            </w:r>
          </w:p>
        </w:tc>
        <w:tc>
          <w:tcPr>
            <w:shd w:val="clear" w:color="auto" w:fill="FAFBFC"/>
            <w:tcMar>
              <w:top w:w="45.0" w:type="dxa"/>
              <w:bottom w:w="45.0" w:type="dxa"/>
            </w:tcMar>
            <w:vAlign w:val="top"/>
          </w:tcPr>
          <w:p w:rsidRDefault="00000000" w14:paraId="000000E3"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Nicolas Lara y Stevan Ramirez</w:t>
            </w:r>
            <w:r>
              <w:rPr>
                <w:rtl w:val="0"/>
              </w:rPr>
            </w:r>
          </w:p>
        </w:tc>
      </w:tr>
      <w:tr xmlns:wp14="http://schemas.microsoft.com/office/word/2010/wordml" w:rsidTr="3517E32E" w14:paraId="78C7ABF3" wp14:textId="77777777">
        <w:trPr>
          <w:cantSplit w:val="0"/>
          <w:tblHeader w:val="0"/>
        </w:trPr>
        <w:tc>
          <w:tcPr>
            <w:tcMar>
              <w:top w:w="45.0" w:type="dxa"/>
              <w:bottom w:w="45.0" w:type="dxa"/>
            </w:tcMar>
            <w:vAlign w:val="top"/>
          </w:tcPr>
          <w:p w:rsidP="3517E32E" w:rsidRDefault="00000000" w14:paraId="000000E4"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Dashboard e integración con API</w:t>
            </w:r>
            <w:r>
              <w:rPr>
                <w:rtl w:val="0"/>
              </w:rPr>
            </w:r>
          </w:p>
        </w:tc>
        <w:tc>
          <w:tcPr>
            <w:tcMar>
              <w:top w:w="45.0" w:type="dxa"/>
              <w:bottom w:w="45.0" w:type="dxa"/>
            </w:tcMar>
            <w:vAlign w:val="top"/>
          </w:tcPr>
          <w:p w:rsidRDefault="00000000" w14:paraId="000000E5"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Mauricio Rodriguez</w:t>
            </w:r>
            <w:r>
              <w:rPr>
                <w:rtl w:val="0"/>
              </w:rPr>
            </w:r>
          </w:p>
        </w:tc>
      </w:tr>
      <w:tr xmlns:wp14="http://schemas.microsoft.com/office/word/2010/wordml" w:rsidTr="3517E32E" w14:paraId="581F5774" wp14:textId="77777777">
        <w:trPr>
          <w:cantSplit w:val="0"/>
          <w:tblHeader w:val="0"/>
        </w:trPr>
        <w:tc>
          <w:tcPr>
            <w:shd w:val="clear" w:color="auto" w:fill="FAFBFC"/>
            <w:tcMar>
              <w:top w:w="45.0" w:type="dxa"/>
              <w:bottom w:w="45.0" w:type="dxa"/>
            </w:tcMar>
            <w:vAlign w:val="top"/>
          </w:tcPr>
          <w:p w:rsidP="3517E32E" w:rsidRDefault="00000000" w14:paraId="000000E6"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Documentación Entrega 3, manuales y guion</w:t>
            </w:r>
            <w:r>
              <w:rPr>
                <w:rtl w:val="0"/>
              </w:rPr>
            </w:r>
          </w:p>
        </w:tc>
        <w:tc>
          <w:tcPr>
            <w:shd w:val="clear" w:color="auto" w:fill="FAFBFC"/>
            <w:tcMar>
              <w:top w:w="45.0" w:type="dxa"/>
              <w:bottom w:w="45.0" w:type="dxa"/>
            </w:tcMar>
            <w:vAlign w:val="top"/>
          </w:tcPr>
          <w:p w:rsidRDefault="00000000" w14:paraId="000000E7" wp14:textId="77777777">
            <w:pPr>
              <w:spacing w:before="0" w:after="0" w:line="240" w:lineRule="auto"/>
              <w:jc w:val="both"/>
              <w:rPr>
                <w:sz w:val="22"/>
                <w:szCs w:val="22"/>
              </w:rPr>
            </w:pPr>
            <w:r>
              <w:rPr>
                <w:sz w:val="22"/>
                <w:szCs w:val="22"/>
                <w:rtl w:val="0"/>
              </w:rPr>
              <w:t xml:space="preserve">Todos</w:t>
            </w:r>
          </w:p>
        </w:tc>
      </w:tr>
      <w:tr xmlns:wp14="http://schemas.microsoft.com/office/word/2010/wordml" w:rsidTr="3517E32E" w14:paraId="13C9C9DF" wp14:textId="77777777">
        <w:trPr>
          <w:cantSplit w:val="0"/>
          <w:tblHeader w:val="0"/>
        </w:trPr>
        <w:tc>
          <w:tcPr>
            <w:tcMar>
              <w:top w:w="45.0" w:type="dxa"/>
              <w:bottom w:w="45.0" w:type="dxa"/>
            </w:tcMar>
            <w:vAlign w:val="top"/>
          </w:tcPr>
          <w:p w:rsidP="3517E32E" w:rsidRDefault="00000000" w14:paraId="000000E8" wp14:textId="77777777">
            <w:pPr>
              <w:spacing w:before="0" w:after="0" w:line="240" w:lineRule="auto"/>
              <w:jc w:val="both"/>
              <w:rPr>
                <w:sz w:val="22"/>
                <w:szCs w:val="22"/>
                <w:lang w:val="en-US"/>
              </w:rPr>
            </w:pPr>
            <w:r w:rsidRPr="3517E32E" w:rsidR="3517E32E">
              <w:rPr>
                <w:rFonts w:ascii="Arial" w:hAnsi="Arial" w:eastAsia="Arial" w:cs="Arial"/>
                <w:b w:val="0"/>
                <w:bCs w:val="0"/>
                <w:i w:val="0"/>
                <w:iCs w:val="0"/>
                <w:color w:val="203040"/>
                <w:sz w:val="22"/>
                <w:szCs w:val="22"/>
                <w:lang w:val="en-US"/>
              </w:rPr>
              <w:t xml:space="preserve">Integración, revisión y cierre del reporte/video</w:t>
            </w:r>
            <w:r>
              <w:rPr>
                <w:rtl w:val="0"/>
              </w:rPr>
            </w:r>
          </w:p>
        </w:tc>
        <w:tc>
          <w:tcPr>
            <w:tcMar>
              <w:top w:w="45.0" w:type="dxa"/>
              <w:bottom w:w="45.0" w:type="dxa"/>
            </w:tcMar>
            <w:vAlign w:val="top"/>
          </w:tcPr>
          <w:p w:rsidRDefault="00000000" w14:paraId="000000E9" wp14:textId="77777777">
            <w:pPr>
              <w:spacing w:before="0" w:after="0" w:line="240" w:lineRule="auto"/>
              <w:jc w:val="both"/>
              <w:rPr>
                <w:sz w:val="22"/>
                <w:szCs w:val="22"/>
              </w:rPr>
            </w:pPr>
            <w:r>
              <w:rPr>
                <w:rFonts w:ascii="Arial" w:hAnsi="Arial" w:eastAsia="Arial" w:cs="Arial"/>
                <w:b w:val="0"/>
                <w:bCs w:val="0"/>
                <w:i w:val="0"/>
                <w:iCs w:val="0"/>
                <w:color w:val="203040"/>
                <w:sz w:val="22"/>
                <w:szCs w:val="22"/>
                <w:rtl w:val="0"/>
              </w:rPr>
              <w:t xml:space="preserve">Todos.</w:t>
            </w:r>
            <w:r>
              <w:rPr>
                <w:rtl w:val="0"/>
              </w:rPr>
            </w:r>
          </w:p>
        </w:tc>
      </w:tr>
    </w:tbl>
    <w:p xmlns:wp14="http://schemas.microsoft.com/office/word/2010/wordml" w:rsidP="3517E32E" w:rsidRDefault="00000000" w14:paraId="000000EA" wp14:textId="7777777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p w:rsidR="3517E32E" w:rsidP="3517E32E" w:rsidRDefault="3517E32E" w14:paraId="7DCA3683" w14:textId="456BAF87">
      <w:pPr>
        <w:keepNext w:val="0"/>
        <w:keepLines w:val="0"/>
        <w:pageBreakBefore w:val="0"/>
        <w:widowControl w:val="0"/>
        <w:pBdr>
          <w:top w:val="nil" w:color="FF000000" w:sz="0" w:space="0"/>
          <w:left w:val="nil" w:color="FF000000" w:sz="0" w:space="0"/>
          <w:bottom w:val="nil" w:color="FF000000" w:sz="0" w:space="0"/>
          <w:right w:val="nil" w:color="FF000000" w:sz="0" w:space="0"/>
          <w:between w:val="nil" w:color="FF000000" w:sz="0" w:space="0"/>
        </w:pBdr>
        <w:shd w:val="clear" w:color="auto" w:fill="auto"/>
        <w:spacing w:before="0" w:after="0" w:line="276" w:lineRule="auto"/>
        <w:ind w:left="0" w:right="0" w:firstLine="0"/>
        <w:jc w:val="both"/>
        <w:rPr>
          <w:sz w:val="22"/>
          <w:szCs w:val="22"/>
        </w:rPr>
      </w:pPr>
    </w:p>
    <w:sectPr>
      <w:headerReference w:type="default" r:id="rId10"/>
      <w:headerReference w:type="first" r:id="rId11"/>
      <w:footerReference w:type="default" r:id="rId12"/>
      <w:footerReference w:type="first" r:id="rId13"/>
      <w:pgSz w:w="12240" w:h="15840" w:orient="portrait"/>
      <w:pgMar w:top="749" w:right="835" w:bottom="691" w:left="835" w:header="317" w:footer="360"/>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Noto Sans Symbols">
    <w:embedRegular w:fontKey="{00000000-0000-0000-0000-000000000000}" w:subsetted="0" r:id="rId1"/>
    <w:embedBold w:fontKey="{00000000-0000-0000-0000-000000000000}" w:subsetted="0" r:id="rId2"/>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D"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6b7280"/>
        <w:sz w:val="14"/>
        <w:szCs w:val="14"/>
        <w:u w:val="none"/>
        <w:shd w:val="clear" w:fill="auto"/>
        <w:vertAlign w:val="baseline"/>
        <w:rtl w:val="0"/>
      </w:rPr>
      <w:t xml:space="preserve">Página </w:t>
    </w:r>
    <w:r>
      <w:rPr>
        <w:rFonts w:ascii="Arial" w:hAnsi="Arial" w:eastAsia="Arial" w:cs="Arial"/>
        <w:b w:val="0"/>
        <w:bCs w:val="0"/>
        <w:i w:val="0"/>
        <w:iCs w:val="0"/>
        <w:smallCaps w:val="0"/>
        <w:strike w:val="0"/>
        <w:color w:val="6b7280"/>
        <w:sz w:val="14"/>
        <w:szCs w:val="14"/>
        <w:u w:val="none"/>
        <w:shd w:val="clear" w:fill="auto"/>
        <w:vertAlign w:val="baseline"/>
      </w:rPr>
      <w:fldChar w:fldCharType="begin"/>
    </w:r>
    <w:r>
      <w:rPr>
        <w:rFonts w:ascii="Arial" w:hAnsi="Arial" w:eastAsia="Arial" w:cs="Arial"/>
        <w:b w:val="0"/>
        <w:bCs w:val="0"/>
        <w:i w:val="0"/>
        <w:iCs w:val="0"/>
        <w:smallCaps w:val="0"/>
        <w:strike w:val="0"/>
        <w:color w:val="6b7280"/>
        <w:sz w:val="14"/>
        <w:szCs w:val="14"/>
        <w:u w:val="none"/>
        <w:shd w:val="clear" w:fill="auto"/>
        <w:vertAlign w:val="baseline"/>
      </w:rPr>
      <w:instrText xml:space="preserve">PAGE</w:instrText>
    </w:r>
    <w:r>
      <w:rPr>
        <w:rFonts w:ascii="Arial" w:hAnsi="Arial" w:eastAsia="Arial" w:cs="Arial"/>
        <w:b w:val="0"/>
        <w:bCs w:val="0"/>
        <w:i w:val="0"/>
        <w:iCs w:val="0"/>
        <w:smallCaps w:val="0"/>
        <w:strike w:val="0"/>
        <w:color w:val="6b7280"/>
        <w:sz w:val="14"/>
        <w:szCs w:val="14"/>
        <w:u w:val="none"/>
        <w:shd w:val="clear" w:fill="auto"/>
        <w:vertAlign w:val="baseline"/>
      </w:rPr>
      <w:fldChar w:fldCharType="separate"/>
    </w:r>
    <w:r>
      <w:rPr>
        <w:rFonts w:ascii="Arial" w:hAnsi="Arial" w:eastAsia="Arial" w:cs="Arial"/>
        <w:b w:val="0"/>
        <w:bCs w:val="0"/>
        <w:i w:val="0"/>
        <w:iCs w:val="0"/>
        <w:smallCaps w:val="0"/>
        <w:strike w:val="0"/>
        <w:color w:val="6b7280"/>
        <w:sz w:val="14"/>
        <w:szCs w:val="14"/>
        <w:u w:val="none"/>
        <w:shd w:val="clear" w:fill="auto"/>
        <w:vertAlign w:val="baseline"/>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E"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B"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Arial" w:hAnsi="Arial" w:eastAsia="Arial" w:cs="Arial"/>
        <w:b w:val="0"/>
        <w:bCs w:val="0"/>
        <w:i w:val="0"/>
        <w:iCs w:val="0"/>
        <w:smallCaps w:val="0"/>
        <w:strike w:val="0"/>
        <w:color w:val="203040"/>
        <w:sz w:val="16"/>
        <w:szCs w:val="16"/>
        <w:u w:val="none"/>
        <w:shd w:val="clear" w:fill="auto"/>
        <w:vertAlign w:val="baseline"/>
      </w:rPr>
    </w:pPr>
    <w:r>
      <w:rPr>
        <w:rFonts w:ascii="Arial" w:hAnsi="Arial" w:eastAsia="Arial" w:cs="Arial"/>
        <w:b w:val="0"/>
        <w:bCs w:val="0"/>
        <w:i w:val="0"/>
        <w:iCs w:val="0"/>
        <w:smallCaps w:val="0"/>
        <w:strike w:val="0"/>
        <w:color w:val="7a8798"/>
        <w:sz w:val="13"/>
        <w:szCs w:val="13"/>
        <w:u w:val="none"/>
        <w:shd w:val="clear" w:fill="auto"/>
        <w:vertAlign w:val="baseline"/>
        <w:rtl w:val="0"/>
      </w:rPr>
      <w:t xml:space="preserve">SAT-Dengue· Entrega 3</w:t>
    </w: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EC"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left"/>
      <w:rPr>
        <w:rFonts w:ascii="Arial" w:hAnsi="Arial" w:eastAsia="Arial" w:cs="Arial"/>
        <w:b w:val="0"/>
        <w:bCs w:val="0"/>
        <w:i w:val="0"/>
        <w:iCs w:val="0"/>
        <w:smallCaps w:val="0"/>
        <w:strike w:val="0"/>
        <w:color w:val="203040"/>
        <w:sz w:val="16"/>
        <w:szCs w:val="16"/>
        <w:u w:val="none"/>
        <w:shd w:val="clear" w:fill="auto"/>
        <w:vertAlign w:val="baseline"/>
      </w:rPr>
    </w:pP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hAnsi="Noto Sans Symbols" w:eastAsia="Noto Sans Symbols" w:cs="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nsid w:val="51dcba24"/>
  </w:abstractNum>
  <w:abstractNum w:abstractNumId="2">
    <w:nsid w:val="2FD07F1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nsid w:val="2465A53B"/>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nsid w:val="37BF227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nsid w:val="4F763AFD"/>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6">
    <w:nsid w:val="3FF5E29A"/>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abstractNumId w:val="1"/>
  </w:num>
  <w:num w:numId="2">
    <w:abstractNumId w:val="2"/>
  </w:num>
  <w:num w:numId="3">
    <w:abstractNumId w:val="3"/>
  </w:num>
  <w:num w:numId="5">
    <w:abstractNumId w:val="4"/>
  </w:num>
  <w:num w:numId="6">
    <w:abstractNumId w:val="5"/>
  </w:num>
  <w:num w:numId="7">
    <w:abstractNumId w:val="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1EC62D03"/>
  <w15:docId w15:val="{FEAA218F-91C6-4F13-B6BB-94DF92502913}"/>
  <w:rsids>
    <w:rsidRoot w:val="00000000"/>
    <w:rsid w:val="00000000"/>
    <w:rsid w:val="05BA0414"/>
    <w:rsid w:val="1EDBF51F"/>
    <w:rsid w:val="22E094B4"/>
    <w:rsid w:val="2356B00F"/>
    <w:rsid w:val="2BFD8387"/>
    <w:rsid w:val="2BFD8387"/>
    <w:rsid w:val="2CB6CBEA"/>
    <w:rsid w:val="3517E32E"/>
    <w:rsid w:val="4B6AEEB2"/>
    <w:rsid w:val="5D870C70"/>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Arial" w:hAnsi="Arial" w:eastAsia="Arial" w:cs="Arial"/>
        <w:color w:val="203040"/>
        <w:sz w:val="16"/>
        <w:szCs w:val="16"/>
        <w:lang w:val="en"/>
      </w:rPr>
    </w:rPrDefault>
    <w:pPrDefault>
      <w:pPr>
        <w:spacing w:after="40" w:lineRule="auto"/>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after="40" w:lineRule="auto"/>
    </w:pPr>
    <w:rPr>
      <w:rFonts w:ascii="Arial" w:hAnsi="Arial" w:eastAsia="Arial" w:cs="Arial"/>
      <w:b w:val="1"/>
      <w:bCs w:val="1"/>
      <w:color w:val="1f5aa6"/>
      <w:sz w:val="29"/>
      <w:szCs w:val="29"/>
    </w:rPr>
  </w:style>
  <w:style w:type="paragraph" w:styleId="Heading2">
    <w:name w:val="heading 2"/>
    <w:basedOn w:val="Normal"/>
    <w:next w:val="Normal"/>
    <w:pPr>
      <w:keepNext w:val="1"/>
      <w:keepLines w:val="1"/>
      <w:spacing w:before="60" w:after="40" w:lineRule="auto"/>
    </w:pPr>
    <w:rPr>
      <w:rFonts w:ascii="Arial" w:hAnsi="Arial" w:eastAsia="Arial" w:cs="Arial"/>
      <w:b w:val="1"/>
      <w:bCs w:val="1"/>
      <w:color w:val="1f5aa6"/>
      <w:sz w:val="21"/>
      <w:szCs w:val="21"/>
    </w:rPr>
  </w:style>
  <w:style w:type="paragraph" w:styleId="Heading3">
    <w:name w:val="heading 3"/>
    <w:basedOn w:val="Normal"/>
    <w:next w:val="Normal"/>
    <w:pPr>
      <w:keepNext w:val="1"/>
      <w:keepLines w:val="1"/>
      <w:spacing w:before="60" w:after="40" w:lineRule="auto"/>
    </w:pPr>
    <w:rPr>
      <w:rFonts w:ascii="Arial" w:hAnsi="Arial" w:eastAsia="Arial" w:cs="Arial"/>
      <w:b w:val="1"/>
      <w:bCs w:val="1"/>
      <w:color w:val="1f5aa6"/>
      <w:sz w:val="18"/>
      <w:szCs w:val="18"/>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pBdr>
        <w:bottom w:val="single" w:color="4f81bd" w:sz="8" w:space="4"/>
      </w:pBdr>
      <w:spacing w:after="300" w:line="240" w:lineRule="auto"/>
    </w:pPr>
    <w:rPr>
      <w:rFonts w:ascii="Calibri" w:hAnsi="Calibri" w:eastAsia="Calibri" w:cs="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val="1"/>
      <w:bCs w:val="1"/>
      <w:color w:val="4f81bd" w:themeColor="accent1"/>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spacing w:after="10" w:line="240" w:lineRule="auto"/>
      <w:ind w:left="259" w:hanging="173"/>
      <w:contextualSpacing w:val="1"/>
    </w:pPr>
    <w:rPr>
      <w:rFonts w:ascii="Arial" w:hAnsi="Arial" w:eastAsia="Arial"/>
      <w:sz w:val="16"/>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hAnsiTheme="majorHAnsi" w:eastAsiaTheme="majorEastAsia" w:cstheme="majorBid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hAnsiTheme="majorHAnsi" w:eastAsiaTheme="majorEastAsia" w:cstheme="majorBid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hAnsiTheme="majorHAnsi" w:eastAsiaTheme="majorEastAsia" w:cstheme="majorBid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hAnsiTheme="majorHAnsi" w:eastAsiaTheme="majorEastAsia" w:cstheme="majorBid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hAnsiTheme="majorHAnsi" w:eastAsiaTheme="majorEastAsia" w:cstheme="majorBid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left w:val="nil" w:sz="0" w:space="0"/>
          <w:right w:val="nil" w:sz="0" w:space="0"/>
          <w:insideH w:val="nil" w:sz="0" w:space="0"/>
          <w:insideV w:val="nil" w:sz="0" w:space="0"/>
        </w:tcBorders>
        <w:shd w:val="clear" w:color="auto" w:fill="c0c0c0" w:themeFill="text1" w:themeFillTint="00003F"/>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left w:val="nil" w:sz="0" w:space="0"/>
          <w:right w:val="nil" w:sz="0" w:space="0"/>
          <w:insideH w:val="nil" w:sz="0" w:space="0"/>
          <w:insideV w:val="nil" w:sz="0" w:space="0"/>
        </w:tcBorders>
        <w:shd w:val="clear" w:color="auto" w:fill="d3dfee" w:themeFill="accent1" w:themeFillTint="00003F"/>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left w:val="nil" w:sz="0" w:space="0"/>
          <w:right w:val="nil" w:sz="0" w:space="0"/>
          <w:insideH w:val="nil" w:sz="0" w:space="0"/>
          <w:insideV w:val="nil" w:sz="0" w:space="0"/>
        </w:tcBorders>
        <w:shd w:val="clear" w:color="auto" w:fill="efd3d2" w:themeFill="accent2" w:themeFillTint="00003F"/>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left w:val="nil" w:sz="0" w:space="0"/>
          <w:right w:val="nil" w:sz="0" w:space="0"/>
          <w:insideH w:val="nil" w:sz="0" w:space="0"/>
          <w:insideV w:val="nil" w:sz="0" w:space="0"/>
        </w:tcBorders>
        <w:shd w:val="clear" w:color="auto" w:fill="e6eed5" w:themeFill="accent3" w:themeFillTint="00003F"/>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left w:val="nil" w:sz="0" w:space="0"/>
          <w:right w:val="nil" w:sz="0" w:space="0"/>
          <w:insideH w:val="nil" w:sz="0" w:space="0"/>
          <w:insideV w:val="nil" w:sz="0" w:space="0"/>
        </w:tcBorders>
        <w:shd w:val="clear" w:color="auto" w:fill="dfd8e8" w:themeFill="accent4" w:themeFillTint="00003F"/>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left w:val="nil" w:sz="0" w:space="0"/>
          <w:right w:val="nil" w:sz="0" w:space="0"/>
          <w:insideH w:val="nil" w:sz="0" w:space="0"/>
          <w:insideV w:val="nil" w:sz="0" w:space="0"/>
        </w:tcBorders>
        <w:shd w:val="clear" w:color="auto" w:fill="d2eaf1" w:themeFill="accent5" w:themeFillTint="00003F"/>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left w:val="nil" w:sz="0" w:space="0"/>
          <w:right w:val="nil" w:sz="0" w:space="0"/>
          <w:insideH w:val="nil" w:sz="0" w:space="0"/>
          <w:insideV w:val="nil" w:sz="0" w:space="0"/>
        </w:tcBorders>
        <w:shd w:val="clear" w:color="auto" w:fill="fde4d0" w:themeFill="accent6" w:themeFillTint="00003F"/>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bacc6" w:themeFill="accent5"/>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0000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0000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0000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0000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0000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0000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0000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0000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0000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0000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0000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0000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0000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0000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shd w:val="clear" w:color="auto" w:fill="000000" w:themeFill="text1"/>
      </w:tcPr>
    </w:tblStylePr>
    <w:tblStylePr w:type="lastRow">
      <w:pPr>
        <w:spacing w:before="0" w:after="0" w:line="240" w:lineRule="auto"/>
      </w:pPr>
      <w:rPr>
        <w:b w:val="1"/>
        <w:bCs w:val="1"/>
      </w:rPr>
      <w:tblPr/>
      <w:tcPr>
        <w:tcBorders>
          <w:top w:val="double" w:color="404040" w:themeColor="text1" w:themeTint="0000BF" w:sz="6"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c0c0c0" w:themeFill="text1" w:themeFillTint="00003F"/>
      </w:tcPr>
    </w:tblStylePr>
    <w:tblStylePr w:type="band1Horz">
      <w:tblPr/>
      <w:tcPr>
        <w:tcBorders>
          <w:insideH w:val="nil" w:sz="0" w:space="0"/>
          <w:insideV w:val="nil" w:sz="0" w:space="0"/>
        </w:tcBorders>
        <w:shd w:val="clear" w:color="auto" w:fill="c0c0c0" w:themeFill="text1" w:themeFillTint="0000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0000BF" w:sz="6"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3dfee" w:themeFill="accent1" w:themeFillTint="00003F"/>
      </w:tcPr>
    </w:tblStylePr>
    <w:tblStylePr w:type="band1Horz">
      <w:tblPr/>
      <w:tcPr>
        <w:tcBorders>
          <w:insideH w:val="nil" w:sz="0" w:space="0"/>
          <w:insideV w:val="nil" w:sz="0" w:space="0"/>
        </w:tcBorders>
        <w:shd w:val="clear" w:color="auto" w:fill="d3dfee" w:themeFill="accent1" w:themeFillTint="0000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0000BF" w:sz="6"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fd3d2" w:themeFill="accent2" w:themeFillTint="00003F"/>
      </w:tcPr>
    </w:tblStylePr>
    <w:tblStylePr w:type="band1Horz">
      <w:tblPr/>
      <w:tcPr>
        <w:tcBorders>
          <w:insideH w:val="nil" w:sz="0" w:space="0"/>
          <w:insideV w:val="nil" w:sz="0" w:space="0"/>
        </w:tcBorders>
        <w:shd w:val="clear" w:color="auto" w:fill="efd3d2" w:themeFill="accent2" w:themeFillTint="0000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shd w:val="clear" w:color="auto" w:fill="9bbb59" w:themeFill="accent3"/>
      </w:tcPr>
    </w:tblStylePr>
    <w:tblStylePr w:type="lastRow">
      <w:pPr>
        <w:spacing w:before="0" w:after="0" w:line="240" w:lineRule="auto"/>
      </w:pPr>
      <w:rPr>
        <w:b w:val="1"/>
        <w:bCs w:val="1"/>
      </w:rPr>
      <w:tblPr/>
      <w:tcPr>
        <w:tcBorders>
          <w:top w:val="double" w:color="b3cc82" w:themeColor="accent3" w:themeTint="0000BF" w:sz="6"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6eed5" w:themeFill="accent3" w:themeFillTint="00003F"/>
      </w:tcPr>
    </w:tblStylePr>
    <w:tblStylePr w:type="band1Horz">
      <w:tblPr/>
      <w:tcPr>
        <w:tcBorders>
          <w:insideH w:val="nil" w:sz="0" w:space="0"/>
          <w:insideV w:val="nil" w:sz="0" w:space="0"/>
        </w:tcBorders>
        <w:shd w:val="clear" w:color="auto" w:fill="e6eed5" w:themeFill="accent3" w:themeFillTint="0000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0000BF" w:sz="6"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fd8e8" w:themeFill="accent4" w:themeFillTint="00003F"/>
      </w:tcPr>
    </w:tblStylePr>
    <w:tblStylePr w:type="band1Horz">
      <w:tblPr/>
      <w:tcPr>
        <w:tcBorders>
          <w:insideH w:val="nil" w:sz="0" w:space="0"/>
          <w:insideV w:val="nil" w:sz="0" w:space="0"/>
        </w:tcBorders>
        <w:shd w:val="clear" w:color="auto" w:fill="dfd8e8" w:themeFill="accent4" w:themeFillTint="0000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0000BF" w:sz="6"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2eaf1" w:themeFill="accent5" w:themeFillTint="00003F"/>
      </w:tcPr>
    </w:tblStylePr>
    <w:tblStylePr w:type="band1Horz">
      <w:tblPr/>
      <w:tcPr>
        <w:tcBorders>
          <w:insideH w:val="nil" w:sz="0" w:space="0"/>
          <w:insideV w:val="nil" w:sz="0" w:space="0"/>
        </w:tcBorders>
        <w:shd w:val="clear" w:color="auto" w:fill="d2eaf1" w:themeFill="accent5" w:themeFillTint="0000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shd w:val="clear" w:color="auto" w:fill="f79646" w:themeFill="accent6"/>
      </w:tcPr>
    </w:tblStylePr>
    <w:tblStylePr w:type="lastRow">
      <w:pPr>
        <w:spacing w:before="0" w:after="0" w:line="240" w:lineRule="auto"/>
      </w:pPr>
      <w:rPr>
        <w:b w:val="1"/>
        <w:bCs w:val="1"/>
      </w:rPr>
      <w:tblPr/>
      <w:tcPr>
        <w:tcBorders>
          <w:top w:val="double" w:color="f9b074" w:themeColor="accent6" w:themeTint="0000BF" w:sz="6"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fde4d0" w:themeFill="accent6" w:themeFillTint="00003F"/>
      </w:tcPr>
    </w:tblStylePr>
    <w:tblStylePr w:type="band1Horz">
      <w:tblPr/>
      <w:tcPr>
        <w:tcBorders>
          <w:insideH w:val="nil" w:sz="0" w:space="0"/>
          <w:insideV w:val="nil" w:sz="0" w:space="0"/>
        </w:tcBorders>
        <w:shd w:val="clear" w:color="auto" w:fill="fde4d0" w:themeFill="accent6" w:themeFillTint="0000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00003F"/>
      </w:tcPr>
    </w:tblStylePr>
    <w:tblStylePr w:type="band1Horz">
      <w:tblPr/>
      <w:tcPr>
        <w:shd w:val="clear" w:color="auto" w:fill="c0c0c0" w:themeFill="text1" w:themeFillTint="0000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00003F"/>
      </w:tcPr>
    </w:tblStylePr>
    <w:tblStylePr w:type="band1Horz">
      <w:tblPr/>
      <w:tcPr>
        <w:shd w:val="clear" w:color="auto" w:fill="d3dfee" w:themeFill="accent1" w:themeFillTint="0000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00003F"/>
      </w:tcPr>
    </w:tblStylePr>
    <w:tblStylePr w:type="band1Horz">
      <w:tblPr/>
      <w:tcPr>
        <w:shd w:val="clear" w:color="auto" w:fill="efd3d2" w:themeFill="accent2" w:themeFillTint="0000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00003F"/>
      </w:tcPr>
    </w:tblStylePr>
    <w:tblStylePr w:type="band1Horz">
      <w:tblPr/>
      <w:tcPr>
        <w:shd w:val="clear" w:color="auto" w:fill="e6eed5" w:themeFill="accent3" w:themeFillTint="0000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00003F"/>
      </w:tcPr>
    </w:tblStylePr>
    <w:tblStylePr w:type="band1Horz">
      <w:tblPr/>
      <w:tcPr>
        <w:shd w:val="clear" w:color="auto" w:fill="dfd8e8" w:themeFill="accent4" w:themeFillTint="0000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00003F"/>
      </w:tcPr>
    </w:tblStylePr>
    <w:tblStylePr w:type="band1Horz">
      <w:tblPr/>
      <w:tcPr>
        <w:shd w:val="clear" w:color="auto" w:fill="d2eaf1" w:themeFill="accent5" w:themeFillTint="0000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00003F"/>
      </w:tcPr>
    </w:tblStylePr>
    <w:tblStylePr w:type="band1Horz">
      <w:tblPr/>
      <w:tcPr>
        <w:shd w:val="clear" w:color="auto" w:fill="fde4d0" w:themeFill="accent6" w:themeFillTint="0000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top w:val="nil" w:sz="0" w:space="0"/>
          <w:bottom w:val="nil" w:sz="0" w:space="0"/>
          <w:insideH w:val="nil" w:sz="0" w:space="0"/>
          <w:insideV w:val="nil" w:sz="0" w:space="0"/>
        </w:tcBorders>
        <w:shd w:val="clear" w:color="auto" w:fill="c0c0c0" w:themeFill="tex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top w:val="nil" w:sz="0" w:space="0"/>
          <w:bottom w:val="nil" w:sz="0" w:space="0"/>
          <w:insideH w:val="nil" w:sz="0" w:space="0"/>
          <w:insideV w:val="nil" w:sz="0" w:space="0"/>
        </w:tcBorders>
        <w:shd w:val="clear" w:color="auto" w:fill="d3dfee" w:themeFill="accen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top w:val="nil" w:sz="0" w:space="0"/>
          <w:bottom w:val="nil" w:sz="0" w:space="0"/>
          <w:insideH w:val="nil" w:sz="0" w:space="0"/>
          <w:insideV w:val="nil" w:sz="0" w:space="0"/>
        </w:tcBorders>
        <w:shd w:val="clear" w:color="auto" w:fill="efd3d2" w:themeFill="accent2"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top w:val="nil" w:sz="0" w:space="0"/>
          <w:bottom w:val="nil" w:sz="0" w:space="0"/>
          <w:insideH w:val="nil" w:sz="0" w:space="0"/>
          <w:insideV w:val="nil" w:sz="0" w:space="0"/>
        </w:tcBorders>
        <w:shd w:val="clear" w:color="auto" w:fill="e6eed5" w:themeFill="accent3"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top w:val="nil" w:sz="0" w:space="0"/>
          <w:bottom w:val="nil" w:sz="0" w:space="0"/>
          <w:insideH w:val="nil" w:sz="0" w:space="0"/>
          <w:insideV w:val="nil" w:sz="0" w:space="0"/>
        </w:tcBorders>
        <w:shd w:val="clear" w:color="auto" w:fill="dfd8e8" w:themeFill="accent4"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top w:val="nil" w:sz="0" w:space="0"/>
          <w:bottom w:val="nil" w:sz="0" w:space="0"/>
          <w:insideH w:val="nil" w:sz="0" w:space="0"/>
          <w:insideV w:val="nil" w:sz="0" w:space="0"/>
        </w:tcBorders>
        <w:shd w:val="clear" w:color="auto" w:fill="d2eaf1" w:themeFill="accent5"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top w:val="nil" w:sz="0" w:space="0"/>
          <w:bottom w:val="nil" w:sz="0" w:space="0"/>
          <w:insideH w:val="nil" w:sz="0" w:space="0"/>
          <w:insideV w:val="nil" w:sz="0" w:space="0"/>
        </w:tcBorders>
        <w:shd w:val="clear" w:color="auto" w:fill="fde4d0" w:themeFill="accent6"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insideV w:val="single" w:color="404040" w:themeColor="text1" w:themeTint="0000BF"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rPr>
    </w:tblStylePr>
    <w:tblStylePr w:type="lastRow">
      <w:rPr>
        <w:b w:val="1"/>
        <w:bCs w:val="1"/>
      </w:rPr>
      <w:tblPr/>
      <w:tcPr>
        <w:tcBorders>
          <w:top w:val="single" w:color="404040" w:themeColor="text1" w:themeTint="0000BF" w:sz="18" w:space="0"/>
        </w:tcBorders>
      </w:tcPr>
    </w:tblStylePr>
    <w:tblStylePr w:type="firstCol">
      <w:rPr>
        <w:b w:val="1"/>
        <w:bCs w:val="1"/>
      </w:rPr>
    </w:tblStylePr>
    <w:tblStylePr w:type="lastCol">
      <w:rPr>
        <w:b w:val="1"/>
        <w:bCs w:val="1"/>
      </w:r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insideV w:val="single" w:color="7ba0cd" w:themeColor="accent1" w:themeTint="0000BF"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rPr>
    </w:tblStylePr>
    <w:tblStylePr w:type="lastRow">
      <w:rPr>
        <w:b w:val="1"/>
        <w:bCs w:val="1"/>
      </w:rPr>
      <w:tblPr/>
      <w:tcPr>
        <w:tcBorders>
          <w:top w:val="single" w:color="7ba0cd" w:themeColor="accent1" w:themeTint="0000BF" w:sz="18" w:space="0"/>
        </w:tcBorders>
      </w:tcPr>
    </w:tblStylePr>
    <w:tblStylePr w:type="firstCol">
      <w:rPr>
        <w:b w:val="1"/>
        <w:bCs w:val="1"/>
      </w:rPr>
    </w:tblStylePr>
    <w:tblStylePr w:type="lastCol">
      <w:rPr>
        <w:b w:val="1"/>
        <w:bCs w:val="1"/>
      </w:r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insideV w:val="single" w:color="cf7b79" w:themeColor="accent2" w:themeTint="0000BF"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rPr>
    </w:tblStylePr>
    <w:tblStylePr w:type="lastRow">
      <w:rPr>
        <w:b w:val="1"/>
        <w:bCs w:val="1"/>
      </w:rPr>
      <w:tblPr/>
      <w:tcPr>
        <w:tcBorders>
          <w:top w:val="single" w:color="cf7b79" w:themeColor="accent2" w:themeTint="0000BF" w:sz="18" w:space="0"/>
        </w:tcBorders>
      </w:tcPr>
    </w:tblStylePr>
    <w:tblStylePr w:type="firstCol">
      <w:rPr>
        <w:b w:val="1"/>
        <w:bCs w:val="1"/>
      </w:rPr>
    </w:tblStylePr>
    <w:tblStylePr w:type="lastCol">
      <w:rPr>
        <w:b w:val="1"/>
        <w:bCs w:val="1"/>
      </w:r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insideV w:val="single" w:color="b3cc82" w:themeColor="accent3" w:themeTint="0000BF"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rPr>
    </w:tblStylePr>
    <w:tblStylePr w:type="lastRow">
      <w:rPr>
        <w:b w:val="1"/>
        <w:bCs w:val="1"/>
      </w:rPr>
      <w:tblPr/>
      <w:tcPr>
        <w:tcBorders>
          <w:top w:val="single" w:color="b3cc82" w:themeColor="accent3" w:themeTint="0000BF" w:sz="18" w:space="0"/>
        </w:tcBorders>
      </w:tcPr>
    </w:tblStylePr>
    <w:tblStylePr w:type="firstCol">
      <w:rPr>
        <w:b w:val="1"/>
        <w:bCs w:val="1"/>
      </w:rPr>
    </w:tblStylePr>
    <w:tblStylePr w:type="lastCol">
      <w:rPr>
        <w:b w:val="1"/>
        <w:bCs w:val="1"/>
      </w:r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insideV w:val="single" w:color="9f8ab9" w:themeColor="accent4" w:themeTint="0000BF"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rPr>
    </w:tblStylePr>
    <w:tblStylePr w:type="lastRow">
      <w:rPr>
        <w:b w:val="1"/>
        <w:bCs w:val="1"/>
      </w:rPr>
      <w:tblPr/>
      <w:tcPr>
        <w:tcBorders>
          <w:top w:val="single" w:color="9f8ab9" w:themeColor="accent4" w:themeTint="0000BF" w:sz="18" w:space="0"/>
        </w:tcBorders>
      </w:tcPr>
    </w:tblStylePr>
    <w:tblStylePr w:type="firstCol">
      <w:rPr>
        <w:b w:val="1"/>
        <w:bCs w:val="1"/>
      </w:rPr>
    </w:tblStylePr>
    <w:tblStylePr w:type="lastCol">
      <w:rPr>
        <w:b w:val="1"/>
        <w:bCs w:val="1"/>
      </w:r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insideV w:val="single" w:color="78c0d4" w:themeColor="accent5" w:themeTint="0000BF"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rPr>
    </w:tblStylePr>
    <w:tblStylePr w:type="lastRow">
      <w:rPr>
        <w:b w:val="1"/>
        <w:bCs w:val="1"/>
      </w:rPr>
      <w:tblPr/>
      <w:tcPr>
        <w:tcBorders>
          <w:top w:val="single" w:color="78c0d4" w:themeColor="accent5" w:themeTint="0000BF" w:sz="18" w:space="0"/>
        </w:tcBorders>
      </w:tcPr>
    </w:tblStylePr>
    <w:tblStylePr w:type="firstCol">
      <w:rPr>
        <w:b w:val="1"/>
        <w:bCs w:val="1"/>
      </w:rPr>
    </w:tblStylePr>
    <w:tblStylePr w:type="lastCol">
      <w:rPr>
        <w:b w:val="1"/>
        <w:bCs w:val="1"/>
      </w:r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insideV w:val="single" w:color="f9b074" w:themeColor="accent6" w:themeTint="0000BF"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rPr>
    </w:tblStylePr>
    <w:tblStylePr w:type="lastRow">
      <w:rPr>
        <w:b w:val="1"/>
        <w:bCs w:val="1"/>
      </w:rPr>
      <w:tblPr/>
      <w:tcPr>
        <w:tcBorders>
          <w:top w:val="single" w:color="f9b074" w:themeColor="accent6" w:themeTint="0000BF" w:sz="18" w:space="0"/>
        </w:tcBorders>
      </w:tcPr>
    </w:tblStylePr>
    <w:tblStylePr w:type="firstCol">
      <w:rPr>
        <w:b w:val="1"/>
        <w:bCs w:val="1"/>
      </w:rPr>
    </w:tblStylePr>
    <w:tblStylePr w:type="lastCol">
      <w:rPr>
        <w:b w:val="1"/>
        <w:bCs w:val="1"/>
      </w:r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color w:val="000000" w:themeColor="text1"/>
      </w:rPr>
      <w:tblPr/>
      <w:tcPr>
        <w:shd w:val="clear" w:color="auto" w:fill="e6e6e6" w:themeFill="tex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000033"/>
      </w:tcPr>
    </w:tblStylePr>
    <w:tblStylePr w:type="band1Vert">
      <w:tblPr/>
      <w:tcPr>
        <w:shd w:val="clear" w:color="auto" w:fill="808080" w:themeFill="text1" w:themeFillTint="00007F"/>
      </w:tcPr>
    </w:tblStylePr>
    <w:tblStylePr w:type="band1Horz">
      <w:tblPr/>
      <w:tcPr>
        <w:tcBorders>
          <w:insideH w:val="single" w:color="000000" w:themeColor="text1" w:sz="6" w:space="0"/>
          <w:insideV w:val="single" w:color="000000" w:themeColor="text1" w:sz="6" w:space="0"/>
        </w:tcBorders>
        <w:shd w:val="clear" w:color="auto" w:fill="808080" w:themeFill="text1" w:themeFillTint="0000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color w:val="000000" w:themeColor="text1"/>
      </w:rPr>
      <w:tblPr/>
      <w:tcPr>
        <w:shd w:val="clear" w:color="auto" w:fill="edf2f8" w:themeFill="accen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000033"/>
      </w:tcPr>
    </w:tblStylePr>
    <w:tblStylePr w:type="band1Vert">
      <w:tblPr/>
      <w:tcPr>
        <w:shd w:val="clear" w:color="auto" w:fill="a7bfde" w:themeFill="accent1" w:themeFillTint="0000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0000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color w:val="000000" w:themeColor="text1"/>
      </w:rPr>
      <w:tblPr/>
      <w:tcPr>
        <w:shd w:val="clear" w:color="auto" w:fill="f8eded" w:themeFill="accent2"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000033"/>
      </w:tcPr>
    </w:tblStylePr>
    <w:tblStylePr w:type="band1Vert">
      <w:tblPr/>
      <w:tcPr>
        <w:shd w:val="clear" w:color="auto" w:fill="dfa7a6" w:themeFill="accent2" w:themeFillTint="0000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0000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color w:val="000000" w:themeColor="text1"/>
      </w:rPr>
      <w:tblPr/>
      <w:tcPr>
        <w:shd w:val="clear" w:color="auto" w:fill="f5f8ee" w:themeFill="accent3"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000033"/>
      </w:tcPr>
    </w:tblStylePr>
    <w:tblStylePr w:type="band1Vert">
      <w:tblPr/>
      <w:tcPr>
        <w:shd w:val="clear" w:color="auto" w:fill="cdddac" w:themeFill="accent3" w:themeFillTint="0000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0000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color w:val="000000" w:themeColor="text1"/>
      </w:rPr>
      <w:tblPr/>
      <w:tcPr>
        <w:shd w:val="clear" w:color="auto" w:fill="f2eff6" w:themeFill="accent4"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000033"/>
      </w:tcPr>
    </w:tblStylePr>
    <w:tblStylePr w:type="band1Vert">
      <w:tblPr/>
      <w:tcPr>
        <w:shd w:val="clear" w:color="auto" w:fill="bfb1d0" w:themeFill="accent4" w:themeFillTint="0000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0000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color w:val="000000" w:themeColor="text1"/>
      </w:rPr>
      <w:tblPr/>
      <w:tcPr>
        <w:shd w:val="clear" w:color="auto" w:fill="edf6f9" w:themeFill="accent5"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000033"/>
      </w:tcPr>
    </w:tblStylePr>
    <w:tblStylePr w:type="band1Vert">
      <w:tblPr/>
      <w:tcPr>
        <w:shd w:val="clear" w:color="auto" w:fill="a5d5e2" w:themeFill="accent5" w:themeFillTint="0000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0000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color w:val="000000" w:themeColor="text1"/>
      </w:rPr>
      <w:tblPr/>
      <w:tcPr>
        <w:shd w:val="clear" w:color="auto" w:fill="fef4ec" w:themeFill="accent6"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000033"/>
      </w:tcPr>
    </w:tblStylePr>
    <w:tblStylePr w:type="band1Vert">
      <w:tblPr/>
      <w:tcPr>
        <w:shd w:val="clear" w:color="auto" w:fill="fbcaa2" w:themeFill="accent6" w:themeFillTint="0000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0000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c0c0c0" w:themeFill="tex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0000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3dfee" w:themeFill="accen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0000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fd3d2" w:themeFill="accent2"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0000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6eed5" w:themeFill="accent3"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0000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fd8e8" w:themeFill="accent4"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0000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2eaf1" w:themeFill="accent5"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0000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fde4d0" w:themeFill="accent6"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0000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000000" w:themeFill="tex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f81bd" w:themeFill="accen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c0504d" w:themeFill="accent2"/>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9bbb59" w:themeFill="accent3"/>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8064a2" w:themeFill="accent4"/>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bacc6" w:themeFill="accent5"/>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f79646" w:themeFill="accent6"/>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6e6e6" w:themeFill="tex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000000" w:themeColor="text1" w:themeShade="000099" w:sz="4" w:space="0"/>
          <w:insideV w:val="nil" w:sz="0" w:space="0"/>
        </w:tcBorders>
        <w:shd w:val="clear" w:color="auto" w:fill="000000" w:themeFill="tex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Vert">
      <w:tblPr/>
      <w:tcPr>
        <w:shd w:val="clear" w:color="auto" w:fill="999999" w:themeFill="text1" w:themeFillTint="000066"/>
      </w:tcPr>
    </w:tblStylePr>
    <w:tblStylePr w:type="band1Horz">
      <w:tblPr/>
      <w:tcPr>
        <w:shd w:val="clear" w:color="auto" w:fill="808080" w:themeFill="text1" w:themeFillTint="0000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2f8" w:themeFill="accen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2c4c74" w:themeColor="accent1" w:themeShade="000099" w:sz="4" w:space="0"/>
          <w:insideV w:val="nil" w:sz="0" w:space="0"/>
        </w:tcBorders>
        <w:shd w:val="clear" w:color="auto" w:fill="2c4c74" w:themeFill="accen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000099"/>
      </w:tcPr>
    </w:tblStylePr>
    <w:tblStylePr w:type="band1Vert">
      <w:tblPr/>
      <w:tcPr>
        <w:shd w:val="clear" w:color="auto" w:fill="b8cce4" w:themeFill="accent1" w:themeFillTint="000066"/>
      </w:tcPr>
    </w:tblStylePr>
    <w:tblStylePr w:type="band1Horz">
      <w:tblPr/>
      <w:tcPr>
        <w:shd w:val="clear" w:color="auto" w:fill="a7bfde" w:themeFill="accent1" w:themeFillTint="0000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8eded" w:themeFill="accent2"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000099"/>
      </w:tcPr>
    </w:tblStylePr>
    <w:tblStylePr w:type="firstCol">
      <w:rPr>
        <w:color w:val="ffffff" w:themeColor="background1"/>
      </w:rPr>
      <w:tblPr/>
      <w:tcPr>
        <w:tcBorders>
          <w:top w:val="nil" w:sz="0" w:space="0"/>
          <w:left w:val="nil" w:sz="0" w:space="0"/>
          <w:bottom w:val="nil" w:sz="0" w:space="0"/>
          <w:right w:val="nil" w:sz="0" w:space="0"/>
          <w:insideH w:val="single" w:color="772c2a" w:themeColor="accent2" w:themeShade="000099" w:sz="4" w:space="0"/>
          <w:insideV w:val="nil" w:sz="0" w:space="0"/>
        </w:tcBorders>
        <w:shd w:val="clear" w:color="auto" w:fill="772c2a" w:themeFill="accent2"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000099"/>
      </w:tcPr>
    </w:tblStylePr>
    <w:tblStylePr w:type="band1Vert">
      <w:tblPr/>
      <w:tcPr>
        <w:shd w:val="clear" w:color="auto" w:fill="e5b8b7" w:themeFill="accent2" w:themeFillTint="000066"/>
      </w:tcPr>
    </w:tblStylePr>
    <w:tblStylePr w:type="band1Horz">
      <w:tblPr/>
      <w:tcPr>
        <w:shd w:val="clear" w:color="auto" w:fill="dfa7a6" w:themeFill="accent2" w:themeFillTint="0000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5f8ee" w:themeFill="accent3" w:themeFillTint="000019"/>
    </w:tcPr>
    <w:tblStylePr w:type="firstRow">
      <w:rPr>
        <w:b w:val="1"/>
        <w:bCs w:val="1"/>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000099"/>
      </w:tcPr>
    </w:tblStylePr>
    <w:tblStylePr w:type="firstCol">
      <w:rPr>
        <w:color w:val="ffffff" w:themeColor="background1"/>
      </w:rPr>
      <w:tblPr/>
      <w:tcPr>
        <w:tcBorders>
          <w:top w:val="nil" w:sz="0" w:space="0"/>
          <w:left w:val="nil" w:sz="0" w:space="0"/>
          <w:bottom w:val="nil" w:sz="0" w:space="0"/>
          <w:right w:val="nil" w:sz="0" w:space="0"/>
          <w:insideH w:val="single" w:color="5e7530" w:themeColor="accent3" w:themeShade="000099" w:sz="4" w:space="0"/>
          <w:insideV w:val="nil" w:sz="0" w:space="0"/>
        </w:tcBorders>
        <w:shd w:val="clear" w:color="auto" w:fill="5e7530" w:themeFill="accent3"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000099"/>
      </w:tcPr>
    </w:tblStylePr>
    <w:tblStylePr w:type="band1Vert">
      <w:tblPr/>
      <w:tcPr>
        <w:shd w:val="clear" w:color="auto" w:fill="d6e3bc" w:themeFill="accent3" w:themeFillTint="000066"/>
      </w:tcPr>
    </w:tblStylePr>
    <w:tblStylePr w:type="band1Horz">
      <w:tblPr/>
      <w:tcPr>
        <w:shd w:val="clear" w:color="auto" w:fill="cdddac" w:themeFill="accent3" w:themeFillTint="0000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2eff6" w:themeFill="accent4" w:themeFillTint="000019"/>
    </w:tcPr>
    <w:tblStylePr w:type="firstRow">
      <w:rPr>
        <w:b w:val="1"/>
        <w:bCs w:val="1"/>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000099"/>
      </w:tcPr>
    </w:tblStylePr>
    <w:tblStylePr w:type="firstCol">
      <w:rPr>
        <w:color w:val="ffffff" w:themeColor="background1"/>
      </w:rPr>
      <w:tblPr/>
      <w:tcPr>
        <w:tcBorders>
          <w:top w:val="nil" w:sz="0" w:space="0"/>
          <w:left w:val="nil" w:sz="0" w:space="0"/>
          <w:bottom w:val="nil" w:sz="0" w:space="0"/>
          <w:right w:val="nil" w:sz="0" w:space="0"/>
          <w:insideH w:val="single" w:color="4c3b62" w:themeColor="accent4" w:themeShade="000099" w:sz="4" w:space="0"/>
          <w:insideV w:val="nil" w:sz="0" w:space="0"/>
        </w:tcBorders>
        <w:shd w:val="clear" w:color="auto" w:fill="4c3b62" w:themeFill="accent4"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000099"/>
      </w:tcPr>
    </w:tblStylePr>
    <w:tblStylePr w:type="band1Vert">
      <w:tblPr/>
      <w:tcPr>
        <w:shd w:val="clear" w:color="auto" w:fill="ccc0d9" w:themeFill="accent4" w:themeFillTint="000066"/>
      </w:tcPr>
    </w:tblStylePr>
    <w:tblStylePr w:type="band1Horz">
      <w:tblPr/>
      <w:tcPr>
        <w:shd w:val="clear" w:color="auto" w:fill="bfb1d0" w:themeFill="accent4" w:themeFillTint="0000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6f9" w:themeFill="accent5" w:themeFillTint="000019"/>
    </w:tcPr>
    <w:tblStylePr w:type="firstRow">
      <w:rPr>
        <w:b w:val="1"/>
        <w:bCs w:val="1"/>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000099"/>
      </w:tcPr>
    </w:tblStylePr>
    <w:tblStylePr w:type="firstCol">
      <w:rPr>
        <w:color w:val="ffffff" w:themeColor="background1"/>
      </w:rPr>
      <w:tblPr/>
      <w:tcPr>
        <w:tcBorders>
          <w:top w:val="nil" w:sz="0" w:space="0"/>
          <w:left w:val="nil" w:sz="0" w:space="0"/>
          <w:bottom w:val="nil" w:sz="0" w:space="0"/>
          <w:right w:val="nil" w:sz="0" w:space="0"/>
          <w:insideH w:val="single" w:color="276a7c" w:themeColor="accent5" w:themeShade="000099" w:sz="4" w:space="0"/>
          <w:insideV w:val="nil" w:sz="0" w:space="0"/>
        </w:tcBorders>
        <w:shd w:val="clear" w:color="auto" w:fill="276a7c" w:themeFill="accent5"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000099"/>
      </w:tcPr>
    </w:tblStylePr>
    <w:tblStylePr w:type="band1Vert">
      <w:tblPr/>
      <w:tcPr>
        <w:shd w:val="clear" w:color="auto" w:fill="b6dde8" w:themeFill="accent5" w:themeFillTint="000066"/>
      </w:tcPr>
    </w:tblStylePr>
    <w:tblStylePr w:type="band1Horz">
      <w:tblPr/>
      <w:tcPr>
        <w:shd w:val="clear" w:color="auto" w:fill="a5d5e2" w:themeFill="accent5" w:themeFillTint="0000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ef4ec" w:themeFill="accent6" w:themeFillTint="000019"/>
    </w:tcPr>
    <w:tblStylePr w:type="firstRow">
      <w:rPr>
        <w:b w:val="1"/>
        <w:bCs w:val="1"/>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000099"/>
      </w:tcPr>
    </w:tblStylePr>
    <w:tblStylePr w:type="firstCol">
      <w:rPr>
        <w:color w:val="ffffff" w:themeColor="background1"/>
      </w:rPr>
      <w:tblPr/>
      <w:tcPr>
        <w:tcBorders>
          <w:top w:val="nil" w:sz="0" w:space="0"/>
          <w:left w:val="nil" w:sz="0" w:space="0"/>
          <w:bottom w:val="nil" w:sz="0" w:space="0"/>
          <w:right w:val="nil" w:sz="0" w:space="0"/>
          <w:insideH w:val="single" w:color="b65608" w:themeColor="accent6" w:themeShade="000099" w:sz="4" w:space="0"/>
          <w:insideV w:val="nil" w:sz="0" w:space="0"/>
        </w:tcBorders>
        <w:shd w:val="clear" w:color="auto" w:fill="b65608" w:themeFill="accent6"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000099"/>
      </w:tcPr>
    </w:tblStylePr>
    <w:tblStylePr w:type="band1Vert">
      <w:tblPr/>
      <w:tcPr>
        <w:shd w:val="clear" w:color="auto" w:fill="fbd4b4" w:themeFill="accent6" w:themeFillTint="000066"/>
      </w:tcPr>
    </w:tblStylePr>
    <w:tblStylePr w:type="band1Horz">
      <w:tblPr/>
      <w:tcPr>
        <w:shd w:val="clear" w:color="auto" w:fill="fbcaa2" w:themeFill="accent6" w:themeFillTint="0000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6e6e6" w:themeFill="tex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00003F"/>
      </w:tcPr>
    </w:tblStylePr>
    <w:tblStylePr w:type="band1Horz">
      <w:tblPr/>
      <w:tcPr>
        <w:shd w:val="clear" w:color="auto" w:fill="cccccc" w:themeFill="text1" w:themeFillTint="0000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2f8" w:themeFill="accen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00003F"/>
      </w:tcPr>
    </w:tblStylePr>
    <w:tblStylePr w:type="band1Horz">
      <w:tblPr/>
      <w:tcPr>
        <w:shd w:val="clear" w:color="auto" w:fill="dbe5f1" w:themeFill="accent1" w:themeFillTint="0000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8eded" w:themeFill="accent2"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00003F"/>
      </w:tcPr>
    </w:tblStylePr>
    <w:tblStylePr w:type="band1Horz">
      <w:tblPr/>
      <w:tcPr>
        <w:shd w:val="clear" w:color="auto" w:fill="f2dbdb" w:themeFill="accent2" w:themeFillTint="0000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5f8ee" w:themeFill="accent3" w:themeFillTint="000019"/>
    </w:tcPr>
    <w:tblStylePr w:type="firstRow">
      <w:rPr>
        <w:b w:val="1"/>
        <w:bCs w:val="1"/>
        <w:color w:val="ffffff" w:themeColor="background1"/>
      </w:rPr>
      <w:tblPr/>
      <w:tcPr>
        <w:tcBorders>
          <w:bottom w:val="single" w:color="ffffff" w:themeColor="background1" w:sz="12" w:space="0"/>
        </w:tcBorders>
        <w:shd w:val="clear" w:color="auto" w:fill="664e82" w:themeFill="accent4" w:themeFillShade="0000CC"/>
      </w:tcPr>
    </w:tblStylePr>
    <w:tblStylePr w:type="lastRow">
      <w:rPr>
        <w:b w:val="1"/>
        <w:bCs w:val="1"/>
        <w:color w:val="664e82" w:themeColor="accent4"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00003F"/>
      </w:tcPr>
    </w:tblStylePr>
    <w:tblStylePr w:type="band1Horz">
      <w:tblPr/>
      <w:tcPr>
        <w:shd w:val="clear" w:color="auto" w:fill="eaf1dd" w:themeFill="accent3" w:themeFillTint="0000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2eff6" w:themeFill="accent4" w:themeFillTint="0000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0000CC"/>
      </w:tcPr>
    </w:tblStylePr>
    <w:tblStylePr w:type="lastRow">
      <w:rPr>
        <w:b w:val="1"/>
        <w:bCs w:val="1"/>
        <w:color w:val="7e9c40" w:themeColor="accent3"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00003F"/>
      </w:tcPr>
    </w:tblStylePr>
    <w:tblStylePr w:type="band1Horz">
      <w:tblPr/>
      <w:tcPr>
        <w:shd w:val="clear" w:color="auto" w:fill="e5dfec" w:themeFill="accent4" w:themeFillTint="0000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6f9" w:themeFill="accent5" w:themeFillTint="0000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0000CC"/>
      </w:tcPr>
    </w:tblStylePr>
    <w:tblStylePr w:type="lastRow">
      <w:rPr>
        <w:b w:val="1"/>
        <w:bCs w:val="1"/>
        <w:color w:val="f2730a" w:themeColor="accent6"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00003F"/>
      </w:tcPr>
    </w:tblStylePr>
    <w:tblStylePr w:type="band1Horz">
      <w:tblPr/>
      <w:tcPr>
        <w:shd w:val="clear" w:color="auto" w:fill="daeef3" w:themeFill="accent5" w:themeFillTint="0000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ef4ec" w:themeFill="accent6" w:themeFillTint="000019"/>
    </w:tcPr>
    <w:tblStylePr w:type="firstRow">
      <w:rPr>
        <w:b w:val="1"/>
        <w:bCs w:val="1"/>
        <w:color w:val="ffffff" w:themeColor="background1"/>
      </w:rPr>
      <w:tblPr/>
      <w:tcPr>
        <w:tcBorders>
          <w:bottom w:val="single" w:color="ffffff" w:themeColor="background1" w:sz="12" w:space="0"/>
        </w:tcBorders>
        <w:shd w:val="clear" w:color="auto" w:fill="348da5" w:themeFill="accent5" w:themeFillShade="0000CC"/>
      </w:tcPr>
    </w:tblStylePr>
    <w:tblStylePr w:type="lastRow">
      <w:rPr>
        <w:b w:val="1"/>
        <w:bCs w:val="1"/>
        <w:color w:val="348da5" w:themeColor="accent5"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00003F"/>
      </w:tcPr>
    </w:tblStylePr>
    <w:tblStylePr w:type="band1Horz">
      <w:tblPr/>
      <w:tcPr>
        <w:shd w:val="clear" w:color="auto" w:fill="fde9d9" w:themeFill="accent6" w:themeFillTint="0000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cccccc" w:themeFill="text1" w:themeFillTint="000033"/>
    </w:tcPr>
    <w:tblStylePr w:type="firstRow">
      <w:rPr>
        <w:b w:val="1"/>
        <w:bCs w:val="1"/>
      </w:rPr>
      <w:tblPr/>
      <w:tcPr>
        <w:shd w:val="clear" w:color="auto" w:fill="999999" w:themeFill="text1" w:themeFillTint="000066"/>
      </w:tcPr>
    </w:tblStylePr>
    <w:tblStylePr w:type="lastRow">
      <w:rPr>
        <w:b w:val="1"/>
        <w:bCs w:val="1"/>
        <w:color w:val="000000" w:themeColor="text1"/>
      </w:rPr>
      <w:tblPr/>
      <w:tcPr>
        <w:shd w:val="clear" w:color="auto" w:fill="999999" w:themeFill="text1" w:themeFillTint="000066"/>
      </w:tcPr>
    </w:tblStylePr>
    <w:tblStylePr w:type="firstCol">
      <w:rPr>
        <w:color w:val="ffffff" w:themeColor="background1"/>
      </w:rPr>
      <w:tblPr/>
      <w:tcPr>
        <w:shd w:val="clear" w:color="auto" w:fill="000000" w:themeFill="text1" w:themeFillShade="0000BF"/>
      </w:tcPr>
    </w:tblStylePr>
    <w:tblStylePr w:type="lastCol">
      <w:rPr>
        <w:color w:val="ffffff" w:themeColor="background1"/>
      </w:rPr>
      <w:tblPr/>
      <w:tcPr>
        <w:shd w:val="clear" w:color="auto" w:fill="000000" w:themeFill="text1" w:themeFillShade="0000BF"/>
      </w:tc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be5f1" w:themeFill="accent1" w:themeFillTint="000033"/>
    </w:tcPr>
    <w:tblStylePr w:type="firstRow">
      <w:rPr>
        <w:b w:val="1"/>
        <w:bCs w:val="1"/>
      </w:rPr>
      <w:tblPr/>
      <w:tcPr>
        <w:shd w:val="clear" w:color="auto" w:fill="b8cce4" w:themeFill="accent1" w:themeFillTint="000066"/>
      </w:tcPr>
    </w:tblStylePr>
    <w:tblStylePr w:type="lastRow">
      <w:rPr>
        <w:b w:val="1"/>
        <w:bCs w:val="1"/>
        <w:color w:val="000000" w:themeColor="text1"/>
      </w:rPr>
      <w:tblPr/>
      <w:tcPr>
        <w:shd w:val="clear" w:color="auto" w:fill="b8cce4" w:themeFill="accent1" w:themeFillTint="000066"/>
      </w:tcPr>
    </w:tblStylePr>
    <w:tblStylePr w:type="firstCol">
      <w:rPr>
        <w:color w:val="ffffff" w:themeColor="background1"/>
      </w:rPr>
      <w:tblPr/>
      <w:tcPr>
        <w:shd w:val="clear" w:color="auto" w:fill="365f91" w:themeFill="accent1" w:themeFillShade="0000BF"/>
      </w:tcPr>
    </w:tblStylePr>
    <w:tblStylePr w:type="lastCol">
      <w:rPr>
        <w:color w:val="ffffff" w:themeColor="background1"/>
      </w:rPr>
      <w:tblPr/>
      <w:tcPr>
        <w:shd w:val="clear" w:color="auto" w:fill="365f91" w:themeFill="accent1" w:themeFillShade="0000BF"/>
      </w:tc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2dbdb" w:themeFill="accent2" w:themeFillTint="000033"/>
    </w:tcPr>
    <w:tblStylePr w:type="firstRow">
      <w:rPr>
        <w:b w:val="1"/>
        <w:bCs w:val="1"/>
      </w:rPr>
      <w:tblPr/>
      <w:tcPr>
        <w:shd w:val="clear" w:color="auto" w:fill="e5b8b7" w:themeFill="accent2" w:themeFillTint="000066"/>
      </w:tcPr>
    </w:tblStylePr>
    <w:tblStylePr w:type="lastRow">
      <w:rPr>
        <w:b w:val="1"/>
        <w:bCs w:val="1"/>
        <w:color w:val="000000" w:themeColor="text1"/>
      </w:rPr>
      <w:tblPr/>
      <w:tcPr>
        <w:shd w:val="clear" w:color="auto" w:fill="e5b8b7" w:themeFill="accent2" w:themeFillTint="000066"/>
      </w:tcPr>
    </w:tblStylePr>
    <w:tblStylePr w:type="firstCol">
      <w:rPr>
        <w:color w:val="ffffff" w:themeColor="background1"/>
      </w:rPr>
      <w:tblPr/>
      <w:tcPr>
        <w:shd w:val="clear" w:color="auto" w:fill="943634" w:themeFill="accent2" w:themeFillShade="0000BF"/>
      </w:tcPr>
    </w:tblStylePr>
    <w:tblStylePr w:type="lastCol">
      <w:rPr>
        <w:color w:val="ffffff" w:themeColor="background1"/>
      </w:rPr>
      <w:tblPr/>
      <w:tcPr>
        <w:shd w:val="clear" w:color="auto" w:fill="943634" w:themeFill="accent2" w:themeFillShade="0000BF"/>
      </w:tc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af1dd" w:themeFill="accent3" w:themeFillTint="000033"/>
    </w:tcPr>
    <w:tblStylePr w:type="firstRow">
      <w:rPr>
        <w:b w:val="1"/>
        <w:bCs w:val="1"/>
      </w:rPr>
      <w:tblPr/>
      <w:tcPr>
        <w:shd w:val="clear" w:color="auto" w:fill="d6e3bc" w:themeFill="accent3" w:themeFillTint="000066"/>
      </w:tcPr>
    </w:tblStylePr>
    <w:tblStylePr w:type="lastRow">
      <w:rPr>
        <w:b w:val="1"/>
        <w:bCs w:val="1"/>
        <w:color w:val="000000" w:themeColor="text1"/>
      </w:rPr>
      <w:tblPr/>
      <w:tcPr>
        <w:shd w:val="clear" w:color="auto" w:fill="d6e3bc" w:themeFill="accent3" w:themeFillTint="000066"/>
      </w:tcPr>
    </w:tblStylePr>
    <w:tblStylePr w:type="firstCol">
      <w:rPr>
        <w:color w:val="ffffff" w:themeColor="background1"/>
      </w:rPr>
      <w:tblPr/>
      <w:tcPr>
        <w:shd w:val="clear" w:color="auto" w:fill="76923c" w:themeFill="accent3" w:themeFillShade="0000BF"/>
      </w:tcPr>
    </w:tblStylePr>
    <w:tblStylePr w:type="lastCol">
      <w:rPr>
        <w:color w:val="ffffff" w:themeColor="background1"/>
      </w:rPr>
      <w:tblPr/>
      <w:tcPr>
        <w:shd w:val="clear" w:color="auto" w:fill="76923c" w:themeFill="accent3" w:themeFillShade="0000BF"/>
      </w:tc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5dfec" w:themeFill="accent4" w:themeFillTint="000033"/>
    </w:tcPr>
    <w:tblStylePr w:type="firstRow">
      <w:rPr>
        <w:b w:val="1"/>
        <w:bCs w:val="1"/>
      </w:rPr>
      <w:tblPr/>
      <w:tcPr>
        <w:shd w:val="clear" w:color="auto" w:fill="ccc0d9" w:themeFill="accent4" w:themeFillTint="000066"/>
      </w:tcPr>
    </w:tblStylePr>
    <w:tblStylePr w:type="lastRow">
      <w:rPr>
        <w:b w:val="1"/>
        <w:bCs w:val="1"/>
        <w:color w:val="000000" w:themeColor="text1"/>
      </w:rPr>
      <w:tblPr/>
      <w:tcPr>
        <w:shd w:val="clear" w:color="auto" w:fill="ccc0d9" w:themeFill="accent4" w:themeFillTint="000066"/>
      </w:tcPr>
    </w:tblStylePr>
    <w:tblStylePr w:type="firstCol">
      <w:rPr>
        <w:color w:val="ffffff" w:themeColor="background1"/>
      </w:rPr>
      <w:tblPr/>
      <w:tcPr>
        <w:shd w:val="clear" w:color="auto" w:fill="5f497a" w:themeFill="accent4" w:themeFillShade="0000BF"/>
      </w:tcPr>
    </w:tblStylePr>
    <w:tblStylePr w:type="lastCol">
      <w:rPr>
        <w:color w:val="ffffff" w:themeColor="background1"/>
      </w:rPr>
      <w:tblPr/>
      <w:tcPr>
        <w:shd w:val="clear" w:color="auto" w:fill="5f497a" w:themeFill="accent4" w:themeFillShade="0000BF"/>
      </w:tc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aeef3" w:themeFill="accent5" w:themeFillTint="000033"/>
    </w:tcPr>
    <w:tblStylePr w:type="firstRow">
      <w:rPr>
        <w:b w:val="1"/>
        <w:bCs w:val="1"/>
      </w:rPr>
      <w:tblPr/>
      <w:tcPr>
        <w:shd w:val="clear" w:color="auto" w:fill="b6dde8" w:themeFill="accent5" w:themeFillTint="000066"/>
      </w:tcPr>
    </w:tblStylePr>
    <w:tblStylePr w:type="lastRow">
      <w:rPr>
        <w:b w:val="1"/>
        <w:bCs w:val="1"/>
        <w:color w:val="000000" w:themeColor="text1"/>
      </w:rPr>
      <w:tblPr/>
      <w:tcPr>
        <w:shd w:val="clear" w:color="auto" w:fill="b6dde8" w:themeFill="accent5" w:themeFillTint="000066"/>
      </w:tcPr>
    </w:tblStylePr>
    <w:tblStylePr w:type="firstCol">
      <w:rPr>
        <w:color w:val="ffffff" w:themeColor="background1"/>
      </w:rPr>
      <w:tblPr/>
      <w:tcPr>
        <w:shd w:val="clear" w:color="auto" w:fill="31849b" w:themeFill="accent5" w:themeFillShade="0000BF"/>
      </w:tcPr>
    </w:tblStylePr>
    <w:tblStylePr w:type="lastCol">
      <w:rPr>
        <w:color w:val="ffffff" w:themeColor="background1"/>
      </w:rPr>
      <w:tblPr/>
      <w:tcPr>
        <w:shd w:val="clear" w:color="auto" w:fill="31849b" w:themeFill="accent5" w:themeFillShade="0000BF"/>
      </w:tc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de9d9" w:themeFill="accent6" w:themeFillTint="000033"/>
    </w:tcPr>
    <w:tblStylePr w:type="firstRow">
      <w:rPr>
        <w:b w:val="1"/>
        <w:bCs w:val="1"/>
      </w:rPr>
      <w:tblPr/>
      <w:tcPr>
        <w:shd w:val="clear" w:color="auto" w:fill="fbd4b4" w:themeFill="accent6" w:themeFillTint="000066"/>
      </w:tcPr>
    </w:tblStylePr>
    <w:tblStylePr w:type="lastRow">
      <w:rPr>
        <w:b w:val="1"/>
        <w:bCs w:val="1"/>
        <w:color w:val="000000" w:themeColor="text1"/>
      </w:rPr>
      <w:tblPr/>
      <w:tcPr>
        <w:shd w:val="clear" w:color="auto" w:fill="fbd4b4" w:themeFill="accent6" w:themeFillTint="000066"/>
      </w:tcPr>
    </w:tblStylePr>
    <w:tblStylePr w:type="firstCol">
      <w:rPr>
        <w:color w:val="ffffff" w:themeColor="background1"/>
      </w:rPr>
      <w:tblPr/>
      <w:tcPr>
        <w:shd w:val="clear" w:color="auto" w:fill="e36c0a" w:themeFill="accent6" w:themeFillShade="0000BF"/>
      </w:tcPr>
    </w:tblStylePr>
    <w:tblStylePr w:type="lastCol">
      <w:rPr>
        <w:color w:val="ffffff" w:themeColor="background1"/>
      </w:rPr>
      <w:tblPr/>
      <w:tcPr>
        <w:shd w:val="clear" w:color="auto" w:fill="e36c0a" w:themeFill="accent6" w:themeFillShade="0000BF"/>
      </w:tc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paragraph" w:styleId="Subtitle">
    <w:name w:val="Subtitle"/>
    <w:basedOn w:val="Normal"/>
    <w:next w:val="Normal"/>
    <w:pPr/>
    <w:rPr>
      <w:rFonts w:ascii="Calibri" w:hAnsi="Calibri" w:eastAsia="Calibri" w:cs="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2.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j-mauro-r/microproyecto-tema3/blob/9c9203e72cdf31b3eb26cbcdeeccf82b5981ad40/docs/Manual_Instalacion.docx" TargetMode="External"/><Relationship Id="rId5" Type="http://schemas.openxmlformats.org/officeDocument/2006/relationships/styles" Target="styles.xml"/><Relationship Id="rId6" Type="http://schemas.openxmlformats.org/officeDocument/2006/relationships/customXml" Target="../customXML/item1.xml"/><Relationship Id="rId8" Type="http://schemas.openxmlformats.org/officeDocument/2006/relationships/hyperlink" Target="https://github.com/j-mauro-r/microproyecto-tema3/blob/9c9203e72cdf31b3eb26cbcdeeccf82b5981ad40/docs/Manual_Usuario.docx" TargetMode="External"/><Relationship Id="rId939513292" Type="http://schemas.openxmlformats.org/officeDocument/2006/relationships/image" Target="../media/image.png"/><Relationship Id="Reeebc183220c43f6" Type="http://schemas.openxmlformats.org/officeDocument/2006/relationships/hyperlink" Target="https://github.com/j-mauro-r/microproyecto-tema3" TargetMode="External"/><Relationship Id="rId2075908979" Type="http://schemas.openxmlformats.org/officeDocument/2006/relationships/image" Target="../media/image2.png"/><Relationship Id="rId988908269"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ETJ9w8hPEwIyOmI10yx0Zmi2amA==">CgMxLjAaJAoBMBIfCh0IB0IZCgVBcmlhbBIQQXJpYWwgVW5pY29kZSBNUxokCgExEh8KHQgHQhkKBUFyaWFsEhBBcmlhbCBVbmljb2RlIE1TOAByITFqV3Q4TlB5Umc3dG0zdUhmcFpJcXYtRU14YjMtZW53bA==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Grupo 11 — MAIA</dc:creator>
  <lastModifiedBy>Jersson Mauricio Rodriguez Aponte</lastModifiedBy>
  <dcterms:modified xsi:type="dcterms:W3CDTF">2026-09-18T02:44:19.1434040Z</dcterms:modified>
</coreProperties>
</file>