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Guion del video, Entrega 3: SAT-Dengue</w:t>
      </w:r>
    </w:p>
    <w:p>
      <w:pPr>
        <w:pStyle w:val="Normal"/>
        <w:rPr/>
      </w:pPr>
      <w:r>
        <w:rPr>
          <w:sz w:val="20"/>
        </w:rPr>
        <w:t>MAIA, Proyecto de Desarrollo de Soluciones, Universidad de los Andes. Duracion objetivo 9 minutos, maximo 10.</w:t>
      </w:r>
    </w:p>
    <w:p>
      <w:pPr>
        <w:pStyle w:val="Heading1"/>
        <w:rPr/>
      </w:pPr>
      <w:r>
        <w:rPr/>
        <w:t>Antes de grabar</w:t>
      </w:r>
    </w:p>
    <w:p>
      <w:pPr>
        <w:pStyle w:val="ListBullet"/>
        <w:numPr>
          <w:ilvl w:val="0"/>
          <w:numId w:val="1"/>
        </w:numPr>
        <w:rPr/>
      </w:pPr>
      <w:r>
        <w:rPr/>
        <w:t>Cargar una corrida mensual en la instancia desplegada antes de grabar la demo. Hoy el endpoint de salud responde correctamente pero /api/v2/predictions/latest devuelve error 500 y el tablero desplegado se queda en Cargando predicciones. Si se graba asi, el segmento de tablero desplegado se ve roto.</w:t>
      </w:r>
    </w:p>
    <w:p>
      <w:pPr>
        <w:pStyle w:val="ListBullet"/>
        <w:numPr>
          <w:ilvl w:val="0"/>
          <w:numId w:val="1"/>
        </w:numPr>
        <w:rPr/>
      </w:pPr>
      <w:r>
        <w:rPr/>
        <w:t>Tener listas las capturas que el reporte todavia marca como pendientes: importancia de caracteristicas del Champion vigente, curvas ROC y precision-recall, comparacion de inicios detectados, vista de MLflow filtrada por conjunto de prueba y el tablero mostrando la clasificacion entre inicio y continuacion.</w:t>
      </w:r>
    </w:p>
    <w:p>
      <w:pPr>
        <w:pStyle w:val="ListBullet"/>
        <w:numPr>
          <w:ilvl w:val="0"/>
          <w:numId w:val="1"/>
        </w:numPr>
        <w:rPr/>
      </w:pPr>
      <w:r>
        <w:rPr/>
        <w:t>No mencionar cifras de AUROC. El guion anterior decia 0,84 en validacion y 0,72 en prueba, que no coinciden con ningun artefacto vigente, y de ahi salia tambien la supuesta limitacion de sobreajuste. Todas las cifras de este guion salen de las tablas del reporte de la Entrega 3.</w:t>
      </w:r>
    </w:p>
    <w:p>
      <w:pPr>
        <w:pStyle w:val="Heading1"/>
        <w:rPr/>
      </w:pPr>
      <w:r>
        <w:rPr/>
        <w:t>[0:00 a 0:40] Introduccion y problema</w:t>
      </w:r>
    </w:p>
    <w:p>
      <w:pPr>
        <w:pStyle w:val="Normal"/>
        <w:spacing w:before="0" w:after="60"/>
        <w:rPr/>
      </w:pPr>
      <w:r>
        <w:rPr>
          <w:i/>
          <w:color w:val="444444"/>
          <w:sz w:val="20"/>
        </w:rPr>
        <w:t>PANTALLA: Titulo SAT-Dengue sobre mapa de Colombia, luego logo MAIA Uniandes.</w:t>
      </w:r>
    </w:p>
    <w:p>
      <w:pPr>
        <w:pStyle w:val="Normal"/>
        <w:ind w:start="280"/>
        <w:jc w:val="both"/>
        <w:rPr/>
      </w:pPr>
      <w:r>
        <w:rPr/>
        <w:t>En Colombia el dengue es endemico y cada pocos anios genera epidemias que saturan los servicios de salud. Las secretarias de salud siguen la situacion con el canal endemico, una herramienta que compara los casos del mes contra el historico del propio municipio y dice si esta en normalidad, en alerta o en exceso. Funciona bien, pero describe lo que ya paso.</w:t>
      </w:r>
    </w:p>
    <w:p>
      <w:pPr>
        <w:pStyle w:val="Normal"/>
        <w:spacing w:before="0" w:after="60"/>
        <w:rPr/>
      </w:pPr>
      <w:r>
        <w:rPr>
          <w:i/>
          <w:color w:val="444444"/>
          <w:sz w:val="20"/>
        </w:rPr>
        <w:t>PANTALLA: Frase en pantalla: el canal endemico dice donde estamos, no hacia donde vamos.</w:t>
      </w:r>
    </w:p>
    <w:p>
      <w:pPr>
        <w:pStyle w:val="Normal"/>
        <w:ind w:start="280"/>
        <w:jc w:val="both"/>
        <w:rPr/>
      </w:pPr>
      <w:r>
        <w:rPr/>
        <w:t>Nuestra pregunta es si podemos anticipar ese exceso con uno o dos meses de antelacion, para que la secretaria alcance a mover control vectorial y preparacion asistencial antes del pico. Eso es SAT-Dengue, un prototipo de apoyo a la decision para Bucaramanga y Cali.</w:t>
      </w:r>
    </w:p>
    <w:p>
      <w:pPr>
        <w:pStyle w:val="Heading1"/>
        <w:rPr/>
      </w:pPr>
      <w:r>
        <w:rPr/>
        <w:t>[0:40 a 1:50] Datos y definicion del objetivo</w:t>
      </w:r>
    </w:p>
    <w:p>
      <w:pPr>
        <w:pStyle w:val="Normal"/>
        <w:spacing w:before="0" w:after="60"/>
        <w:rPr/>
      </w:pPr>
      <w:r>
        <w:rPr>
          <w:i/>
          <w:color w:val="444444"/>
          <w:sz w:val="20"/>
        </w:rPr>
        <w:t>PANTALLA: Serie de tiempo de casos de dengue y tabla de fuentes del reporte.</w:t>
      </w:r>
    </w:p>
    <w:p>
      <w:pPr>
        <w:pStyle w:val="Normal"/>
        <w:ind w:start="280"/>
        <w:jc w:val="both"/>
        <w:rPr/>
      </w:pPr>
      <w:r>
        <w:rPr/>
        <w:t>Trabajamos con tres fuentes. La epidemiologica es SIVIGILA, con las notificaciones de dengue y de dengue grave desde 2007. La climatica es ERA5 y CHIRPS, con nueve variables mensuales por municipio, entre ellas temperatura, lluvia, agua en suelo y radiacion solar. Y la codificacion DIVIPOLA para unirlas. Todo se agrega en un panel de municipio y mes que cubre los 1.114 municipios del pais, aunque el piloto trabaja sobre Bucaramanga y Cali.</w:t>
      </w:r>
    </w:p>
    <w:p>
      <w:pPr>
        <w:pStyle w:val="Normal"/>
        <w:spacing w:before="0" w:after="60"/>
        <w:rPr/>
      </w:pPr>
      <w:r>
        <w:rPr>
          <w:i/>
          <w:color w:val="444444"/>
          <w:sz w:val="20"/>
        </w:rPr>
        <w:t>PANTALLA: Diagrama del canal endemico con bandas P25 y P75 y las tres zonas.</w:t>
      </w:r>
    </w:p>
    <w:p>
      <w:pPr>
        <w:pStyle w:val="Normal"/>
        <w:ind w:start="280"/>
        <w:jc w:val="both"/>
        <w:rPr/>
      </w:pPr>
      <w:r>
        <w:rPr/>
        <w:t>La variable objetivo sale del propio canal endemico. Un mes esta en exceso cuando los casos superan el percentil 75 del historico del municipio. El modelo predice si el mes siguiente, o el subsiguiente, va a caer en esa zona.</w:t>
      </w:r>
    </w:p>
    <w:p>
      <w:pPr>
        <w:pStyle w:val="Normal"/>
        <w:spacing w:before="0" w:after="60"/>
        <w:rPr/>
      </w:pPr>
      <w:r>
        <w:rPr>
          <w:i/>
          <w:color w:val="444444"/>
          <w:sz w:val="20"/>
        </w:rPr>
        <w:t>PANTALLA: Tabla de las cinco familias de predictoras del reporte, con el conteo 9, 12, 6, 2, 10.</w:t>
      </w:r>
    </w:p>
    <w:p>
      <w:pPr>
        <w:pStyle w:val="Normal"/>
        <w:ind w:start="280"/>
        <w:jc w:val="both"/>
        <w:rPr/>
      </w:pPr>
      <w:r>
        <w:rPr/>
        <w:t>De ahi construimos 41 variables predictoras y congelamos un contrato de 39 para el modelo desplegado. Las dos que dejamos por fuera son los conteos de casos del mes en curso, porque en operacion ese dato llega incompleto justo cuando hay que predecir. Su informacion historica si entra, a traves de los rezagos y las medias moviles.</w:t>
      </w:r>
    </w:p>
    <w:p>
      <w:pPr>
        <w:pStyle w:val="Heading1"/>
        <w:rPr/>
      </w:pPr>
      <w:r>
        <w:rPr/>
        <w:t>[1:50 a 3:50] Modelos y evaluacion</w:t>
      </w:r>
    </w:p>
    <w:p>
      <w:pPr>
        <w:pStyle w:val="Normal"/>
        <w:spacing w:before="0" w:after="60"/>
        <w:rPr/>
      </w:pPr>
      <w:r>
        <w:rPr>
          <w:i/>
          <w:color w:val="444444"/>
          <w:sz w:val="20"/>
        </w:rPr>
        <w:t>PANTALLA: Tabla comparativa T+1 del reporte, con F1, PR-AUC e inicios.</w:t>
      </w:r>
    </w:p>
    <w:p>
      <w:pPr>
        <w:pStyle w:val="Normal"/>
        <w:ind w:start="280"/>
        <w:jc w:val="both"/>
        <w:rPr/>
      </w:pPr>
      <w:r>
        <w:rPr/>
        <w:t>Entrenamos y comparamos XGBoost, LightGBM, un modelo aditivo generalizado y un Poisson, contra dos lineas base que la vigilancia ya aplica: la persistencia, que alerta si el mes actual ya esta en brote, y el propio canal endemico. Todos se evaluan sobre las mismas filas, con particion temporal y sin fuga de informacion.</w:t>
      </w:r>
    </w:p>
    <w:p>
      <w:pPr>
        <w:pStyle w:val="Normal"/>
        <w:ind w:start="280"/>
        <w:jc w:val="both"/>
        <w:rPr/>
      </w:pPr>
      <w:r>
        <w:rPr/>
        <w:t>En el horizonte de un mes, XGBoost y LightGBM alcanzan un F1 de 0,965 y el canal endemico 0,951. XGBoost identifica 41 de los 42 meses en brote del conjunto de prueba, frente a 39 del canal, a costa de una falsa alarma adicional.</w:t>
      </w:r>
    </w:p>
    <w:p>
      <w:pPr>
        <w:pStyle w:val="Normal"/>
        <w:spacing w:before="0" w:after="60"/>
        <w:rPr/>
      </w:pPr>
      <w:r>
        <w:rPr>
          <w:i/>
          <w:color w:val="444444"/>
          <w:sz w:val="20"/>
        </w:rPr>
        <w:t>PANTALLA: Resaltar la columna de inicios de la tabla: 2 de 3 para XGBoost, LightGBM y canal.</w:t>
      </w:r>
    </w:p>
    <w:p>
      <w:pPr>
        <w:pStyle w:val="Normal"/>
        <w:ind w:start="280"/>
        <w:jc w:val="both"/>
        <w:rPr/>
      </w:pPr>
      <w:r>
        <w:rPr/>
        <w:t>Ahora viene el resultado que mas nos importa, y queremos presentarlo tal como salio. De los 42 meses en brote, solo 3 son el primer mes de un episodio. Los otros 39 son continuaciones, meses en los que la secretaria ya sabe que hay un brote. Todo el valor de una alerta temprana esta en esos 3 inicios.</w:t>
      </w:r>
    </w:p>
    <w:p>
      <w:pPr>
        <w:pStyle w:val="Normal"/>
        <w:ind w:start="280"/>
        <w:jc w:val="both"/>
        <w:rPr/>
      </w:pPr>
      <w:r>
        <w:rPr/>
        <w:t>Y ahi XGBoost detecta 2 de 3, LightGBM 2 de 3, y el canal endemico detecta exactamente los mismos 2 de 3 sin modelo de por medio. En la metrica que decide, nuestros modelos empatan con la regla que ya existe. Con solo tres transiciones un caso mueve la tasa 33 puntos, asi que tampoco podriamos afirmar lo contrario: el limite no es el algoritmo, es el numero de eventos que da el problema con dos municipios.</w:t>
      </w:r>
    </w:p>
    <w:p>
      <w:pPr>
        <w:pStyle w:val="Normal"/>
        <w:spacing w:before="0" w:after="60"/>
        <w:rPr/>
      </w:pPr>
      <w:r>
        <w:rPr>
          <w:i/>
          <w:color w:val="444444"/>
          <w:sz w:val="20"/>
        </w:rPr>
        <w:t>PANTALLA: Tabla T+2 del reporte.</w:t>
      </w:r>
    </w:p>
    <w:p>
      <w:pPr>
        <w:pStyle w:val="Normal"/>
        <w:ind w:start="280"/>
        <w:jc w:val="both"/>
        <w:rPr/>
      </w:pPr>
      <w:r>
        <w:rPr/>
        <w:t>A dos meses, LightGBM sostiene un F1 de 0,920 con 2 de 3 inicios y XGBoost 0,918 con 1 de 3. El horizonte mas largo sirve como ventana de planificacion, pero todavia no tenemos todas las lineas base comparables a T+2, asi que lo reportamos como evidencia parcial.</w:t>
      </w:r>
    </w:p>
    <w:p>
      <w:pPr>
        <w:pStyle w:val="Heading1"/>
        <w:rPr/>
      </w:pPr>
      <w:r>
        <w:rPr/>
        <w:t>[3:50 a 4:30] Trazabilidad de experimentos</w:t>
      </w:r>
    </w:p>
    <w:p>
      <w:pPr>
        <w:pStyle w:val="Normal"/>
        <w:spacing w:before="0" w:after="60"/>
        <w:rPr/>
      </w:pPr>
      <w:r>
        <w:rPr>
          <w:i/>
          <w:color w:val="444444"/>
          <w:sz w:val="20"/>
        </w:rPr>
        <w:t>PANTALLA: MLflow, experimento sat-dengue, filtrado por conjunto de prueba.</w:t>
      </w:r>
    </w:p>
    <w:p>
      <w:pPr>
        <w:pStyle w:val="Normal"/>
        <w:ind w:start="280"/>
        <w:jc w:val="both"/>
        <w:rPr/>
      </w:pPr>
      <w:r>
        <w:rPr/>
        <w:t>Todos los experimentos quedan registrados en MLflow con sus parametros, horizonte, conjunto evaluado, metricas y artefactos. Una correccion importante de esta entrega fue unificar el alcance de las metricas: antes una misma columna significaba cosas distintas segun el script, unas veces el pais entero y otras los dos municipios. Ahora las corridas son comparables entre si. El modelo desplegado lleva el alias champion, y cada prediccion guarda el identificador de la corrida que la genero.</w:t>
      </w:r>
    </w:p>
    <w:p>
      <w:pPr>
        <w:pStyle w:val="Heading1"/>
        <w:rPr/>
      </w:pPr>
      <w:r>
        <w:rPr/>
        <w:t>[4:30 a 7:00] Arquitectura, despliegue y tablero</w:t>
      </w:r>
    </w:p>
    <w:p>
      <w:pPr>
        <w:pStyle w:val="Normal"/>
        <w:spacing w:before="0" w:after="60"/>
        <w:rPr/>
      </w:pPr>
      <w:r>
        <w:rPr>
          <w:i/>
          <w:color w:val="444444"/>
          <w:sz w:val="20"/>
        </w:rPr>
        <w:t>PANTALLA: Diagrama de arquitectura del reporte.</w:t>
      </w:r>
    </w:p>
    <w:p>
      <w:pPr>
        <w:pStyle w:val="Normal"/>
        <w:ind w:start="280"/>
        <w:jc w:val="both"/>
        <w:rPr/>
      </w:pPr>
      <w:r>
        <w:rPr/>
        <w:t>La arquitectura separa inferencia y presentacion. Un archivo mensual con dos filas, una por ciudad, y exactamente las 39 variables del contrato, alimenta al modelo. La API en FastAPI valida el contrato, ejecuta el modelo y persiste el resultado con su trazabilidad. El tablero en React solo muestra lo que la API devuelve, no calcula nada por su cuenta.</w:t>
      </w:r>
    </w:p>
    <w:p>
      <w:pPr>
        <w:pStyle w:val="Normal"/>
        <w:spacing w:before="0" w:after="60"/>
        <w:rPr/>
      </w:pPr>
      <w:r>
        <w:rPr>
          <w:i/>
          <w:color w:val="444444"/>
          <w:sz w:val="20"/>
        </w:rPr>
        <w:t>PANTALLA: Terminal ejecutando make up y los dos contenedores levantando.</w:t>
      </w:r>
    </w:p>
    <w:p>
      <w:pPr>
        <w:pStyle w:val="Normal"/>
        <w:ind w:start="280"/>
        <w:jc w:val="both"/>
        <w:rPr/>
      </w:pPr>
      <w:r>
        <w:rPr/>
        <w:t>Todo el sistema esta empaquetado en contenedores. Con un solo comando quedan arriba la API y el tablero, y el mismo empaquetado es el que se usa para el despliegue.</w:t>
      </w:r>
    </w:p>
    <w:p>
      <w:pPr>
        <w:pStyle w:val="Normal"/>
        <w:rPr/>
      </w:pPr>
      <w:r>
        <w:rPr>
          <w:color w:val="B03000"/>
          <w:sz w:val="18"/>
        </w:rPr>
        <w:t>Nota de produccion: Aqui va el segmento del tablero desplegado, que vale 20 puntos aparte del tablero desarrollado. Mostrar la URL publica en la barra del navegador. Si no alcanzan a cargar la corrida mensual en la instancia desplegada, mostrar al menos la documentacion de la API desplegada respondiendo y hacer la demo funcional en local, sin afirmar que lo desplegado esta sirviendo predicciones.</w:t>
      </w:r>
    </w:p>
    <w:p>
      <w:pPr>
        <w:pStyle w:val="Normal"/>
        <w:spacing w:before="0" w:after="60"/>
        <w:rPr/>
      </w:pPr>
      <w:r>
        <w:rPr>
          <w:i/>
          <w:color w:val="444444"/>
          <w:sz w:val="20"/>
        </w:rPr>
        <w:t>PANTALLA: Tablero abierto, encabezado con nombre y version del Champion activo.</w:t>
      </w:r>
    </w:p>
    <w:p>
      <w:pPr>
        <w:pStyle w:val="Normal"/>
        <w:ind w:start="280"/>
        <w:jc w:val="both"/>
        <w:rPr/>
      </w:pPr>
      <w:r>
        <w:rPr/>
        <w:t>Veamos el tablero. Arriba aparece el modelo activo y su version. Se elige municipio, Bucaramanga o Cali, y aparecen las dos tarjetas de prediccion.</w:t>
      </w:r>
    </w:p>
    <w:p>
      <w:pPr>
        <w:pStyle w:val="Normal"/>
        <w:spacing w:before="0" w:after="60"/>
        <w:rPr/>
      </w:pPr>
      <w:r>
        <w:rPr>
          <w:i/>
          <w:color w:val="444444"/>
          <w:sz w:val="20"/>
        </w:rPr>
        <w:t>PANTALLA: Bucaramanga seleccionada, tarjetas T+1 y T+2 con el ejemplo de referencia 2025-12.</w:t>
      </w:r>
    </w:p>
    <w:p>
      <w:pPr>
        <w:pStyle w:val="Normal"/>
        <w:ind w:start="280"/>
        <w:jc w:val="both"/>
        <w:rPr/>
      </w:pPr>
      <w:r>
        <w:rPr/>
        <w:t>Para el mes de referencia diciembre de 2025, Bucaramanga sale con una probabilidad de 0,73 a un mes, contra un umbral de 0,34, de modo que la etiqueta es exceso. A dos meses la probabilidad es 0,67 contra un umbral de 0,27, tambien exceso. Las probabilidades estan calibradas con escalado de Platt, que llevo el Brier score de 0,116 a 0,072 sobre el conjunto de validacion, de manera que ese 0,73 se puede leer como riesgo y no solo como un puntaje.</w:t>
      </w:r>
    </w:p>
    <w:p>
      <w:pPr>
        <w:pStyle w:val="Normal"/>
        <w:spacing w:before="0" w:after="60"/>
        <w:rPr/>
      </w:pPr>
      <w:r>
        <w:rPr>
          <w:i/>
          <w:color w:val="444444"/>
          <w:sz w:val="20"/>
        </w:rPr>
        <w:t>PANTALLA: Panel del canal endemico con P25, P75 y zona del mes cargado.</w:t>
      </w:r>
    </w:p>
    <w:p>
      <w:pPr>
        <w:pStyle w:val="Normal"/>
        <w:ind w:start="280"/>
        <w:jc w:val="both"/>
        <w:rPr/>
      </w:pPr>
      <w:r>
        <w:rPr/>
        <w:t>Debajo esta el contexto epidemiologico, con los percentiles del canal y la zona del mes cargado, de modo que la prediccion se lee al lado de la referencia que la secretaria ya usa.</w:t>
      </w:r>
    </w:p>
    <w:p>
      <w:pPr>
        <w:pStyle w:val="Normal"/>
        <w:spacing w:before="0" w:after="60"/>
        <w:rPr/>
      </w:pPr>
      <w:r>
        <w:rPr>
          <w:i/>
          <w:color w:val="444444"/>
          <w:sz w:val="20"/>
        </w:rPr>
        <w:t>PANTALLA: Cambio a Cali, tarjetas actualizadas.</w:t>
      </w:r>
    </w:p>
    <w:p>
      <w:pPr>
        <w:pStyle w:val="Normal"/>
        <w:ind w:start="280"/>
        <w:jc w:val="both"/>
        <w:rPr/>
      </w:pPr>
      <w:r>
        <w:rPr/>
        <w:t>Al cambiar a Cali las tarjetas se actualizan. Para el mismo mes sale con 0,013 a un mes y 0,015 a dos meses, muy por debajo del umbral, asi que la etiqueta es no exceso. El sistema diferencia entre las dos ciudades y no emite la misma alerta para todos.</w:t>
      </w:r>
    </w:p>
    <w:p>
      <w:pPr>
        <w:pStyle w:val="Normal"/>
        <w:spacing w:before="0" w:after="60"/>
        <w:rPr/>
      </w:pPr>
      <w:r>
        <w:rPr>
          <w:i/>
          <w:color w:val="444444"/>
          <w:sz w:val="20"/>
        </w:rPr>
        <w:t>PANTALLA: Tabla de la regla operacional del reporte: inicio, continuacion, sin brote.</w:t>
      </w:r>
    </w:p>
    <w:p>
      <w:pPr>
        <w:pStyle w:val="Normal"/>
        <w:ind w:start="280"/>
        <w:jc w:val="both"/>
        <w:rPr/>
      </w:pPr>
      <w:r>
        <w:rPr/>
        <w:t>Y aqui esta la lectura que le da sentido operativo a la alerta. Si el municipio hoy no esta en exceso y el modelo pronostica exceso, eso es un inicio de brote y es cuando hay que actuar. Si ya esta en exceso y el pronostico sigue en exceso, es una continuacion y lo que corresponde es sostener la respuesta. Y si el pronostico es no exceso, seguimiento. Es la misma probabilidad, pero la decision cambia.</w:t>
      </w:r>
    </w:p>
    <w:p>
      <w:pPr>
        <w:pStyle w:val="Normal"/>
        <w:spacing w:before="0" w:after="60"/>
        <w:rPr/>
      </w:pPr>
      <w:r>
        <w:rPr>
          <w:i/>
          <w:color w:val="444444"/>
          <w:sz w:val="20"/>
        </w:rPr>
        <w:t>PANTALLA: Historial de predicciones y documentacion de la API.</w:t>
      </w:r>
    </w:p>
    <w:p>
      <w:pPr>
        <w:pStyle w:val="Normal"/>
        <w:ind w:start="280"/>
        <w:jc w:val="both"/>
        <w:rPr/>
      </w:pPr>
      <w:r>
        <w:rPr/>
        <w:t>El tablero tambien lista el historial de corridas con su identificador y su mes de referencia, y la API expone la carga mensual y las consultas de ultima prediccion e historico.</w:t>
      </w:r>
    </w:p>
    <w:p>
      <w:pPr>
        <w:pStyle w:val="Heading1"/>
        <w:rPr/>
      </w:pPr>
      <w:r>
        <w:rPr/>
        <w:t>[7:00 a 8:30] Resultados, limitaciones y conclusiones</w:t>
      </w:r>
    </w:p>
    <w:p>
      <w:pPr>
        <w:pStyle w:val="Normal"/>
        <w:spacing w:before="0" w:after="60"/>
        <w:rPr/>
      </w:pPr>
      <w:r>
        <w:rPr>
          <w:i/>
          <w:color w:val="444444"/>
          <w:sz w:val="20"/>
        </w:rPr>
        <w:t>PANTALLA: Tabla resumen de resultados.</w:t>
      </w:r>
    </w:p>
    <w:p>
      <w:pPr>
        <w:pStyle w:val="Normal"/>
        <w:ind w:start="280"/>
        <w:jc w:val="both"/>
        <w:rPr/>
      </w:pPr>
      <w:r>
        <w:rPr/>
        <w:t>Resumiendo. Tenemos un sistema completo que va del dato crudo a una decision en pantalla, con el modelo empaquetado, la API validando un contrato explicito y el tablero desplegado. En desempeno general los arboles quedan por encima del canal endemico, 0,965 contra 0,951 de F1. Pero en la deteccion de inicios, que es lo que define una alerta temprana, ningun modelo lo supera: los tres detectan 2 de 3. Lo decimos asi de claro, porque un F1 alto que se gana acertando continuaciones no le sirve a una secretaria de salud.</w:t>
      </w:r>
    </w:p>
    <w:p>
      <w:pPr>
        <w:pStyle w:val="Normal"/>
        <w:spacing w:before="0" w:after="60"/>
        <w:rPr/>
      </w:pPr>
      <w:r>
        <w:rPr>
          <w:i/>
          <w:color w:val="444444"/>
          <w:sz w:val="20"/>
        </w:rPr>
        <w:t>PANTALLA: Lista de limitaciones.</w:t>
      </w:r>
    </w:p>
    <w:p>
      <w:pPr>
        <w:pStyle w:val="Normal"/>
        <w:ind w:start="280"/>
        <w:jc w:val="both"/>
        <w:rPr/>
      </w:pPr>
      <w:r>
        <w:rPr/>
        <w:t>Reconocemos tres limitaciones. La mas importante es el tamano de muestra: con dos municipios solo hay tres inicios de brote en todo el conjunto de prueba. La segunda es que buena parte de la capacidad predictiva parece venir del estado epidemiologico reciente, es decir de que el brote ya venia. La tercera es el 3,7 por ciento de datos climaticos faltantes, concentrado en los municipios mas pequenos.</w:t>
      </w:r>
    </w:p>
    <w:p>
      <w:pPr>
        <w:pStyle w:val="Normal"/>
        <w:spacing w:before="0" w:after="60"/>
        <w:rPr/>
      </w:pPr>
      <w:r>
        <w:rPr>
          <w:i/>
          <w:color w:val="444444"/>
          <w:sz w:val="20"/>
        </w:rPr>
        <w:t>PANTALLA: Lista de trabajo futuro.</w:t>
      </w:r>
    </w:p>
    <w:p>
      <w:pPr>
        <w:pStyle w:val="Normal"/>
        <w:ind w:start="280"/>
        <w:jc w:val="both"/>
        <w:rPr/>
      </w:pPr>
      <w:r>
        <w:rPr/>
        <w:t>De ahi salen los siguientes pasos, que son consecuencia directa del resultado: ampliar el alcance a mas municipios para tener suficientes inicios y que la comparacion contra el canal endemico sea concluyente, medir el aporte de cada grupo de variables en lugar de asumirlo, y validar de forma prospectiva con los meses de 2026.</w:t>
      </w:r>
    </w:p>
    <w:p>
      <w:pPr>
        <w:pStyle w:val="Heading1"/>
        <w:rPr/>
      </w:pPr>
      <w:r>
        <w:rPr/>
        <w:t>[8:30 a 9:00] Cierre</w:t>
      </w:r>
    </w:p>
    <w:p>
      <w:pPr>
        <w:pStyle w:val="Normal"/>
        <w:spacing w:before="0" w:after="60"/>
        <w:rPr/>
      </w:pPr>
      <w:r>
        <w:rPr>
          <w:i/>
          <w:color w:val="444444"/>
          <w:sz w:val="20"/>
        </w:rPr>
        <w:t>PANTALLA: Diapositiva final con nombres del equipo, repositorio y logo MAIA.</w:t>
      </w:r>
    </w:p>
    <w:p>
      <w:pPr>
        <w:pStyle w:val="Normal"/>
        <w:ind w:start="280"/>
        <w:jc w:val="both"/>
        <w:rPr/>
      </w:pPr>
      <w:r>
        <w:rPr/>
        <w:t>SAT-Dengue queda como un prototipo funcional y reproducible, con el codigo versionado, los experimentos trazados y una conclusion honesta sobre hasta donde llega hoy. Agradecemos a Carlos Bravo Vega por el acompanamiento. El repositorio, los datos versionados y los experimentos estan disponibles en GitHub. Gracias por su atencion.</w:t>
      </w:r>
    </w:p>
    <w:p>
      <w:pPr>
        <w:pStyle w:val="Heading1"/>
        <w:rPr/>
      </w:pPr>
      <w:r>
        <w:rPr/>
        <w:t>Tabla de produccion</w:t>
      </w:r>
    </w:p>
    <w:p>
      <w:pPr>
        <w:pStyle w:val="Normal"/>
        <w:rPr/>
      </w:pPr>
      <w:r>
        <w:rPr/>
        <w:t>El guion esta escrito para que lo narre una sola persona de corrido. Si prefieren repartirlo, los cortes de segmento son los puntos naturales.</w:t>
      </w:r>
    </w:p>
    <w:tbl>
      <w:tblPr>
        <w:tblStyle w:val="TableGrid"/>
        <w:tblW w:w="86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160"/>
        <w:gridCol w:w="2160"/>
        <w:gridCol w:w="2160"/>
        <w:gridCol w:w="2160"/>
      </w:tblGrid>
      <w:tr>
        <w:trPr/>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b/>
                <w:kern w:val="0"/>
                <w:sz w:val="18"/>
                <w:szCs w:val="22"/>
                <w:lang w:val="en-US" w:eastAsia="en-US" w:bidi="ar-SA"/>
              </w:rPr>
              <w:t>Segmento</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b/>
                <w:kern w:val="0"/>
                <w:sz w:val="18"/>
                <w:szCs w:val="22"/>
                <w:lang w:val="en-US" w:eastAsia="en-US" w:bidi="ar-SA"/>
              </w:rPr>
              <w:t>Duracion</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b/>
                <w:kern w:val="0"/>
                <w:sz w:val="18"/>
                <w:szCs w:val="22"/>
                <w:lang w:val="en-US" w:eastAsia="en-US" w:bidi="ar-SA"/>
              </w:rPr>
              <w:t>Pantalla principal</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b/>
                <w:kern w:val="0"/>
                <w:sz w:val="18"/>
                <w:szCs w:val="22"/>
                <w:lang w:val="en-US" w:eastAsia="en-US" w:bidi="ar-SA"/>
              </w:rPr>
              <w:t>Material que hay que tener</w:t>
            </w:r>
          </w:p>
        </w:tc>
      </w:tr>
      <w:tr>
        <w:trPr/>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Introduccion y problema</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0:40</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Titulo y canal endemico</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Mapa o imagen de apertura</w:t>
            </w:r>
          </w:p>
        </w:tc>
      </w:tr>
      <w:tr>
        <w:trPr/>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Datos y objetivo</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1:10</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Serie de casos y tabla de fuentes</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Tabla de fuentes y tabla de las 39 predictoras</w:t>
            </w:r>
          </w:p>
        </w:tc>
      </w:tr>
      <w:tr>
        <w:trPr/>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Modelos y evaluacion</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2:00</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Tablas T+1 y T+2</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Comparacion de inicios detectados, curvas ROC y PR</w:t>
            </w:r>
          </w:p>
        </w:tc>
      </w:tr>
      <w:tr>
        <w:trPr/>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Trazabilidad</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0:40</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MLflow</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Vista filtrada por conjunto de prueba y registro del champion</w:t>
            </w:r>
          </w:p>
        </w:tc>
      </w:tr>
      <w:tr>
        <w:trPr/>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Arquitectura y tablero</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2:30</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Diagrama, terminal y tablero</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Diagrama de arquitectura, grabacion de pantalla del tablero</w:t>
            </w:r>
          </w:p>
        </w:tc>
      </w:tr>
      <w:tr>
        <w:trPr/>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Resultados y conclusiones</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1:30</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Resumen y limitaciones</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Tabla resumen</w:t>
            </w:r>
          </w:p>
        </w:tc>
      </w:tr>
      <w:tr>
        <w:trPr/>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Cierre</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0:30</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Diapositiva final</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 w:val="18"/>
                <w:szCs w:val="22"/>
                <w:lang w:val="en-US" w:eastAsia="en-US" w:bidi="ar-SA"/>
              </w:rPr>
              <w:t>Logos y repositorio</w:t>
            </w:r>
          </w:p>
        </w:tc>
      </w:tr>
      <w:tr>
        <w:trPr/>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b/>
                <w:kern w:val="0"/>
                <w:sz w:val="18"/>
                <w:szCs w:val="22"/>
                <w:lang w:val="en-US" w:eastAsia="en-US" w:bidi="ar-SA"/>
              </w:rPr>
              <w:t>Total</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b/>
                <w:kern w:val="0"/>
                <w:sz w:val="18"/>
                <w:szCs w:val="22"/>
                <w:lang w:val="en-US" w:eastAsia="en-US" w:bidi="ar-SA"/>
              </w:rPr>
              <w:t>9:00</w:t>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Cs w:val="22"/>
                <w:lang w:val="en-US" w:eastAsia="en-US" w:bidi="ar-SA"/>
              </w:rPr>
            </w:r>
          </w:p>
        </w:tc>
        <w:tc>
          <w:tcPr>
            <w:tcW w:w="2160" w:type="dxa"/>
            <w:tcBorders/>
          </w:tcPr>
          <w:p>
            <w:pPr>
              <w:pStyle w:val="Normal"/>
              <w:widowControl/>
              <w:spacing w:lineRule="auto" w:line="240" w:before="0" w:after="120"/>
              <w:jc w:val="start"/>
              <w:rPr>
                <w:rFonts w:eastAsia="ＭＳ 明朝" w:cs=""/>
                <w:kern w:val="0"/>
                <w:szCs w:val="22"/>
                <w:lang w:val="en-US" w:eastAsia="en-US" w:bidi="ar-SA"/>
              </w:rPr>
            </w:pPr>
            <w:r>
              <w:rPr>
                <w:rFonts w:eastAsia="ＭＳ 明朝" w:cs=""/>
                <w:kern w:val="0"/>
                <w:szCs w:val="22"/>
                <w:lang w:val="en-US" w:eastAsia="en-US" w:bidi="ar-SA"/>
              </w:rPr>
            </w:r>
          </w:p>
        </w:tc>
      </w:tr>
    </w:tbl>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star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5</Pages>
  <Words>1899</Words>
  <Characters>9491</Characters>
  <CharactersWithSpaces>11293</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2026-09-21T09:36:36Z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