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2"/>
          <w:szCs w:val="22"/>
        </w:rPr>
      </w:pPr>
      <w:r w:rsidDel="00000000" w:rsidR="00000000" w:rsidRPr="00000000">
        <w:rPr>
          <w:rtl w:val="0"/>
        </w:rPr>
      </w:r>
    </w:p>
    <w:p w:rsidR="00000000" w:rsidDel="00000000" w:rsidP="00000000" w:rsidRDefault="00000000" w:rsidRPr="00000000" w14:paraId="00000002">
      <w:pPr>
        <w:jc w:val="center"/>
        <w:rPr>
          <w:sz w:val="22"/>
          <w:szCs w:val="22"/>
        </w:rPr>
      </w:pPr>
      <w:r w:rsidDel="00000000" w:rsidR="00000000" w:rsidRPr="00000000">
        <w:rPr>
          <w:rtl w:val="0"/>
        </w:rPr>
      </w:r>
    </w:p>
    <w:p w:rsidR="00000000" w:rsidDel="00000000" w:rsidP="00000000" w:rsidRDefault="00000000" w:rsidRPr="00000000" w14:paraId="00000003">
      <w:pPr>
        <w:jc w:val="center"/>
        <w:rPr>
          <w:sz w:val="22"/>
          <w:szCs w:val="22"/>
        </w:rPr>
      </w:pPr>
      <w:r w:rsidDel="00000000" w:rsidR="00000000" w:rsidRPr="00000000">
        <w:rPr>
          <w:rtl w:val="0"/>
        </w:rPr>
      </w:r>
    </w:p>
    <w:p w:rsidR="00000000" w:rsidDel="00000000" w:rsidP="00000000" w:rsidRDefault="00000000" w:rsidRPr="00000000" w14:paraId="00000004">
      <w:pPr>
        <w:spacing w:after="100" w:before="0" w:line="240" w:lineRule="auto"/>
        <w:jc w:val="center"/>
        <w:rPr>
          <w:sz w:val="22"/>
          <w:szCs w:val="22"/>
        </w:rPr>
      </w:pPr>
      <w:r w:rsidDel="00000000" w:rsidR="00000000" w:rsidRPr="00000000">
        <w:rPr>
          <w:rFonts w:ascii="Arial" w:cs="Arial" w:eastAsia="Arial" w:hAnsi="Arial"/>
          <w:b w:val="1"/>
          <w:bCs w:val="1"/>
          <w:i w:val="0"/>
          <w:iCs w:val="0"/>
          <w:color w:val="1f5aa6"/>
          <w:sz w:val="22"/>
          <w:szCs w:val="22"/>
          <w:rtl w:val="0"/>
        </w:rPr>
        <w:t xml:space="preserve">SAT-Dengue</w:t>
      </w:r>
      <w:r w:rsidDel="00000000" w:rsidR="00000000" w:rsidRPr="00000000">
        <w:rPr>
          <w:rtl w:val="0"/>
        </w:rPr>
      </w:r>
    </w:p>
    <w:p w:rsidR="00000000" w:rsidDel="00000000" w:rsidP="00000000" w:rsidRDefault="00000000" w:rsidRPr="00000000" w14:paraId="00000005">
      <w:pPr>
        <w:spacing w:after="180" w:before="0" w:line="240" w:lineRule="auto"/>
        <w:jc w:val="center"/>
        <w:rPr>
          <w:sz w:val="22"/>
          <w:szCs w:val="22"/>
        </w:rPr>
      </w:pPr>
      <w:r w:rsidDel="00000000" w:rsidR="00000000" w:rsidRPr="00000000">
        <w:rPr>
          <w:rFonts w:ascii="Arial" w:cs="Arial" w:eastAsia="Arial" w:hAnsi="Arial"/>
          <w:b w:val="0"/>
          <w:bCs w:val="0"/>
          <w:i w:val="1"/>
          <w:iCs w:val="1"/>
          <w:color w:val="203040"/>
          <w:sz w:val="22"/>
          <w:szCs w:val="22"/>
          <w:rtl w:val="0"/>
        </w:rPr>
        <w:t xml:space="preserve">Sistema de Alerta Temprana para Brotes de Dengue en Colombia</w:t>
      </w:r>
      <w:r w:rsidDel="00000000" w:rsidR="00000000" w:rsidRPr="00000000">
        <w:rPr>
          <w:rtl w:val="0"/>
        </w:rPr>
      </w:r>
    </w:p>
    <w:p w:rsidR="00000000" w:rsidDel="00000000" w:rsidP="00000000" w:rsidRDefault="00000000" w:rsidRPr="00000000" w14:paraId="00000006">
      <w:pPr>
        <w:spacing w:after="320" w:before="0" w:line="240" w:lineRule="auto"/>
        <w:jc w:val="center"/>
        <w:rPr>
          <w:sz w:val="22"/>
          <w:szCs w:val="22"/>
        </w:rPr>
      </w:pPr>
      <w:r w:rsidDel="00000000" w:rsidR="00000000" w:rsidRPr="00000000">
        <w:rPr>
          <w:rFonts w:ascii="Arial" w:cs="Arial" w:eastAsia="Arial" w:hAnsi="Arial"/>
          <w:b w:val="1"/>
          <w:bCs w:val="1"/>
          <w:i w:val="0"/>
          <w:iCs w:val="0"/>
          <w:color w:val="1f5aa6"/>
          <w:sz w:val="22"/>
          <w:szCs w:val="22"/>
          <w:rtl w:val="0"/>
        </w:rPr>
        <w:t xml:space="preserve">Entrega 3</w:t>
      </w:r>
      <w:r w:rsidDel="00000000" w:rsidR="00000000" w:rsidRPr="00000000">
        <w:rPr>
          <w:rtl w:val="0"/>
        </w:rPr>
      </w:r>
    </w:p>
    <w:p w:rsidR="00000000" w:rsidDel="00000000" w:rsidP="00000000" w:rsidRDefault="00000000" w:rsidRPr="00000000" w14:paraId="00000007">
      <w:pPr>
        <w:spacing w:after="3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Proyecto de Desarrollo de Soluciones — MAIA</w:t>
      </w:r>
      <w:r w:rsidDel="00000000" w:rsidR="00000000" w:rsidRPr="00000000">
        <w:rPr>
          <w:rtl w:val="0"/>
        </w:rPr>
      </w:r>
    </w:p>
    <w:p w:rsidR="00000000" w:rsidDel="00000000" w:rsidP="00000000" w:rsidRDefault="00000000" w:rsidRPr="00000000" w14:paraId="00000008">
      <w:pPr>
        <w:spacing w:after="100" w:before="0" w:line="240" w:lineRule="auto"/>
        <w:jc w:val="center"/>
        <w:rPr>
          <w:sz w:val="22"/>
          <w:szCs w:val="22"/>
        </w:rPr>
      </w:pPr>
      <w:r w:rsidDel="00000000" w:rsidR="00000000" w:rsidRPr="00000000">
        <w:rPr>
          <w:rFonts w:ascii="Arial" w:cs="Arial" w:eastAsia="Arial" w:hAnsi="Arial"/>
          <w:b w:val="1"/>
          <w:bCs w:val="1"/>
          <w:i w:val="0"/>
          <w:iCs w:val="0"/>
          <w:color w:val="203040"/>
          <w:sz w:val="22"/>
          <w:szCs w:val="22"/>
          <w:rtl w:val="0"/>
        </w:rPr>
        <w:t xml:space="preserve">Grupo 11</w:t>
      </w:r>
      <w:r w:rsidDel="00000000" w:rsidR="00000000" w:rsidRPr="00000000">
        <w:rPr>
          <w:rtl w:val="0"/>
        </w:rPr>
      </w:r>
    </w:p>
    <w:p w:rsidR="00000000" w:rsidDel="00000000" w:rsidP="00000000" w:rsidRDefault="00000000" w:rsidRPr="00000000" w14:paraId="00000009">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Sergio Ballesteros</w:t>
      </w:r>
      <w:r w:rsidDel="00000000" w:rsidR="00000000" w:rsidRPr="00000000">
        <w:rPr>
          <w:rtl w:val="0"/>
        </w:rPr>
      </w:r>
    </w:p>
    <w:p w:rsidR="00000000" w:rsidDel="00000000" w:rsidP="00000000" w:rsidRDefault="00000000" w:rsidRPr="00000000" w14:paraId="0000000A">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Stevan Ramirez</w:t>
      </w:r>
      <w:r w:rsidDel="00000000" w:rsidR="00000000" w:rsidRPr="00000000">
        <w:rPr>
          <w:rtl w:val="0"/>
        </w:rPr>
      </w:r>
    </w:p>
    <w:p w:rsidR="00000000" w:rsidDel="00000000" w:rsidP="00000000" w:rsidRDefault="00000000" w:rsidRPr="00000000" w14:paraId="0000000B">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Nicolas Lara</w:t>
      </w:r>
      <w:r w:rsidDel="00000000" w:rsidR="00000000" w:rsidRPr="00000000">
        <w:rPr>
          <w:rtl w:val="0"/>
        </w:rPr>
      </w:r>
    </w:p>
    <w:p w:rsidR="00000000" w:rsidDel="00000000" w:rsidP="00000000" w:rsidRDefault="00000000" w:rsidRPr="00000000" w14:paraId="0000000C">
      <w:pPr>
        <w:spacing w:after="20" w:before="0" w:line="240" w:lineRule="auto"/>
        <w:jc w:val="center"/>
        <w:rPr>
          <w:sz w:val="22"/>
          <w:szCs w:val="22"/>
        </w:rPr>
      </w:pPr>
      <w:r w:rsidDel="00000000" w:rsidR="00000000" w:rsidRPr="00000000">
        <w:rPr>
          <w:rFonts w:ascii="Arial" w:cs="Arial" w:eastAsia="Arial" w:hAnsi="Arial"/>
          <w:b w:val="0"/>
          <w:bCs w:val="0"/>
          <w:i w:val="0"/>
          <w:iCs w:val="0"/>
          <w:color w:val="203040"/>
          <w:sz w:val="22"/>
          <w:szCs w:val="22"/>
          <w:rtl w:val="0"/>
        </w:rPr>
        <w:t xml:space="preserve">Mauricio Rodriguez</w:t>
      </w:r>
      <w:r w:rsidDel="00000000" w:rsidR="00000000" w:rsidRPr="00000000">
        <w:rPr>
          <w:rtl w:val="0"/>
        </w:rPr>
      </w:r>
    </w:p>
    <w:p w:rsidR="00000000" w:rsidDel="00000000" w:rsidP="00000000" w:rsidRDefault="00000000" w:rsidRPr="00000000" w14:paraId="0000000D">
      <w:pPr>
        <w:jc w:val="center"/>
        <w:rPr>
          <w:sz w:val="22"/>
          <w:szCs w:val="22"/>
        </w:rPr>
      </w:pPr>
      <w:r w:rsidDel="00000000" w:rsidR="00000000" w:rsidRPr="00000000">
        <w:rPr>
          <w:rtl w:val="0"/>
        </w:rPr>
      </w:r>
    </w:p>
    <w:p w:rsidR="00000000" w:rsidDel="00000000" w:rsidP="00000000" w:rsidRDefault="00000000" w:rsidRPr="00000000" w14:paraId="0000000E">
      <w:pPr>
        <w:jc w:val="center"/>
        <w:rPr>
          <w:sz w:val="22"/>
          <w:szCs w:val="22"/>
        </w:rPr>
      </w:pPr>
      <w:r w:rsidDel="00000000" w:rsidR="00000000" w:rsidRPr="00000000">
        <w:rPr>
          <w:rtl w:val="0"/>
        </w:rPr>
      </w:r>
    </w:p>
    <w:p w:rsidR="00000000" w:rsidDel="00000000" w:rsidP="00000000" w:rsidRDefault="00000000" w:rsidRPr="00000000" w14:paraId="0000000F">
      <w:pPr>
        <w:jc w:val="center"/>
        <w:rPr>
          <w:sz w:val="22"/>
          <w:szCs w:val="22"/>
        </w:rPr>
      </w:pPr>
      <w:r w:rsidDel="00000000" w:rsidR="00000000" w:rsidRPr="00000000">
        <w:rPr>
          <w:rFonts w:ascii="Arial" w:cs="Arial" w:eastAsia="Arial" w:hAnsi="Arial"/>
          <w:b w:val="0"/>
          <w:bCs w:val="0"/>
          <w:i w:val="0"/>
          <w:iCs w:val="0"/>
          <w:color w:val="5b677a"/>
          <w:sz w:val="22"/>
          <w:szCs w:val="22"/>
          <w:rtl w:val="0"/>
        </w:rPr>
        <w:t xml:space="preserve">Septiembre de 2026</w:t>
      </w:r>
      <w:r w:rsidDel="00000000" w:rsidR="00000000" w:rsidRPr="00000000">
        <w:rPr>
          <w:rtl w:val="0"/>
        </w:rPr>
      </w:r>
    </w:p>
    <w:p w:rsidR="00000000" w:rsidDel="00000000" w:rsidP="00000000" w:rsidRDefault="00000000" w:rsidRPr="00000000" w14:paraId="00000010">
      <w:pPr>
        <w:jc w:val="cente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jc w:val="center"/>
        <w:rPr>
          <w:sz w:val="22"/>
          <w:szCs w:val="22"/>
        </w:rPr>
      </w:pPr>
      <w:r w:rsidDel="00000000" w:rsidR="00000000" w:rsidRPr="00000000">
        <w:rPr>
          <w:sz w:val="22"/>
          <w:szCs w:val="22"/>
          <w:rtl w:val="0"/>
        </w:rPr>
        <w:t xml:space="preserve">1. Resumen del problema</w:t>
      </w:r>
    </w:p>
    <w:p w:rsidR="00000000" w:rsidDel="00000000" w:rsidP="00000000" w:rsidRDefault="00000000" w:rsidRPr="00000000" w14:paraId="00000012">
      <w:pPr>
        <w:pStyle w:val="Heading2"/>
        <w:jc w:val="both"/>
        <w:rPr>
          <w:sz w:val="22"/>
          <w:szCs w:val="22"/>
        </w:rPr>
      </w:pPr>
      <w:r w:rsidDel="00000000" w:rsidR="00000000" w:rsidRPr="00000000">
        <w:rPr>
          <w:sz w:val="22"/>
          <w:szCs w:val="22"/>
          <w:rtl w:val="0"/>
        </w:rPr>
        <w:t xml:space="preserve">1.1 Contexto y pregunta de negocio</w:t>
      </w:r>
    </w:p>
    <w:p w:rsidR="00000000" w:rsidDel="00000000" w:rsidP="00000000" w:rsidRDefault="00000000" w:rsidRPr="00000000" w14:paraId="00000013">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w:rsidR="00000000" w:rsidDel="00000000" w:rsidP="00000000" w:rsidRDefault="00000000" w:rsidRPr="00000000" w14:paraId="00000014">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El valor de </w:t>
      </w:r>
      <w:r w:rsidDel="00000000" w:rsidR="00000000" w:rsidRPr="00000000">
        <w:rPr>
          <w:sz w:val="22"/>
          <w:szCs w:val="22"/>
          <w:rtl w:val="0"/>
        </w:rPr>
        <w:t xml:space="preserve">SAT-Dengue</w:t>
      </w:r>
      <w:r w:rsidDel="00000000" w:rsidR="00000000" w:rsidRPr="00000000">
        <w:rPr>
          <w:rFonts w:ascii="Arial" w:cs="Arial" w:eastAsia="Arial" w:hAnsi="Arial"/>
          <w:b w:val="0"/>
          <w:bCs w:val="0"/>
          <w:i w:val="0"/>
          <w:iCs w:val="0"/>
          <w:color w:val="203040"/>
          <w:sz w:val="22"/>
          <w:szCs w:val="22"/>
          <w:rtl w:val="0"/>
        </w:rPr>
        <w:t xml:space="preserve"> es complementar esa lectura con una estimación anticipada de la transición hacia exceso epidémico.</w:t>
      </w:r>
      <w:r w:rsidDel="00000000" w:rsidR="00000000" w:rsidRPr="00000000">
        <w:rPr>
          <w:rtl w:val="0"/>
        </w:rPr>
      </w:r>
    </w:p>
    <w:p w:rsidR="00000000" w:rsidDel="00000000" w:rsidP="00000000" w:rsidRDefault="00000000" w:rsidRPr="00000000" w14:paraId="00000015">
      <w:pPr>
        <w:spacing w:after="60" w:before="0" w:line="240" w:lineRule="auto"/>
        <w:jc w:val="both"/>
        <w:rPr>
          <w:rFonts w:ascii="Arial" w:cs="Arial" w:eastAsia="Arial" w:hAnsi="Arial"/>
          <w:b w:val="1"/>
          <w:bCs w:val="1"/>
          <w:i w:val="0"/>
          <w:iCs w:val="0"/>
          <w:color w:val="203040"/>
          <w:sz w:val="22"/>
          <w:szCs w:val="22"/>
        </w:rPr>
      </w:pPr>
      <w:r w:rsidDel="00000000" w:rsidR="00000000" w:rsidRPr="00000000">
        <w:rPr>
          <w:rFonts w:ascii="Arial" w:cs="Arial" w:eastAsia="Arial" w:hAnsi="Arial"/>
          <w:b w:val="1"/>
          <w:bCs w:val="1"/>
          <w:i w:val="0"/>
          <w:iCs w:val="0"/>
          <w:color w:val="203040"/>
          <w:sz w:val="22"/>
          <w:szCs w:val="22"/>
          <w:rtl w:val="0"/>
        </w:rPr>
        <w:t xml:space="preserve">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w:rsidR="00000000" w:rsidDel="00000000" w:rsidP="00000000" w:rsidRDefault="00000000" w:rsidRPr="00000000" w14:paraId="00000016">
      <w:pPr>
        <w:spacing w:after="60" w:before="0" w:line="240" w:lineRule="auto"/>
        <w:jc w:val="both"/>
        <w:rPr>
          <w:b w:val="1"/>
          <w:bCs w:val="1"/>
          <w:sz w:val="22"/>
          <w:szCs w:val="22"/>
        </w:rPr>
      </w:pPr>
      <w:r w:rsidDel="00000000" w:rsidR="00000000" w:rsidRPr="00000000">
        <w:rPr>
          <w:rtl w:val="0"/>
        </w:rPr>
      </w:r>
    </w:p>
    <w:p w:rsidR="00000000" w:rsidDel="00000000" w:rsidP="00000000" w:rsidRDefault="00000000" w:rsidRPr="00000000" w14:paraId="00000017">
      <w:pPr>
        <w:pStyle w:val="Heading2"/>
        <w:jc w:val="both"/>
        <w:rPr>
          <w:sz w:val="22"/>
          <w:szCs w:val="22"/>
        </w:rPr>
      </w:pPr>
      <w:r w:rsidDel="00000000" w:rsidR="00000000" w:rsidRPr="00000000">
        <w:rPr>
          <w:sz w:val="22"/>
          <w:szCs w:val="22"/>
          <w:rtl w:val="0"/>
        </w:rPr>
        <w:t xml:space="preserve">1.2 Objetivo y alcance</w:t>
      </w:r>
    </w:p>
    <w:p w:rsidR="00000000" w:rsidDel="00000000" w:rsidP="00000000" w:rsidRDefault="00000000" w:rsidRPr="00000000" w14:paraId="00000018">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sz w:val="22"/>
          <w:szCs w:val="22"/>
          <w:rtl w:val="0"/>
        </w:rPr>
        <w:t xml:space="preserve">SAT-Dengue</w:t>
      </w:r>
      <w:r w:rsidDel="00000000" w:rsidR="00000000" w:rsidRPr="00000000">
        <w:rPr>
          <w:rFonts w:ascii="Arial" w:cs="Arial" w:eastAsia="Arial" w:hAnsi="Arial"/>
          <w:b w:val="0"/>
          <w:bCs w:val="0"/>
          <w:i w:val="0"/>
          <w:iCs w:val="0"/>
          <w:color w:val="203040"/>
          <w:sz w:val="22"/>
          <w:szCs w:val="22"/>
          <w:rtl w:val="0"/>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w:rsidR="00000000" w:rsidDel="00000000" w:rsidP="00000000" w:rsidRDefault="00000000" w:rsidRPr="00000000" w14:paraId="00000019">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1A">
      <w:pPr>
        <w:pStyle w:val="Heading2"/>
        <w:jc w:val="both"/>
        <w:rPr>
          <w:sz w:val="22"/>
          <w:szCs w:val="22"/>
        </w:rPr>
      </w:pPr>
      <w:r w:rsidDel="00000000" w:rsidR="00000000" w:rsidRPr="00000000">
        <w:rPr>
          <w:sz w:val="22"/>
          <w:szCs w:val="22"/>
          <w:rtl w:val="0"/>
        </w:rPr>
        <w:t xml:space="preserve">1.3 Conjuntos de datos</w:t>
      </w:r>
    </w:p>
    <w:tbl>
      <w:tblPr>
        <w:tblStyle w:val="Table1"/>
        <w:tblW w:w="10570.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5285"/>
        <w:gridCol w:w="5285"/>
        <w:tblGridChange w:id="0">
          <w:tblGrid>
            <w:gridCol w:w="5285"/>
            <w:gridCol w:w="5285"/>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1B">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Fuente / alcance</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1C">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Uso en la solución</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1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SIVIGILA dengue total, evento 210 · 1.585.040 registros (2007–2024)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1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Serie epidemiológica principal y definición del exceso respecto al canal endémico.</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1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SIVIGILA dengue grave, evento 220 · 48.823 registros (2007–2024)</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2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Serie auxiliar y rezagos epidemiológicos.</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2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Variables climáticas mensuales ERA5/CHIRPS · 9 covariables</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2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Temperatura, rocío, lluvia, suelo, escorrentía, evaporación, viento y radiación; el Champion también usa rezagos climáticos.</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2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Panel procesado · 1.114 municipios; piloto: Cali y Bucaramanga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2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Panel municipio-mes con ceros explícitos. La fecha de referencia es inicio de síntomas (INI_SIN), con notificación como respaldo.</w:t>
            </w:r>
            <w:r w:rsidDel="00000000" w:rsidR="00000000" w:rsidRPr="00000000">
              <w:rPr>
                <w:rtl w:val="0"/>
              </w:rPr>
            </w:r>
          </w:p>
        </w:tc>
      </w:tr>
    </w:tbl>
    <w:p w:rsidR="00000000" w:rsidDel="00000000" w:rsidP="00000000" w:rsidRDefault="00000000" w:rsidRPr="00000000" w14:paraId="00000025">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w:rsidR="00000000" w:rsidDel="00000000" w:rsidP="00000000" w:rsidRDefault="00000000" w:rsidRPr="00000000" w14:paraId="00000026">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27">
      <w:pPr>
        <w:pStyle w:val="Heading2"/>
        <w:jc w:val="both"/>
        <w:rPr>
          <w:sz w:val="22"/>
          <w:szCs w:val="22"/>
        </w:rPr>
      </w:pPr>
      <w:r w:rsidDel="00000000" w:rsidR="00000000" w:rsidRPr="00000000">
        <w:rPr>
          <w:sz w:val="22"/>
          <w:szCs w:val="22"/>
          <w:rtl w:val="0"/>
        </w:rPr>
        <w:t xml:space="preserve">1.4 Cambios respecto a Entrega 2</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Pregunta de negocio reformulada alrededor del usuario, la acción y los horizontes T+1/T+2; se fijan como clientes las dos Secretarías de Salud municipales.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Se congeló un contrato de 39 predictoras: de 41 variables numéricas construidas, se excluyen los conteos contemporáneos crudos casos_clasico y casos_grave; su información histórica entra mediante rezagos y ventanas móviles.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Se corrigió la comparabilidad de métricas en MLflow y el cálculo de inicios T+2; el reporte usa una sola línea base numérica sobre Cali+Bucaramanga.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 w:before="0" w:line="240" w:lineRule="auto"/>
        <w:ind w:left="360" w:right="0" w:hanging="360"/>
        <w:jc w:val="both"/>
        <w:rPr>
          <w:sz w:val="22"/>
          <w:szCs w:val="22"/>
        </w:rPr>
      </w:pPr>
      <w:sdt>
        <w:sdtPr>
          <w:id w:val="-1728696535"/>
          <w:tag w:val="goog_rdk_0"/>
        </w:sdtPr>
        <w:sdtContent>
          <w:r w:rsidDel="00000000" w:rsidR="00000000" w:rsidRPr="00000000">
            <w:rPr>
              <w:rFonts w:ascii="Arial Unicode MS" w:cs="Arial Unicode MS" w:eastAsia="Arial Unicode MS" w:hAnsi="Arial Unicode MS"/>
              <w:b w:val="0"/>
              <w:bCs w:val="0"/>
              <w:i w:val="0"/>
              <w:iCs w:val="0"/>
              <w:smallCaps w:val="0"/>
              <w:strike w:val="0"/>
              <w:color w:val="203040"/>
              <w:sz w:val="22"/>
              <w:szCs w:val="22"/>
              <w:u w:val="none"/>
              <w:shd w:fill="auto" w:val="clear"/>
              <w:vertAlign w:val="baseline"/>
              <w:rtl w:val="0"/>
            </w:rPr>
            <w:t xml:space="preserve">Se consolidó la integración Champion → FastAPI /api/v2 → SQLite → dashboard, con latest/history y pruebas E2E. Permanecen como cierres obligatorios la ablación solicitada por el profesor, la evidencia explícita inicio/continuación en UI y los soportes Docker/video.</w:t>
          </w:r>
        </w:sdtContent>
      </w:sdt>
    </w:p>
    <w:p w:rsidR="00000000" w:rsidDel="00000000" w:rsidP="00000000" w:rsidRDefault="00000000" w:rsidRPr="00000000" w14:paraId="0000002C">
      <w:pPr>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jc w:val="center"/>
        <w:rPr>
          <w:sz w:val="22"/>
          <w:szCs w:val="22"/>
        </w:rPr>
      </w:pPr>
      <w:r w:rsidDel="00000000" w:rsidR="00000000" w:rsidRPr="00000000">
        <w:rPr>
          <w:sz w:val="22"/>
          <w:szCs w:val="22"/>
          <w:rtl w:val="0"/>
        </w:rPr>
        <w:t xml:space="preserve">2. Modelos desarrollados y su evaluación</w:t>
      </w:r>
    </w:p>
    <w:p w:rsidR="00000000" w:rsidDel="00000000" w:rsidP="00000000" w:rsidRDefault="00000000" w:rsidRPr="00000000" w14:paraId="0000002E">
      <w:pPr>
        <w:pStyle w:val="Heading2"/>
        <w:jc w:val="both"/>
        <w:rPr>
          <w:sz w:val="22"/>
          <w:szCs w:val="22"/>
        </w:rPr>
      </w:pPr>
      <w:r w:rsidDel="00000000" w:rsidR="00000000" w:rsidRPr="00000000">
        <w:rPr>
          <w:sz w:val="22"/>
          <w:szCs w:val="22"/>
          <w:rtl w:val="0"/>
        </w:rPr>
        <w:t xml:space="preserve">2.1 Modelos entrenados y protocolo de evaluación</w:t>
      </w:r>
    </w:p>
    <w:p w:rsidR="00000000" w:rsidDel="00000000" w:rsidP="00000000" w:rsidRDefault="00000000" w:rsidRPr="00000000" w14:paraId="0000002F">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sidDel="00000000" w:rsidR="00000000" w:rsidRPr="00000000">
        <w:rPr>
          <w:rtl w:val="0"/>
        </w:rPr>
      </w:r>
    </w:p>
    <w:p w:rsidR="00000000" w:rsidDel="00000000" w:rsidP="00000000" w:rsidRDefault="00000000" w:rsidRPr="00000000" w14:paraId="00000030">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w:rsidR="00000000" w:rsidDel="00000000" w:rsidP="00000000" w:rsidRDefault="00000000" w:rsidRPr="00000000" w14:paraId="00000031">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32">
      <w:pPr>
        <w:pStyle w:val="Heading2"/>
        <w:jc w:val="both"/>
        <w:rPr>
          <w:sz w:val="22"/>
          <w:szCs w:val="22"/>
        </w:rPr>
      </w:pPr>
      <w:r w:rsidDel="00000000" w:rsidR="00000000" w:rsidRPr="00000000">
        <w:rPr>
          <w:sz w:val="22"/>
          <w:szCs w:val="22"/>
          <w:rtl w:val="0"/>
        </w:rPr>
        <w:t xml:space="preserve">2.2 Selección de características</w:t>
      </w:r>
    </w:p>
    <w:p w:rsidR="00000000" w:rsidDel="00000000" w:rsidP="00000000" w:rsidRDefault="00000000" w:rsidRPr="00000000" w14:paraId="00000033">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sidDel="00000000" w:rsidR="00000000" w:rsidRPr="00000000">
        <w:rPr>
          <w:rtl w:val="0"/>
        </w:rPr>
      </w:r>
    </w:p>
    <w:tbl>
      <w:tblPr>
        <w:tblStyle w:val="Table2"/>
        <w:tblW w:w="10569.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3523"/>
        <w:gridCol w:w="3523"/>
        <w:gridCol w:w="3523"/>
        <w:tblGridChange w:id="0">
          <w:tblGrid>
            <w:gridCol w:w="3523"/>
            <w:gridCol w:w="3523"/>
            <w:gridCol w:w="3523"/>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34">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Familia</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35">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Predictoras contractuales</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36">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n</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3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Clima actual</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temp_mean_c; dewpoint_mean_c; rain_mm_day; soil_water_l1_mean; surface_runoff_mm_day; total_evaporation_mm_day_ecmwf; wind_u_mean_ms; wind_v_mean_ms; solar_radiation_mj_m2_day</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9</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3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Epidemiología histórica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3B">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casos_grave_lag_1/2/3/4/6, casos_grave_roll3; casos_clasico_lag_1/2/3/4/6, casos_clasico_roll3</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3C">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12</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3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Rezagos climáticos</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temp_mean_c_lag_1/2/3; rain_mm_day_lag_1/2/3</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3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6</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4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Estacionalidad</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4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mes_sin; mes_cos</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4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4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Canal / estado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4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p25; p75; zona_canal; sir; es_endemico; brote; p25_objetivo; p75_objetivo; zona_objetivo; brote_lag_1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4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10</w:t>
            </w:r>
            <w:r w:rsidDel="00000000" w:rsidR="00000000" w:rsidRPr="00000000">
              <w:rPr>
                <w:rtl w:val="0"/>
              </w:rPr>
            </w:r>
          </w:p>
        </w:tc>
      </w:tr>
    </w:tbl>
    <w:p w:rsidR="00000000" w:rsidDel="00000000" w:rsidP="00000000" w:rsidRDefault="00000000" w:rsidRPr="00000000" w14:paraId="00000046">
      <w:pPr>
        <w:spacing w:after="2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sidDel="00000000" w:rsidR="00000000" w:rsidRPr="00000000">
        <w:rPr>
          <w:rtl w:val="0"/>
        </w:rPr>
      </w:r>
    </w:p>
    <w:p w:rsidR="00000000" w:rsidDel="00000000" w:rsidP="00000000" w:rsidRDefault="00000000" w:rsidRPr="00000000" w14:paraId="00000047">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"Importancia de características del Champion vigente, regenerada después del reentrenamiento; resaltar brote_lag_1, SIR y variables del canal endémico"]</w:t>
      </w:r>
      <w:r w:rsidDel="00000000" w:rsidR="00000000" w:rsidRPr="00000000">
        <w:rPr>
          <w:rtl w:val="0"/>
        </w:rPr>
      </w:r>
    </w:p>
    <w:p w:rsidR="00000000" w:rsidDel="00000000" w:rsidP="00000000" w:rsidRDefault="00000000" w:rsidRPr="00000000" w14:paraId="00000048">
      <w:pPr>
        <w:pStyle w:val="Heading3"/>
        <w:jc w:val="both"/>
        <w:rPr>
          <w:sz w:val="22"/>
          <w:szCs w:val="22"/>
        </w:rPr>
      </w:pPr>
      <w:r w:rsidDel="00000000" w:rsidR="00000000" w:rsidRPr="00000000">
        <w:rPr>
          <w:rtl w:val="0"/>
        </w:rPr>
      </w:r>
    </w:p>
    <w:p w:rsidR="00000000" w:rsidDel="00000000" w:rsidP="00000000" w:rsidRDefault="00000000" w:rsidRPr="00000000" w14:paraId="00000049">
      <w:pPr>
        <w:pStyle w:val="Heading3"/>
        <w:jc w:val="both"/>
        <w:rPr>
          <w:sz w:val="22"/>
          <w:szCs w:val="22"/>
        </w:rPr>
      </w:pPr>
      <w:r w:rsidDel="00000000" w:rsidR="00000000" w:rsidRPr="00000000">
        <w:rPr>
          <w:sz w:val="22"/>
          <w:szCs w:val="22"/>
          <w:rtl w:val="0"/>
        </w:rPr>
        <w:t xml:space="preserve">2.2.1 Prueba de sensibilidad solicitada</w:t>
      </w:r>
    </w:p>
    <w:p w:rsidR="00000000" w:rsidDel="00000000" w:rsidP="00000000" w:rsidRDefault="00000000" w:rsidRPr="00000000" w14:paraId="0000004A">
      <w:pPr>
        <w:spacing w:after="40" w:before="0" w:line="240" w:lineRule="auto"/>
        <w:jc w:val="both"/>
        <w:rPr>
          <w:rFonts w:ascii="Arial" w:cs="Arial" w:eastAsia="Arial" w:hAnsi="Arial"/>
          <w:b w:val="0"/>
          <w:bCs w:val="0"/>
          <w:i w:val="0"/>
          <w:iCs w:val="0"/>
          <w:color w:val="203040"/>
          <w:sz w:val="22"/>
          <w:szCs w:val="22"/>
          <w:highlight w:val="yellow"/>
        </w:rPr>
      </w:pPr>
      <w:r w:rsidDel="00000000" w:rsidR="00000000" w:rsidRPr="00000000">
        <w:rPr>
          <w:rFonts w:ascii="Arial" w:cs="Arial" w:eastAsia="Arial" w:hAnsi="Arial"/>
          <w:b w:val="0"/>
          <w:bCs w:val="0"/>
          <w:i w:val="0"/>
          <w:iCs w:val="0"/>
          <w:color w:val="203040"/>
          <w:sz w:val="22"/>
          <w:szCs w:val="22"/>
          <w:highlight w:val="yellow"/>
          <w:rtl w:val="0"/>
        </w:rPr>
        <w:t xml:space="preserve">El profesor solicitó comparar el Champion completo contra una variante sin las variables más directamente asociadas al estado actual del canal endémico. En la línea base congelada no existe una corrida de ablación reproducible; por tanto, no se inventa un delta de desempeño. El experimento pendiente debe reentrenar bajo el mismo split y comparar, como mínimo, F1, PR-AUC e inicios detectados retirando brote, brote_lag_1, zona_canal y sir (y documentando si también se excluyen los percentiles/variables objetivo del canal). </w:t>
      </w:r>
      <w:r w:rsidDel="00000000" w:rsidR="00000000" w:rsidRPr="00000000">
        <w:rPr>
          <w:sz w:val="22"/>
          <w:szCs w:val="22"/>
          <w:highlight w:val="yellow"/>
          <w:rtl w:val="0"/>
        </w:rPr>
        <w:t xml:space="preserve">Revisar si se agrega en la</w:t>
      </w:r>
      <w:r w:rsidDel="00000000" w:rsidR="00000000" w:rsidRPr="00000000">
        <w:rPr>
          <w:rFonts w:ascii="Arial" w:cs="Arial" w:eastAsia="Arial" w:hAnsi="Arial"/>
          <w:b w:val="0"/>
          <w:bCs w:val="0"/>
          <w:i w:val="0"/>
          <w:iCs w:val="0"/>
          <w:color w:val="203040"/>
          <w:sz w:val="22"/>
          <w:szCs w:val="22"/>
          <w:highlight w:val="yellow"/>
          <w:rtl w:val="0"/>
        </w:rPr>
        <w:t xml:space="preserve"> Entrega 3.</w:t>
      </w:r>
    </w:p>
    <w:p w:rsidR="00000000" w:rsidDel="00000000" w:rsidP="00000000" w:rsidRDefault="00000000" w:rsidRPr="00000000" w14:paraId="0000004B">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4C">
      <w:pPr>
        <w:pStyle w:val="Heading2"/>
        <w:jc w:val="both"/>
        <w:rPr>
          <w:sz w:val="22"/>
          <w:szCs w:val="22"/>
        </w:rPr>
      </w:pPr>
      <w:r w:rsidDel="00000000" w:rsidR="00000000" w:rsidRPr="00000000">
        <w:rPr>
          <w:sz w:val="22"/>
          <w:szCs w:val="22"/>
          <w:rtl w:val="0"/>
        </w:rPr>
        <w:t xml:space="preserve">2.3 Evaluación de los modelos</w:t>
      </w:r>
    </w:p>
    <w:p w:rsidR="00000000" w:rsidDel="00000000" w:rsidP="00000000" w:rsidRDefault="00000000" w:rsidRPr="00000000" w14:paraId="0000004D">
      <w:pPr>
        <w:spacing w:after="40" w:before="0" w:line="240" w:lineRule="auto"/>
        <w:jc w:val="both"/>
        <w:rPr>
          <w:sz w:val="22"/>
          <w:szCs w:val="22"/>
          <w:highlight w:val="yellow"/>
        </w:rPr>
      </w:pPr>
      <w:r w:rsidDel="00000000" w:rsidR="00000000" w:rsidRPr="00000000">
        <w:rPr>
          <w:sz w:val="22"/>
          <w:szCs w:val="22"/>
          <w:highlight w:val="yellow"/>
          <w:rtl w:val="0"/>
        </w:rPr>
        <w:t xml:space="preserve">Pendiente texto introductorio</w:t>
      </w:r>
    </w:p>
    <w:tbl>
      <w:tblPr>
        <w:tblStyle w:val="Table3"/>
        <w:tblW w:w="10568.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2642"/>
        <w:gridCol w:w="2642"/>
        <w:gridCol w:w="2642"/>
        <w:gridCol w:w="2642"/>
        <w:tblGridChange w:id="0">
          <w:tblGrid>
            <w:gridCol w:w="2642"/>
            <w:gridCol w:w="2642"/>
            <w:gridCol w:w="2642"/>
            <w:gridCol w:w="2642"/>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4E">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T+1 · n=70, 42 brotes, 3 inicios</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4F">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F1</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50">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PR-AUC</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51">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Inicios</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5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XGBoost</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0,965</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5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LightGBM</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0,965</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0,988</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5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Canal endémico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B">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0,951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C">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0,992</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5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5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Persistencia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5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0,940</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0,992</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6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Poisson</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6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0,914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6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0,993</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6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6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GAM</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0,875</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0,968</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6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w:t>
            </w:r>
            <w:r w:rsidDel="00000000" w:rsidR="00000000" w:rsidRPr="00000000">
              <w:rPr>
                <w:rtl w:val="0"/>
              </w:rPr>
            </w:r>
          </w:p>
        </w:tc>
      </w:tr>
    </w:tbl>
    <w:p w:rsidR="00000000" w:rsidDel="00000000" w:rsidP="00000000" w:rsidRDefault="00000000" w:rsidRPr="00000000" w14:paraId="0000006A">
      <w:pPr>
        <w:spacing w:after="20" w:before="0" w:line="240" w:lineRule="auto"/>
        <w:jc w:val="both"/>
        <w:rPr>
          <w:sz w:val="22"/>
          <w:szCs w:val="22"/>
        </w:rPr>
      </w:pPr>
      <w:r w:rsidDel="00000000" w:rsidR="00000000" w:rsidRPr="00000000">
        <w:rPr>
          <w:rtl w:val="0"/>
        </w:rPr>
      </w:r>
    </w:p>
    <w:p w:rsidR="00000000" w:rsidDel="00000000" w:rsidP="00000000" w:rsidRDefault="00000000" w:rsidRPr="00000000" w14:paraId="0000006B">
      <w:pPr>
        <w:spacing w:after="2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w:rsidR="00000000" w:rsidDel="00000000" w:rsidP="00000000" w:rsidRDefault="00000000" w:rsidRPr="00000000" w14:paraId="0000006C">
      <w:pPr>
        <w:spacing w:after="20" w:before="0" w:line="240" w:lineRule="auto"/>
        <w:jc w:val="both"/>
        <w:rPr>
          <w:sz w:val="22"/>
          <w:szCs w:val="22"/>
        </w:rPr>
      </w:pPr>
      <w:r w:rsidDel="00000000" w:rsidR="00000000" w:rsidRPr="00000000">
        <w:rPr>
          <w:rtl w:val="0"/>
        </w:rPr>
      </w:r>
    </w:p>
    <w:tbl>
      <w:tblPr>
        <w:tblStyle w:val="Table4"/>
        <w:tblW w:w="10569.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3523"/>
        <w:gridCol w:w="3523"/>
        <w:gridCol w:w="3523"/>
        <w:tblGridChange w:id="0">
          <w:tblGrid>
            <w:gridCol w:w="3523"/>
            <w:gridCol w:w="3523"/>
            <w:gridCol w:w="3523"/>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6D">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T+2 · n=68, 3 inicios</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6E">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F1</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6F">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Inicios</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7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LightGBM</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0,920</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2/3</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7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XGBoost</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7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0,918</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7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1/3</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7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GAM</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0,854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7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w:t>
            </w:r>
            <w:r w:rsidDel="00000000" w:rsidR="00000000" w:rsidRPr="00000000">
              <w:rPr>
                <w:rtl w:val="0"/>
              </w:rPr>
            </w:r>
          </w:p>
        </w:tc>
      </w:tr>
    </w:tbl>
    <w:p w:rsidR="00000000" w:rsidDel="00000000" w:rsidP="00000000" w:rsidRDefault="00000000" w:rsidRPr="00000000" w14:paraId="00000079">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La comparación T+2 aún no incluye todos los baselines bajo el mismo protocolo. LightGBM presenta la mejor evidencia T+2 disponible (F1 0,920; 2/3 inicios), por lo que debe conservarse como candidato en una futura reevaluación del Champion.</w:t>
      </w:r>
    </w:p>
    <w:p w:rsidR="00000000" w:rsidDel="00000000" w:rsidP="00000000" w:rsidRDefault="00000000" w:rsidRPr="00000000" w14:paraId="0000007A">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7B">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"Curvas ROC y Precision-Recall regeneradas para las corridas comparables del conjunto de prueba"]</w:t>
      </w:r>
      <w:r w:rsidDel="00000000" w:rsidR="00000000" w:rsidRPr="00000000">
        <w:rPr>
          <w:rtl w:val="0"/>
        </w:rPr>
      </w:r>
    </w:p>
    <w:p w:rsidR="00000000" w:rsidDel="00000000" w:rsidP="00000000" w:rsidRDefault="00000000" w:rsidRPr="00000000" w14:paraId="0000007C">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"Comparación de inicios de brote detectados por XGBoost, LightGBM, canal endémico, persistencia, Poisson y GAM"]</w:t>
      </w:r>
      <w:r w:rsidDel="00000000" w:rsidR="00000000" w:rsidRPr="00000000">
        <w:rPr>
          <w:rtl w:val="0"/>
        </w:rPr>
      </w:r>
    </w:p>
    <w:p w:rsidR="00000000" w:rsidDel="00000000" w:rsidP="00000000" w:rsidRDefault="00000000" w:rsidRPr="00000000" w14:paraId="0000007D">
      <w:pPr>
        <w:pStyle w:val="Heading2"/>
        <w:jc w:val="both"/>
        <w:rPr>
          <w:sz w:val="22"/>
          <w:szCs w:val="22"/>
        </w:rPr>
      </w:pPr>
      <w:r w:rsidDel="00000000" w:rsidR="00000000" w:rsidRPr="00000000">
        <w:rPr>
          <w:rtl w:val="0"/>
        </w:rPr>
      </w:r>
    </w:p>
    <w:p w:rsidR="00000000" w:rsidDel="00000000" w:rsidP="00000000" w:rsidRDefault="00000000" w:rsidRPr="00000000" w14:paraId="0000007E">
      <w:pPr>
        <w:pStyle w:val="Heading2"/>
        <w:jc w:val="both"/>
        <w:rPr>
          <w:sz w:val="22"/>
          <w:szCs w:val="22"/>
        </w:rPr>
      </w:pPr>
      <w:r w:rsidDel="00000000" w:rsidR="00000000" w:rsidRPr="00000000">
        <w:rPr>
          <w:sz w:val="22"/>
          <w:szCs w:val="22"/>
          <w:rtl w:val="0"/>
        </w:rPr>
        <w:t xml:space="preserve">2.4 Gestión de experimentos con MLflow</w:t>
      </w:r>
    </w:p>
    <w:p w:rsidR="00000000" w:rsidDel="00000000" w:rsidP="00000000" w:rsidRDefault="00000000" w:rsidRPr="00000000" w14:paraId="0000007F">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sidDel="00000000" w:rsidR="00000000" w:rsidRPr="00000000">
        <w:rPr>
          <w:rtl w:val="0"/>
        </w:rPr>
      </w:r>
    </w:p>
    <w:p w:rsidR="00000000" w:rsidDel="00000000" w:rsidP="00000000" w:rsidRDefault="00000000" w:rsidRPr="00000000" w14:paraId="00000080">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"Vista de MLflow filtrada por params.conjunto = prueba, mostrando corridas T+1/T+2 y métricas usadas en la comparación final"]</w:t>
      </w:r>
      <w:r w:rsidDel="00000000" w:rsidR="00000000" w:rsidRPr="00000000">
        <w:rPr>
          <w:rtl w:val="0"/>
        </w:rPr>
      </w:r>
    </w:p>
    <w:p w:rsidR="00000000" w:rsidDel="00000000" w:rsidP="00000000" w:rsidRDefault="00000000" w:rsidRPr="00000000" w14:paraId="00000081">
      <w:pPr>
        <w:pStyle w:val="Heading2"/>
        <w:jc w:val="both"/>
        <w:rPr>
          <w:sz w:val="22"/>
          <w:szCs w:val="22"/>
        </w:rPr>
      </w:pPr>
      <w:r w:rsidDel="00000000" w:rsidR="00000000" w:rsidRPr="00000000">
        <w:rPr>
          <w:rtl w:val="0"/>
        </w:rPr>
      </w:r>
    </w:p>
    <w:p w:rsidR="00000000" w:rsidDel="00000000" w:rsidP="00000000" w:rsidRDefault="00000000" w:rsidRPr="00000000" w14:paraId="00000082">
      <w:pPr>
        <w:pStyle w:val="Heading2"/>
        <w:jc w:val="both"/>
        <w:rPr>
          <w:sz w:val="22"/>
          <w:szCs w:val="22"/>
        </w:rPr>
      </w:pPr>
      <w:r w:rsidDel="00000000" w:rsidR="00000000" w:rsidRPr="00000000">
        <w:rPr>
          <w:sz w:val="22"/>
          <w:szCs w:val="22"/>
          <w:rtl w:val="0"/>
        </w:rPr>
        <w:t xml:space="preserve">2.5 Evaluación comparativa y selección del Champion</w:t>
      </w:r>
    </w:p>
    <w:p w:rsidR="00000000" w:rsidDel="00000000" w:rsidP="00000000" w:rsidRDefault="00000000" w:rsidRPr="00000000" w14:paraId="00000083">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sidDel="00000000" w:rsidR="00000000" w:rsidRPr="00000000">
        <w:rPr>
          <w:rtl w:val="0"/>
        </w:rPr>
      </w:r>
    </w:p>
    <w:p w:rsidR="00000000" w:rsidDel="00000000" w:rsidP="00000000" w:rsidRDefault="00000000" w:rsidRPr="00000000" w14:paraId="00000084">
      <w:pPr>
        <w:pStyle w:val="Heading1"/>
        <w:jc w:val="center"/>
        <w:rPr>
          <w:sz w:val="22"/>
          <w:szCs w:val="22"/>
        </w:rPr>
      </w:pPr>
      <w:r w:rsidDel="00000000" w:rsidR="00000000" w:rsidRPr="00000000">
        <w:rPr>
          <w:sz w:val="22"/>
          <w:szCs w:val="22"/>
          <w:rtl w:val="0"/>
        </w:rPr>
        <w:t xml:space="preserve">3. Tablero de predicciones</w:t>
      </w:r>
    </w:p>
    <w:p w:rsidR="00000000" w:rsidDel="00000000" w:rsidP="00000000" w:rsidRDefault="00000000" w:rsidRPr="00000000" w14:paraId="00000085">
      <w:pPr>
        <w:pStyle w:val="Heading2"/>
        <w:jc w:val="both"/>
        <w:rPr>
          <w:sz w:val="22"/>
          <w:szCs w:val="22"/>
        </w:rPr>
      </w:pPr>
      <w:r w:rsidDel="00000000" w:rsidR="00000000" w:rsidRPr="00000000">
        <w:rPr>
          <w:sz w:val="22"/>
          <w:szCs w:val="22"/>
          <w:rtl w:val="0"/>
        </w:rPr>
        <w:t xml:space="preserve">3.1 Arquitectura funcional</w:t>
      </w:r>
    </w:p>
    <w:p w:rsidR="00000000" w:rsidDel="00000000" w:rsidP="00000000" w:rsidRDefault="00000000" w:rsidRPr="00000000" w14:paraId="00000086">
      <w:pPr>
        <w:spacing w:after="4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sidDel="00000000" w:rsidR="00000000" w:rsidRPr="00000000">
        <w:rPr>
          <w:rtl w:val="0"/>
        </w:rPr>
      </w:r>
    </w:p>
    <w:p w:rsidR="00000000" w:rsidDel="00000000" w:rsidP="00000000" w:rsidRDefault="00000000" w:rsidRPr="00000000" w14:paraId="00000087">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"Diagrama de arquitectura final de </w:t>
      </w:r>
      <w:r w:rsidDel="00000000" w:rsidR="00000000" w:rsidRPr="00000000">
        <w:rPr>
          <w:i w:val="1"/>
          <w:iCs w:val="1"/>
          <w:color w:val="5b677a"/>
          <w:sz w:val="22"/>
          <w:szCs w:val="22"/>
          <w:rtl w:val="0"/>
        </w:rPr>
        <w:t xml:space="preserve">SAT_Dengue</w:t>
      </w:r>
      <w:sdt>
        <w:sdtPr>
          <w:id w:val="1676541920"/>
          <w:tag w:val="goog_rdk_1"/>
        </w:sdtPr>
        <w:sdtContent>
          <w:r w:rsidDel="00000000" w:rsidR="00000000" w:rsidRPr="00000000">
            <w:rPr>
              <w:rFonts w:ascii="Arial Unicode MS" w:cs="Arial Unicode MS" w:eastAsia="Arial Unicode MS" w:hAnsi="Arial Unicode MS"/>
              <w:b w:val="0"/>
              <w:bCs w:val="0"/>
              <w:i w:val="1"/>
              <w:iCs w:val="1"/>
              <w:color w:val="5b677a"/>
              <w:sz w:val="22"/>
              <w:szCs w:val="22"/>
              <w:rtl w:val="0"/>
            </w:rPr>
            <w:t xml:space="preserve">: input mensual → Champion → FastAPI /api/v2 → SQLite → GET latest/history → dashboard"]</w:t>
          </w:r>
        </w:sdtContent>
      </w:sdt>
      <w:r w:rsidDel="00000000" w:rsidR="00000000" w:rsidRPr="00000000">
        <w:rPr>
          <w:rtl w:val="0"/>
        </w:rPr>
      </w:r>
    </w:p>
    <w:p w:rsidR="00000000" w:rsidDel="00000000" w:rsidP="00000000" w:rsidRDefault="00000000" w:rsidRPr="00000000" w14:paraId="00000088">
      <w:pPr>
        <w:pStyle w:val="Heading2"/>
        <w:jc w:val="both"/>
        <w:rPr>
          <w:sz w:val="22"/>
          <w:szCs w:val="22"/>
        </w:rPr>
      </w:pPr>
      <w:r w:rsidDel="00000000" w:rsidR="00000000" w:rsidRPr="00000000">
        <w:rPr>
          <w:rtl w:val="0"/>
        </w:rPr>
      </w:r>
    </w:p>
    <w:p w:rsidR="00000000" w:rsidDel="00000000" w:rsidP="00000000" w:rsidRDefault="00000000" w:rsidRPr="00000000" w14:paraId="00000089">
      <w:pPr>
        <w:pStyle w:val="Heading2"/>
        <w:jc w:val="both"/>
        <w:rPr>
          <w:sz w:val="22"/>
          <w:szCs w:val="22"/>
        </w:rPr>
      </w:pPr>
      <w:r w:rsidDel="00000000" w:rsidR="00000000" w:rsidRPr="00000000">
        <w:rPr>
          <w:sz w:val="22"/>
          <w:szCs w:val="22"/>
          <w:rtl w:val="0"/>
        </w:rPr>
        <w:t xml:space="preserve">3.2 Funcionalidades del tablero</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Selección de Bucaramanga o Cali y lectura conjunta de los horizontes T+1 y T+2.</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Etiqueta EXCESO/NO_EXCESO, probabilidad calibrada, umbral, periodo de referencia/objetivo y trazabilidad del modelo/run.</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Consulta de latest y de history; “Actualizar vista” vuelve a leer latest y no dispara una nueva inferencia.</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Contexto epidemiológico (P25, P75 y zona del canal) cuando esos campos están presentes en el input validado; la UI refleja el API sin inventar valores.</w:t>
      </w:r>
    </w:p>
    <w:p w:rsidR="00000000" w:rsidDel="00000000" w:rsidP="00000000" w:rsidRDefault="00000000" w:rsidRPr="00000000" w14:paraId="0000008E">
      <w:pPr>
        <w:spacing w:after="2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Ejemplo real de integración validado con reference_month = 2025-12:</w:t>
      </w:r>
    </w:p>
    <w:p w:rsidR="00000000" w:rsidDel="00000000" w:rsidP="00000000" w:rsidRDefault="00000000" w:rsidRPr="00000000" w14:paraId="0000008F">
      <w:pPr>
        <w:spacing w:after="20" w:before="0" w:line="240" w:lineRule="auto"/>
        <w:jc w:val="both"/>
        <w:rPr>
          <w:sz w:val="22"/>
          <w:szCs w:val="22"/>
        </w:rPr>
      </w:pPr>
      <w:r w:rsidDel="00000000" w:rsidR="00000000" w:rsidRPr="00000000">
        <w:rPr>
          <w:rtl w:val="0"/>
        </w:rPr>
      </w:r>
    </w:p>
    <w:tbl>
      <w:tblPr>
        <w:tblStyle w:val="Table5"/>
        <w:tblW w:w="10570.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2114"/>
        <w:gridCol w:w="2114"/>
        <w:gridCol w:w="2114"/>
        <w:gridCol w:w="2114"/>
        <w:gridCol w:w="2114"/>
        <w:tblGridChange w:id="0">
          <w:tblGrid>
            <w:gridCol w:w="2114"/>
            <w:gridCol w:w="2114"/>
            <w:gridCol w:w="2114"/>
            <w:gridCol w:w="2114"/>
            <w:gridCol w:w="2114"/>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90">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Municipio</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1">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Horizonte</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2">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Prob.</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3">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Umbral</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94">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Etiqueta</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9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Bucaramanga</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0,7347</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9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9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Bucaramanga</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B">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T+2</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C">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0,6724</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0,27</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9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9F">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Cali</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T+1</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0,0132</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0,34</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A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NO_EXCESO</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A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Cali</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T+2</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0,0150</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0,27</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A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NO_EXCESO</w:t>
            </w:r>
            <w:r w:rsidDel="00000000" w:rsidR="00000000" w:rsidRPr="00000000">
              <w:rPr>
                <w:rtl w:val="0"/>
              </w:rPr>
            </w:r>
          </w:p>
        </w:tc>
      </w:tr>
    </w:tbl>
    <w:p w:rsidR="00000000" w:rsidDel="00000000" w:rsidP="00000000" w:rsidRDefault="00000000" w:rsidRPr="00000000" w14:paraId="000000A9">
      <w:pPr>
        <w:pStyle w:val="Heading2"/>
        <w:jc w:val="both"/>
        <w:rPr>
          <w:sz w:val="22"/>
          <w:szCs w:val="22"/>
        </w:rPr>
      </w:pPr>
      <w:r w:rsidDel="00000000" w:rsidR="00000000" w:rsidRPr="00000000">
        <w:rPr>
          <w:rtl w:val="0"/>
        </w:rPr>
      </w:r>
    </w:p>
    <w:p w:rsidR="00000000" w:rsidDel="00000000" w:rsidP="00000000" w:rsidRDefault="00000000" w:rsidRPr="00000000" w14:paraId="000000AA">
      <w:pPr>
        <w:pStyle w:val="Heading2"/>
        <w:jc w:val="both"/>
        <w:rPr>
          <w:sz w:val="22"/>
          <w:szCs w:val="22"/>
        </w:rPr>
      </w:pPr>
      <w:r w:rsidDel="00000000" w:rsidR="00000000" w:rsidRPr="00000000">
        <w:rPr>
          <w:sz w:val="22"/>
          <w:szCs w:val="22"/>
          <w:rtl w:val="0"/>
        </w:rPr>
        <w:t xml:space="preserve">3.3 Diferenciación entre inicio y continuación</w:t>
      </w:r>
    </w:p>
    <w:p w:rsidR="00000000" w:rsidDel="00000000" w:rsidP="00000000" w:rsidRDefault="00000000" w:rsidRPr="00000000" w14:paraId="000000AB">
      <w:pPr>
        <w:spacing w:after="40" w:before="0" w:line="240" w:lineRule="auto"/>
        <w:jc w:val="both"/>
        <w:rPr>
          <w:rFonts w:ascii="Arial" w:cs="Arial" w:eastAsia="Arial" w:hAnsi="Arial"/>
          <w:b w:val="0"/>
          <w:bCs w:val="0"/>
          <w:i w:val="0"/>
          <w:iCs w:val="0"/>
          <w:color w:val="203040"/>
          <w:sz w:val="22"/>
          <w:szCs w:val="22"/>
        </w:rPr>
      </w:pPr>
      <w:r w:rsidDel="00000000" w:rsidR="00000000" w:rsidRPr="00000000">
        <w:rPr>
          <w:rFonts w:ascii="Arial" w:cs="Arial" w:eastAsia="Arial" w:hAnsi="Arial"/>
          <w:b w:val="0"/>
          <w:bCs w:val="0"/>
          <w:i w:val="0"/>
          <w:iCs w:val="0"/>
          <w:color w:val="203040"/>
          <w:sz w:val="22"/>
          <w:szCs w:val="22"/>
          <w:rtl w:val="0"/>
        </w:rPr>
        <w:t xml:space="preserve">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w:rsidR="00000000" w:rsidDel="00000000" w:rsidP="00000000" w:rsidRDefault="00000000" w:rsidRPr="00000000" w14:paraId="000000AC">
      <w:pPr>
        <w:spacing w:after="40" w:before="0" w:line="240" w:lineRule="auto"/>
        <w:jc w:val="both"/>
        <w:rPr>
          <w:sz w:val="22"/>
          <w:szCs w:val="22"/>
        </w:rPr>
      </w:pPr>
      <w:r w:rsidDel="00000000" w:rsidR="00000000" w:rsidRPr="00000000">
        <w:rPr>
          <w:rtl w:val="0"/>
        </w:rPr>
      </w:r>
    </w:p>
    <w:tbl>
      <w:tblPr>
        <w:tblStyle w:val="Table6"/>
        <w:tblW w:w="10569.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3523"/>
        <w:gridCol w:w="3523"/>
        <w:gridCol w:w="3523"/>
        <w:tblGridChange w:id="0">
          <w:tblGrid>
            <w:gridCol w:w="3523"/>
            <w:gridCol w:w="3523"/>
            <w:gridCol w:w="3523"/>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AD">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Estado actual</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AE">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Predicción</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AF">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Interpretación para decisión</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B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 exceso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1">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INICIO DE BROTE — priorizar acción preventiva.</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B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B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EXCESO</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B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CONTINUACIÓN DE BROTE — sostener/reforzar respuesta.</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B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Cualquiera</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7">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NO_EXCESO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B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SIN BROTE previsto — vigilancia y seguimiento.</w:t>
            </w:r>
            <w:r w:rsidDel="00000000" w:rsidR="00000000" w:rsidRPr="00000000">
              <w:rPr>
                <w:rtl w:val="0"/>
              </w:rPr>
            </w:r>
          </w:p>
        </w:tc>
      </w:tr>
    </w:tbl>
    <w:p w:rsidR="00000000" w:rsidDel="00000000" w:rsidP="00000000" w:rsidRDefault="00000000" w:rsidRPr="00000000" w14:paraId="000000B9">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BA">
      <w:pPr>
        <w:spacing w:after="40" w:before="0" w:line="240" w:lineRule="auto"/>
        <w:jc w:val="both"/>
        <w:rPr>
          <w:rFonts w:ascii="Arial" w:cs="Arial" w:eastAsia="Arial" w:hAnsi="Arial"/>
          <w:b w:val="0"/>
          <w:bCs w:val="0"/>
          <w:i w:val="0"/>
          <w:iCs w:val="0"/>
          <w:color w:val="203040"/>
          <w:sz w:val="22"/>
          <w:szCs w:val="22"/>
          <w:highlight w:val="yellow"/>
        </w:rPr>
      </w:pPr>
      <w:r w:rsidDel="00000000" w:rsidR="00000000" w:rsidRPr="00000000">
        <w:rPr>
          <w:rFonts w:ascii="Arial" w:cs="Arial" w:eastAsia="Arial" w:hAnsi="Arial"/>
          <w:b w:val="0"/>
          <w:bCs w:val="0"/>
          <w:i w:val="0"/>
          <w:iCs w:val="0"/>
          <w:color w:val="203040"/>
          <w:sz w:val="22"/>
          <w:szCs w:val="22"/>
          <w:highlight w:val="yellow"/>
          <w:rtl w:val="0"/>
        </w:rPr>
        <w:t xml:space="preserve">Al corte del repositorio no </w:t>
      </w:r>
      <w:r w:rsidDel="00000000" w:rsidR="00000000" w:rsidRPr="00000000">
        <w:rPr>
          <w:sz w:val="22"/>
          <w:szCs w:val="22"/>
          <w:highlight w:val="yellow"/>
          <w:rtl w:val="0"/>
        </w:rPr>
        <w:t xml:space="preserve">tenemos </w:t>
      </w:r>
      <w:r w:rsidDel="00000000" w:rsidR="00000000" w:rsidRPr="00000000">
        <w:rPr>
          <w:rFonts w:ascii="Arial" w:cs="Arial" w:eastAsia="Arial" w:hAnsi="Arial"/>
          <w:b w:val="0"/>
          <w:bCs w:val="0"/>
          <w:i w:val="0"/>
          <w:iCs w:val="0"/>
          <w:color w:val="203040"/>
          <w:sz w:val="22"/>
          <w:szCs w:val="22"/>
          <w:highlight w:val="yellow"/>
          <w:rtl w:val="0"/>
        </w:rPr>
        <w:t xml:space="preserve">evidencia de que estas tres categorías estén expuestas como un badge explícito en la interfaz final. Por ello, la captura de cierre debemos demostrar esta clasificación; no se declara implementada sin evidencia.</w:t>
      </w:r>
    </w:p>
    <w:p w:rsidR="00000000" w:rsidDel="00000000" w:rsidP="00000000" w:rsidRDefault="00000000" w:rsidRPr="00000000" w14:paraId="000000BB">
      <w:pPr>
        <w:spacing w:after="40" w:before="0" w:line="240" w:lineRule="auto"/>
        <w:jc w:val="both"/>
        <w:rPr>
          <w:sz w:val="22"/>
          <w:szCs w:val="22"/>
        </w:rPr>
      </w:pPr>
      <w:r w:rsidDel="00000000" w:rsidR="00000000" w:rsidRPr="00000000">
        <w:rPr>
          <w:rtl w:val="0"/>
        </w:rPr>
      </w:r>
    </w:p>
    <w:p w:rsidR="00000000" w:rsidDel="00000000" w:rsidP="00000000" w:rsidRDefault="00000000" w:rsidRPr="00000000" w14:paraId="000000BC">
      <w:pPr>
        <w:pStyle w:val="Heading2"/>
        <w:jc w:val="both"/>
        <w:rPr>
          <w:sz w:val="22"/>
          <w:szCs w:val="22"/>
        </w:rPr>
      </w:pPr>
      <w:r w:rsidDel="00000000" w:rsidR="00000000" w:rsidRPr="00000000">
        <w:rPr>
          <w:sz w:val="22"/>
          <w:szCs w:val="22"/>
          <w:rtl w:val="0"/>
        </w:rPr>
        <w:t xml:space="preserve">3.4 Evidencia de funcionamiento y calidad de información</w:t>
      </w:r>
    </w:p>
    <w:p w:rsidR="00000000" w:rsidDel="00000000" w:rsidP="00000000" w:rsidRDefault="00000000" w:rsidRPr="00000000" w14:paraId="000000BD">
      <w:pPr>
        <w:spacing w:after="40" w:before="0" w:line="240" w:lineRule="auto"/>
        <w:jc w:val="both"/>
        <w:rPr>
          <w:sz w:val="22"/>
          <w:szCs w:val="22"/>
          <w:highlight w:val="yellow"/>
        </w:rPr>
      </w:pPr>
      <w:r w:rsidDel="00000000" w:rsidR="00000000" w:rsidRPr="00000000">
        <w:rPr>
          <w:rFonts w:ascii="Arial" w:cs="Arial" w:eastAsia="Arial" w:hAnsi="Arial"/>
          <w:b w:val="0"/>
          <w:bCs w:val="0"/>
          <w:i w:val="0"/>
          <w:iCs w:val="0"/>
          <w:color w:val="203040"/>
          <w:sz w:val="22"/>
          <w:szCs w:val="22"/>
          <w:highlight w:val="yellow"/>
          <w:rtl w:val="0"/>
        </w:rPr>
        <w:t xml:space="preserve">La versión final debe priorizar una captura donde la predicción y el canal endémico sean visibles simultáneamente. La API ya preserva probability, threshold, label, run_id, versión y contexto de canal. Los campos no materializados por la fuente actual —por ejemplo casos observados, P50 o una explicación SHAP local vigente— deben mostrarse como ausencia explícita y no completarse con valores sintéticos.</w:t>
      </w:r>
      <w:r w:rsidDel="00000000" w:rsidR="00000000" w:rsidRPr="00000000">
        <w:rPr>
          <w:rtl w:val="0"/>
        </w:rPr>
      </w:r>
    </w:p>
    <w:p w:rsidR="00000000" w:rsidDel="00000000" w:rsidP="00000000" w:rsidRDefault="00000000" w:rsidRPr="00000000" w14:paraId="000000BE">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"Dashboard </w:t>
      </w:r>
      <w:r w:rsidDel="00000000" w:rsidR="00000000" w:rsidRPr="00000000">
        <w:rPr>
          <w:i w:val="1"/>
          <w:iCs w:val="1"/>
          <w:color w:val="5b677a"/>
          <w:sz w:val="22"/>
          <w:szCs w:val="22"/>
          <w:rtl w:val="0"/>
        </w:rPr>
        <w:t xml:space="preserve">SAT-Dengue</w:t>
      </w:r>
      <w:r w:rsidDel="00000000" w:rsidR="00000000" w:rsidRPr="00000000">
        <w:rPr>
          <w:rFonts w:ascii="Arial" w:cs="Arial" w:eastAsia="Arial" w:hAnsi="Arial"/>
          <w:b w:val="0"/>
          <w:bCs w:val="0"/>
          <w:i w:val="1"/>
          <w:iCs w:val="1"/>
          <w:color w:val="5b677a"/>
          <w:sz w:val="22"/>
          <w:szCs w:val="22"/>
          <w:rtl w:val="0"/>
        </w:rPr>
        <w:t xml:space="preserve"> final mostrando municipio, T+1/T+2, probabilidad, threshold, canal endémico, tipo de evento (inicio/continuación/sin brote) y trazabilidad"]</w:t>
      </w:r>
      <w:r w:rsidDel="00000000" w:rsidR="00000000" w:rsidRPr="00000000">
        <w:rPr>
          <w:rtl w:val="0"/>
        </w:rPr>
      </w:r>
    </w:p>
    <w:p w:rsidR="00000000" w:rsidDel="00000000" w:rsidP="00000000" w:rsidRDefault="00000000" w:rsidRPr="00000000" w14:paraId="000000BF">
      <w:pPr>
        <w:pStyle w:val="Heading2"/>
        <w:jc w:val="both"/>
        <w:rPr>
          <w:sz w:val="22"/>
          <w:szCs w:val="22"/>
        </w:rPr>
      </w:pPr>
      <w:r w:rsidDel="00000000" w:rsidR="00000000" w:rsidRPr="00000000">
        <w:rPr>
          <w:rtl w:val="0"/>
        </w:rPr>
      </w:r>
    </w:p>
    <w:p w:rsidR="00000000" w:rsidDel="00000000" w:rsidP="00000000" w:rsidRDefault="00000000" w:rsidRPr="00000000" w14:paraId="000000C0">
      <w:pPr>
        <w:pStyle w:val="Heading2"/>
        <w:jc w:val="both"/>
        <w:rPr>
          <w:sz w:val="22"/>
          <w:szCs w:val="22"/>
        </w:rPr>
      </w:pPr>
      <w:r w:rsidDel="00000000" w:rsidR="00000000" w:rsidRPr="00000000">
        <w:rPr>
          <w:sz w:val="22"/>
          <w:szCs w:val="22"/>
          <w:rtl w:val="0"/>
        </w:rPr>
        <w:t xml:space="preserve">3.5 Integración técnica</w:t>
      </w:r>
    </w:p>
    <w:p w:rsidR="00000000" w:rsidDel="00000000" w:rsidP="00000000" w:rsidRDefault="00000000" w:rsidRPr="00000000" w14:paraId="000000C1">
      <w:pPr>
        <w:spacing w:after="0" w:lineRule="auto"/>
        <w:ind w:left="0" w:firstLine="0"/>
        <w:jc w:val="both"/>
        <w:rPr>
          <w:highlight w:val="yellow"/>
        </w:rPr>
      </w:pPr>
      <w:r w:rsidDel="00000000" w:rsidR="00000000" w:rsidRPr="00000000">
        <w:rPr>
          <w:sz w:val="22"/>
          <w:szCs w:val="22"/>
          <w:highlight w:val="yellow"/>
          <w:rtl w:val="0"/>
        </w:rPr>
        <w:t>El despliegue local se apoya en dos contenedores Docker independientes coordinados por Docker Compose. El contenedor de la API se construye a partir de docker/api.Dockerfile, usando una arquitectura multi-stage sobre python:3.13-slim: la primera etapa instala las dependencias en un prefijo aislado y la segunda copia solo los artefactos necesarios, manteniendo la imagen de producción libre de herramientas de compilación. El proceso corre bajo el usuario appuser (uid 10001, sin privilegios de root), expone el puerto 8001 y arranca con uvicorn api.app.functional:app, que es la aplicación completamente ensamblada con persistencia y orquestación activas. La ruta de la base de datos SQLite se controla mediante la variable de entorno BIOMAC_DB_PATH; en ejecución local apunta a runtime/biomac.db dentro del contenedor, y en el despliegue sobre AWS ECS ese directorio se sustituye por un volumen EFS propiedad del mismo uid, sin cambios en el Dockerfile.</w:t>
      </w:r>
      <w:r w:rsidDel="00000000" w:rsidR="00000000" w:rsidRPr="00000000">
        <w:rPr>
          <w:rtl w:val="0"/>
        </w:rPr>
      </w:r>
    </w:p>
    <w:p>
      <w:pPr>
        <w:spacing w:after="0" w:lineRule="auto"/>
        <w:ind w:left="0" w:firstLine="0"/>
        <w:jc w:val="both"/>
        <w:rPr>
          <w:highlight w:val="yellow"/>
        </w:rPr>
      </w:pPr>
      <w:r>
        <w:t xml:space="preserve">El contenedor del dashboard se construye a partir del Dockerfile ubicado junto al código fuente en dashboard_prototipos/dengue-watch-pro/. Utiliza también una arquitectura multi-stage: la etapa de build corre sobre oven/bun:1-slim y genera un servidor Node.js (preset node-server de Nitro) mediante bun run build; la etapa de producción corre sobre node:22-slim con el mismo usuario no privilegiado (uid 10001) y expone el puerto 3000. La URL de la API (VITE_BIOMAC_API_BASE_URL) se inyecta como argumento de build y queda incorporada en el bundle estático; el valor local (http://localhost:8001/api/v2) debe ser alcanzable tanto desde el navegador del usuario como desde cualquier fetch del proceso Node del dashboard.</w:t>
      </w:r>
    </w:p>
    <w:p>
      <w:pPr>
        <w:spacing w:after="0" w:lineRule="auto"/>
        <w:ind w:left="0" w:firstLine="0"/>
        <w:jc w:val="both"/>
        <w:rPr>
          <w:highlight w:val="yellow"/>
        </w:rPr>
      </w:pPr>
      <w:r>
        <w:t xml:space="preserve">Ambos servicios se orquestan mediante docker-compose.yml con network_mode: host, lo que hace que los puertos 8001 y 3000 queden vinculados directamente a la interfaz de red del host. Esta configuración garantiza que la URL baked-in apunte al mismo endpoint tanto desde el browser como desde el proceso Node, replicando el comportamiento que en AWS logran los dos servicios apuntando al mismo nombre de DNS del ALB. En Railway, la misma configuración de Dockerfiles se mantiene; la plataforma inyecta VITE_BIOMAC_API_BASE_URL como variable de entorno en tiempo de build apuntando a la URL pública del servicio de API.</w:t>
      </w:r>
    </w:p>
    <w:p>
      <w:pPr>
        <w:spacing w:after="0" w:lineRule="auto"/>
        <w:ind w:left="0" w:firstLine="0"/>
        <w:jc w:val="both"/>
        <w:rPr>
          <w:highlight w:val="yellow"/>
        </w:rPr>
      </w:pPr>
      <w:r>
        <w:t xml:space="preserve">El operador solo necesita tres comandos: make up para construir las imágenes y levantar los servicios (incluyendo la instalación automática de Docker si no está presente, vía .install-biomac.sh), make down para detener los contenedores, y make delete para eliminar también las imágenes y volúmenes locales. Los manuales de instalación y usuario, incluidos en tutorial/, documentan en detalle cada variante de sistema operativo (Linux nativo, macOS y Windows vía WSL2).</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2"/>
        <w:jc w:val="both"/>
        <w:rPr>
          <w:sz w:val="22"/>
          <w:szCs w:val="22"/>
        </w:rPr>
      </w:pPr>
      <w:r w:rsidDel="00000000" w:rsidR="00000000" w:rsidRPr="00000000">
        <w:rPr>
          <w:rtl w:val="0"/>
        </w:rPr>
      </w:r>
    </w:p>
    <w:p w:rsidR="00000000" w:rsidDel="00000000" w:rsidP="00000000" w:rsidRDefault="00000000" w:rsidRPr="00000000" w14:paraId="000000C4">
      <w:pPr>
        <w:pStyle w:val="Heading2"/>
        <w:jc w:val="center"/>
        <w:rPr>
          <w:sz w:val="22"/>
          <w:szCs w:val="22"/>
        </w:rPr>
      </w:pPr>
      <w:r w:rsidDel="00000000" w:rsidR="00000000" w:rsidRPr="00000000">
        <w:rPr>
          <w:sz w:val="22"/>
          <w:szCs w:val="22"/>
          <w:rtl w:val="0"/>
        </w:rPr>
        <w:t xml:space="preserve">4. Principales resultados, observaciones y conclusiones</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Desempeño general: en T+1 XGBoost y LightGBM alcanzan F1=0,965; el canal endémico, 0,951. XGBoost detecta 41/42 meses de brote frente a 39/42 del canal, a costa de una falsa alarma adicional (2 vs. 1).</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Horizonte T+2: LightGBM mantiene F1=0,920 y 2/3 inicios, mientras XGBoost obtiene F1=0,918 y 1/3. T+2 es útil como ventana de planificación, pero faltan baselines T+2 completamente comparables antes de declarar una ganancia definitiva.</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Dependencia del estado reciente: la alta importancia observada previamente para brote_lag_1 y variables del canal es coherente con un problema donde la persistencia explica buena parte de los brotes.</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z w:val="22"/>
          <w:szCs w:val="22"/>
          <w:highlight w:val="yellow"/>
        </w:rPr>
      </w:pPr>
      <w:r w:rsidDel="00000000" w:rsidR="00000000" w:rsidRPr="00000000">
        <w:rPr>
          <w:rFonts w:ascii="Arial" w:cs="Arial" w:eastAsia="Arial" w:hAnsi="Arial"/>
          <w:b w:val="0"/>
          <w:bCs w:val="0"/>
          <w:i w:val="0"/>
          <w:iCs w:val="0"/>
          <w:smallCaps w:val="0"/>
          <w:strike w:val="0"/>
          <w:color w:val="203040"/>
          <w:sz w:val="22"/>
          <w:szCs w:val="22"/>
          <w:highlight w:val="yellow"/>
          <w:u w:val="none"/>
          <w:vertAlign w:val="baseline"/>
          <w:rtl w:val="0"/>
        </w:rPr>
        <w:t xml:space="preserve">Probabilidades y producto: el Champion desplegado usa calibración Platt y umbrales explícitos; la API conserva las salidas del modelo y el dashboard se limita a leerlas.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0" w:lineRule="auto"/>
        <w:ind w:left="360" w:right="0" w:hanging="360"/>
        <w:jc w:val="both"/>
        <w:rPr>
          <w:sz w:val="22"/>
          <w:szCs w:val="22"/>
        </w:rPr>
      </w:pP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Conclusión de negocio: </w:t>
      </w:r>
      <w:r w:rsidDel="00000000" w:rsidR="00000000" w:rsidRPr="00000000">
        <w:rPr>
          <w:sz w:val="22"/>
          <w:szCs w:val="22"/>
          <w:rtl w:val="0"/>
        </w:rPr>
        <w:t xml:space="preserve">SAT-Dengue</w:t>
      </w:r>
      <w:r w:rsidDel="00000000" w:rsidR="00000000" w:rsidRPr="00000000">
        <w:rPr>
          <w:rFonts w:ascii="Arial" w:cs="Arial" w:eastAsia="Arial" w:hAnsi="Arial"/>
          <w:b w:val="0"/>
          <w:bCs w:val="0"/>
          <w:i w:val="0"/>
          <w:iCs w:val="0"/>
          <w:smallCaps w:val="0"/>
          <w:strike w:val="0"/>
          <w:color w:val="203040"/>
          <w:sz w:val="22"/>
          <w:szCs w:val="22"/>
          <w:u w:val="none"/>
          <w:shd w:fill="auto" w:val="clear"/>
          <w:vertAlign w:val="baseline"/>
          <w:rtl w:val="0"/>
        </w:rPr>
        <w:t xml:space="preserve"> demuestra un prototipo funcional para llevar una predicción mensual desde datos/modelo hasta una interfaz de decisión.</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360" w:right="0" w:firstLine="0"/>
        <w:jc w:val="both"/>
        <w:rPr>
          <w:sz w:val="22"/>
          <w:szCs w:val="22"/>
        </w:rPr>
      </w:pPr>
      <w:r w:rsidDel="00000000" w:rsidR="00000000" w:rsidRPr="00000000">
        <w:rPr>
          <w:rtl w:val="0"/>
        </w:rPr>
      </w:r>
    </w:p>
    <w:p w:rsidR="00000000" w:rsidDel="00000000" w:rsidP="00000000" w:rsidRDefault="00000000" w:rsidRPr="00000000" w14:paraId="000000CC">
      <w:pPr>
        <w:pStyle w:val="Heading1"/>
        <w:jc w:val="both"/>
        <w:rPr>
          <w:sz w:val="22"/>
          <w:szCs w:val="22"/>
        </w:rPr>
      </w:pPr>
      <w:r w:rsidDel="00000000" w:rsidR="00000000" w:rsidRPr="00000000">
        <w:rPr>
          <w:sz w:val="22"/>
          <w:szCs w:val="22"/>
          <w:rtl w:val="0"/>
        </w:rPr>
        <w:t xml:space="preserve">5. Repositorio de código en GitHub</w:t>
      </w:r>
    </w:p>
    <w:p w:rsidR="00000000" w:rsidDel="00000000" w:rsidP="00000000" w:rsidRDefault="00000000" w:rsidRPr="00000000" w14:paraId="000000CD">
      <w:pPr>
        <w:spacing w:after="2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Repositorio: </w:t>
      </w:r>
      <w:hyperlink r:id="rId7">
        <w:r w:rsidDel="00000000" w:rsidR="00000000" w:rsidRPr="00000000">
          <w:rPr>
            <w:color w:val="1f5aa6"/>
            <w:sz w:val="22"/>
            <w:szCs w:val="22"/>
            <w:u w:val="single"/>
            <w:rtl w:val="0"/>
          </w:rPr>
          <w:t xml:space="preserve">microproyecto-tema3</w:t>
        </w:r>
      </w:hyperlink>
      <w:r w:rsidDel="00000000" w:rsidR="00000000" w:rsidRPr="00000000">
        <w:rPr>
          <w:rtl w:val="0"/>
        </w:rPr>
      </w:r>
    </w:p>
    <w:p w:rsidR="00000000" w:rsidDel="00000000" w:rsidP="00000000" w:rsidRDefault="00000000" w:rsidRPr="00000000" w14:paraId="000000CE">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"Evidencia del API desplegado con endpoints principales visibles"]</w:t>
      </w:r>
      <w:r w:rsidDel="00000000" w:rsidR="00000000" w:rsidRPr="00000000">
        <w:rPr>
          <w:rtl w:val="0"/>
        </w:rPr>
      </w:r>
    </w:p>
    <w:p w:rsidR="00000000" w:rsidDel="00000000" w:rsidP="00000000" w:rsidRDefault="00000000" w:rsidRPr="00000000" w14:paraId="000000CF">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"Evidencia del tablero desplegado consumiendo resultados reales de la API"]</w:t>
      </w:r>
      <w:r w:rsidDel="00000000" w:rsidR="00000000" w:rsidRPr="00000000">
        <w:rPr>
          <w:rtl w:val="0"/>
        </w:rPr>
      </w:r>
    </w:p>
    <w:p w:rsidR="00000000" w:rsidDel="00000000" w:rsidP="00000000" w:rsidRDefault="00000000" w:rsidRPr="00000000" w14:paraId="000000D0">
      <w:pPr>
        <w:shd w:fill="f5f8fc" w:val="clear"/>
        <w:spacing w:after="40" w:before="30" w:line="240" w:lineRule="auto"/>
        <w:ind w:left="216" w:right="216" w:firstLine="0"/>
        <w:jc w:val="both"/>
        <w:rPr>
          <w:sz w:val="22"/>
          <w:szCs w:val="22"/>
        </w:rPr>
      </w:pPr>
      <w:r w:rsidDel="00000000" w:rsidR="00000000" w:rsidRPr="00000000">
        <w:rPr>
          <w:rFonts w:ascii="Arial" w:cs="Arial" w:eastAsia="Arial" w:hAnsi="Arial"/>
          <w:b w:val="0"/>
          <w:bCs w:val="0"/>
          <w:i w:val="1"/>
          <w:iCs w:val="1"/>
          <w:color w:val="5b677a"/>
          <w:sz w:val="22"/>
          <w:szCs w:val="22"/>
          <w:rtl w:val="0"/>
        </w:rPr>
        <w:t xml:space="preserve">[Imagen "Evidencia de imágenes o servicios Docker usados para desplegar API y dashboard"]</w:t>
      </w:r>
      <w:r w:rsidDel="00000000" w:rsidR="00000000" w:rsidRPr="00000000">
        <w:rPr>
          <w:rtl w:val="0"/>
        </w:rPr>
      </w:r>
    </w:p>
    <w:p w:rsidR="00000000" w:rsidDel="00000000" w:rsidP="00000000" w:rsidRDefault="00000000" w:rsidRPr="00000000" w14:paraId="000000D1">
      <w:pPr>
        <w:spacing w:after="2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Manual: </w:t>
      </w:r>
      <w:hyperlink r:id="rId8">
        <w:r w:rsidDel="00000000" w:rsidR="00000000" w:rsidRPr="00000000">
          <w:rPr>
            <w:color w:val="1f5aa6"/>
            <w:sz w:val="22"/>
            <w:szCs w:val="22"/>
            <w:u w:val="single"/>
            <w:rtl w:val="0"/>
          </w:rPr>
          <w:t xml:space="preserve">Manual_Usuario.docx (commit 9c9203e)</w:t>
        </w:r>
      </w:hyperlink>
      <w:r w:rsidDel="00000000" w:rsidR="00000000" w:rsidRPr="00000000">
        <w:rPr>
          <w:rtl w:val="0"/>
        </w:rPr>
      </w:r>
    </w:p>
    <w:p w:rsidR="00000000" w:rsidDel="00000000" w:rsidP="00000000" w:rsidRDefault="00000000" w:rsidRPr="00000000" w14:paraId="000000D2">
      <w:pPr>
        <w:spacing w:after="2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Manual: </w:t>
      </w:r>
      <w:hyperlink r:id="rId9">
        <w:r w:rsidDel="00000000" w:rsidR="00000000" w:rsidRPr="00000000">
          <w:rPr>
            <w:color w:val="1f5aa6"/>
            <w:sz w:val="22"/>
            <w:szCs w:val="22"/>
            <w:u w:val="single"/>
            <w:rtl w:val="0"/>
          </w:rPr>
          <w:t xml:space="preserve">Manual_Instalacion.docx (commit 9c9203e)</w:t>
        </w:r>
      </w:hyperlink>
      <w:r w:rsidDel="00000000" w:rsidR="00000000" w:rsidRPr="00000000">
        <w:rPr>
          <w:rtl w:val="0"/>
        </w:rPr>
      </w:r>
    </w:p>
    <w:p w:rsidR="00000000" w:rsidDel="00000000" w:rsidP="00000000" w:rsidRDefault="00000000" w:rsidRPr="00000000" w14:paraId="000000D3">
      <w:pPr>
        <w:spacing w:after="20" w:before="0" w:line="240" w:lineRule="auto"/>
        <w:jc w:val="both"/>
        <w:rPr>
          <w:sz w:val="22"/>
          <w:szCs w:val="22"/>
        </w:rPr>
      </w:pPr>
      <w:r w:rsidDel="00000000" w:rsidR="00000000" w:rsidRPr="00000000">
        <w:rPr>
          <w:b w:val="1"/>
          <w:bCs w:val="1"/>
          <w:sz w:val="22"/>
          <w:szCs w:val="22"/>
          <w:rtl w:val="0"/>
        </w:rPr>
        <w:t xml:space="preserve">Video</w:t>
      </w:r>
      <w:r w:rsidDel="00000000" w:rsidR="00000000" w:rsidRPr="00000000">
        <w:rPr>
          <w:rFonts w:ascii="Arial" w:cs="Arial" w:eastAsia="Arial" w:hAnsi="Arial"/>
          <w:b w:val="1"/>
          <w:bCs w:val="1"/>
          <w:i w:val="0"/>
          <w:iCs w:val="0"/>
          <w:color w:val="203040"/>
          <w:sz w:val="22"/>
          <w:szCs w:val="22"/>
          <w:rtl w:val="0"/>
        </w:rPr>
        <w:t xml:space="preserve">: </w:t>
      </w:r>
      <w:r w:rsidDel="00000000" w:rsidR="00000000" w:rsidRPr="00000000">
        <w:rPr>
          <w:rtl w:val="0"/>
        </w:rPr>
      </w:r>
    </w:p>
    <w:p w:rsidR="00000000" w:rsidDel="00000000" w:rsidP="00000000" w:rsidRDefault="00000000" w:rsidRPr="00000000" w14:paraId="000000D4">
      <w:pPr>
        <w:pStyle w:val="Heading1"/>
        <w:jc w:val="both"/>
        <w:rPr>
          <w:sz w:val="22"/>
          <w:szCs w:val="22"/>
        </w:rPr>
      </w:pPr>
      <w:r w:rsidDel="00000000" w:rsidR="00000000" w:rsidRPr="00000000">
        <w:rPr>
          <w:rtl w:val="0"/>
        </w:rPr>
      </w:r>
    </w:p>
    <w:p w:rsidR="00000000" w:rsidDel="00000000" w:rsidP="00000000" w:rsidRDefault="00000000" w:rsidRPr="00000000" w14:paraId="000000D5">
      <w:pPr>
        <w:pStyle w:val="Heading1"/>
        <w:jc w:val="both"/>
        <w:rPr>
          <w:sz w:val="22"/>
          <w:szCs w:val="22"/>
        </w:rPr>
      </w:pPr>
      <w:r w:rsidDel="00000000" w:rsidR="00000000" w:rsidRPr="00000000">
        <w:rPr>
          <w:sz w:val="22"/>
          <w:szCs w:val="22"/>
          <w:rtl w:val="0"/>
        </w:rPr>
        <w:t xml:space="preserve">9. Reporte de trabajo en equipo</w:t>
      </w:r>
    </w:p>
    <w:tbl>
      <w:tblPr>
        <w:tblStyle w:val="Table7"/>
        <w:tblW w:w="10570.0" w:type="dxa"/>
        <w:jc w:val="center"/>
        <w:tblBorders>
          <w:top w:color="b8c6d8" w:space="0" w:sz="4" w:val="single"/>
          <w:left w:color="b8c6d8" w:space="0" w:sz="4" w:val="single"/>
          <w:bottom w:color="b8c6d8" w:space="0" w:sz="4" w:val="single"/>
          <w:right w:color="b8c6d8" w:space="0" w:sz="4" w:val="single"/>
          <w:insideH w:color="b8c6d8" w:space="0" w:sz="4" w:val="single"/>
          <w:insideV w:color="b8c6d8" w:space="0" w:sz="4" w:val="single"/>
        </w:tblBorders>
        <w:tblLayout w:type="fixed"/>
        <w:tblLook w:val="0400"/>
      </w:tblPr>
      <w:tblGrid>
        <w:gridCol w:w="5285"/>
        <w:gridCol w:w="5285"/>
        <w:tblGridChange w:id="0">
          <w:tblGrid>
            <w:gridCol w:w="5285"/>
            <w:gridCol w:w="5285"/>
          </w:tblGrid>
        </w:tblGridChange>
      </w:tblGrid>
      <w:tr>
        <w:trPr>
          <w:cantSplit w:val="0"/>
          <w:tblHeader w:val="1"/>
        </w:trPr>
        <w:tc>
          <w:tcPr>
            <w:shd w:fill="d5e5f5" w:val="clear"/>
            <w:tcMar>
              <w:top w:w="45.0" w:type="dxa"/>
              <w:bottom w:w="45.0" w:type="dxa"/>
            </w:tcMar>
            <w:vAlign w:val="center"/>
          </w:tcPr>
          <w:p w:rsidR="00000000" w:rsidDel="00000000" w:rsidP="00000000" w:rsidRDefault="00000000" w:rsidRPr="00000000" w14:paraId="000000D6">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Actividad</w:t>
            </w:r>
            <w:r w:rsidDel="00000000" w:rsidR="00000000" w:rsidRPr="00000000">
              <w:rPr>
                <w:rtl w:val="0"/>
              </w:rPr>
            </w:r>
          </w:p>
        </w:tc>
        <w:tc>
          <w:tcPr>
            <w:shd w:fill="d5e5f5" w:val="clear"/>
            <w:tcMar>
              <w:top w:w="45.0" w:type="dxa"/>
              <w:bottom w:w="45.0" w:type="dxa"/>
            </w:tcMar>
            <w:vAlign w:val="center"/>
          </w:tcPr>
          <w:p w:rsidR="00000000" w:rsidDel="00000000" w:rsidP="00000000" w:rsidRDefault="00000000" w:rsidRPr="00000000" w14:paraId="000000D7">
            <w:pPr>
              <w:spacing w:after="0" w:before="0" w:line="240" w:lineRule="auto"/>
              <w:jc w:val="both"/>
              <w:rPr>
                <w:sz w:val="22"/>
                <w:szCs w:val="22"/>
              </w:rPr>
            </w:pPr>
            <w:r w:rsidDel="00000000" w:rsidR="00000000" w:rsidRPr="00000000">
              <w:rPr>
                <w:rFonts w:ascii="Arial" w:cs="Arial" w:eastAsia="Arial" w:hAnsi="Arial"/>
                <w:b w:val="1"/>
                <w:bCs w:val="1"/>
                <w:i w:val="0"/>
                <w:iCs w:val="0"/>
                <w:color w:val="203040"/>
                <w:sz w:val="22"/>
                <w:szCs w:val="22"/>
                <w:rtl w:val="0"/>
              </w:rPr>
              <w:t xml:space="preserve">Responsable(s) / evidencia</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D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Problema, pregunta de negocio, canal endémico y conclusiones</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D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Todos</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DA">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Descarga/consolidación SIVIGILA y preparación de datos</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DB">
            <w:pPr>
              <w:spacing w:after="0" w:before="0" w:line="240" w:lineRule="auto"/>
              <w:jc w:val="both"/>
              <w:rPr>
                <w:sz w:val="22"/>
                <w:szCs w:val="22"/>
              </w:rPr>
            </w:pP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DC">
            <w:pPr>
              <w:spacing w:after="0" w:before="0" w:line="240" w:lineRule="auto"/>
              <w:jc w:val="both"/>
              <w:rPr>
                <w:sz w:val="22"/>
                <w:szCs w:val="22"/>
              </w:rPr>
            </w:pPr>
            <w:r w:rsidDel="00000000" w:rsidR="00000000" w:rsidRPr="00000000">
              <w:rPr>
                <w:sz w:val="22"/>
                <w:szCs w:val="22"/>
                <w:rtl w:val="0"/>
              </w:rPr>
              <w:t xml:space="preserve">Empaquetado de la solución</w:t>
            </w:r>
          </w:p>
        </w:tc>
        <w:tc>
          <w:tcPr>
            <w:tcMar>
              <w:top w:w="45.0" w:type="dxa"/>
              <w:bottom w:w="45.0" w:type="dxa"/>
            </w:tcMar>
            <w:vAlign w:val="top"/>
          </w:tcPr>
          <w:p w:rsidR="00000000" w:rsidDel="00000000" w:rsidP="00000000" w:rsidRDefault="00000000" w:rsidRPr="00000000" w14:paraId="000000DD">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Sergio Ballesteros.</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DE">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DVC, remoto S3 y estructura/versionamiento del repositorio</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DF">
            <w:pPr>
              <w:spacing w:after="0" w:before="0" w:line="240" w:lineRule="auto"/>
              <w:jc w:val="both"/>
              <w:rPr>
                <w:sz w:val="22"/>
                <w:szCs w:val="22"/>
              </w:rPr>
            </w:pPr>
            <w:r w:rsidDel="00000000" w:rsidR="00000000" w:rsidRPr="00000000">
              <w:rPr>
                <w:sz w:val="22"/>
                <w:szCs w:val="22"/>
                <w:rtl w:val="0"/>
              </w:rPr>
              <w:t xml:space="preserve">Todos</w:t>
            </w:r>
          </w:p>
        </w:tc>
      </w:tr>
      <w:tr>
        <w:trPr>
          <w:cantSplit w:val="0"/>
          <w:tblHeader w:val="0"/>
        </w:trPr>
        <w:tc>
          <w:tcPr>
            <w:tcMar>
              <w:top w:w="45.0" w:type="dxa"/>
              <w:bottom w:w="45.0" w:type="dxa"/>
            </w:tcMar>
            <w:vAlign w:val="top"/>
          </w:tcPr>
          <w:p w:rsidR="00000000" w:rsidDel="00000000" w:rsidP="00000000" w:rsidRDefault="00000000" w:rsidRPr="00000000" w14:paraId="000000E0">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Modelado, comparación y correcciones de métricas T+1/T+2</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E1">
            <w:pPr>
              <w:spacing w:after="0" w:before="0" w:line="240" w:lineRule="auto"/>
              <w:jc w:val="both"/>
              <w:rPr>
                <w:sz w:val="22"/>
                <w:szCs w:val="22"/>
              </w:rPr>
            </w:pP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E2">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MLflow y evidencias de experimentación</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E3">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Nicolas Lara y Stevan Ramirez</w:t>
            </w:r>
            <w:r w:rsidDel="00000000" w:rsidR="00000000" w:rsidRPr="00000000">
              <w:rPr>
                <w:rtl w:val="0"/>
              </w:rPr>
            </w:r>
          </w:p>
        </w:tc>
      </w:tr>
      <w:tr>
        <w:trPr>
          <w:cantSplit w:val="0"/>
          <w:tblHeader w:val="0"/>
        </w:trPr>
        <w:tc>
          <w:tcPr>
            <w:tcMar>
              <w:top w:w="45.0" w:type="dxa"/>
              <w:bottom w:w="45.0" w:type="dxa"/>
            </w:tcMar>
            <w:vAlign w:val="top"/>
          </w:tcPr>
          <w:p w:rsidR="00000000" w:rsidDel="00000000" w:rsidP="00000000" w:rsidRDefault="00000000" w:rsidRPr="00000000" w14:paraId="000000E4">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Dashboard e integración con API</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E5">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Mauricio Rodriguez</w:t>
            </w:r>
            <w:r w:rsidDel="00000000" w:rsidR="00000000" w:rsidRPr="00000000">
              <w:rPr>
                <w:rtl w:val="0"/>
              </w:rPr>
            </w:r>
          </w:p>
        </w:tc>
      </w:tr>
      <w:tr>
        <w:trPr>
          <w:cantSplit w:val="0"/>
          <w:tblHeader w:val="0"/>
        </w:trPr>
        <w:tc>
          <w:tcPr>
            <w:shd w:fill="fafbfc" w:val="clear"/>
            <w:tcMar>
              <w:top w:w="45.0" w:type="dxa"/>
              <w:bottom w:w="45.0" w:type="dxa"/>
            </w:tcMar>
            <w:vAlign w:val="top"/>
          </w:tcPr>
          <w:p w:rsidR="00000000" w:rsidDel="00000000" w:rsidP="00000000" w:rsidRDefault="00000000" w:rsidRPr="00000000" w14:paraId="000000E6">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Documentación Entrega 3, manuales y guion</w:t>
            </w:r>
            <w:r w:rsidDel="00000000" w:rsidR="00000000" w:rsidRPr="00000000">
              <w:rPr>
                <w:rtl w:val="0"/>
              </w:rPr>
            </w:r>
          </w:p>
        </w:tc>
        <w:tc>
          <w:tcPr>
            <w:shd w:fill="fafbfc" w:val="clear"/>
            <w:tcMar>
              <w:top w:w="45.0" w:type="dxa"/>
              <w:bottom w:w="45.0" w:type="dxa"/>
            </w:tcMar>
            <w:vAlign w:val="top"/>
          </w:tcPr>
          <w:p w:rsidR="00000000" w:rsidDel="00000000" w:rsidP="00000000" w:rsidRDefault="00000000" w:rsidRPr="00000000" w14:paraId="000000E7">
            <w:pPr>
              <w:spacing w:after="0" w:before="0" w:line="240" w:lineRule="auto"/>
              <w:jc w:val="both"/>
              <w:rPr>
                <w:sz w:val="22"/>
                <w:szCs w:val="22"/>
              </w:rPr>
            </w:pPr>
            <w:r w:rsidDel="00000000" w:rsidR="00000000" w:rsidRPr="00000000">
              <w:rPr>
                <w:sz w:val="22"/>
                <w:szCs w:val="22"/>
                <w:rtl w:val="0"/>
              </w:rPr>
              <w:t xml:space="preserve">Todos</w:t>
            </w:r>
          </w:p>
        </w:tc>
      </w:tr>
      <w:tr>
        <w:trPr>
          <w:cantSplit w:val="0"/>
          <w:tblHeader w:val="0"/>
        </w:trPr>
        <w:tc>
          <w:tcPr>
            <w:tcMar>
              <w:top w:w="45.0" w:type="dxa"/>
              <w:bottom w:w="45.0" w:type="dxa"/>
            </w:tcMar>
            <w:vAlign w:val="top"/>
          </w:tcPr>
          <w:p w:rsidR="00000000" w:rsidDel="00000000" w:rsidP="00000000" w:rsidRDefault="00000000" w:rsidRPr="00000000" w14:paraId="000000E8">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Integración, revisión y cierre del reporte/video</w:t>
            </w:r>
            <w:r w:rsidDel="00000000" w:rsidR="00000000" w:rsidRPr="00000000">
              <w:rPr>
                <w:rtl w:val="0"/>
              </w:rPr>
            </w:r>
          </w:p>
        </w:tc>
        <w:tc>
          <w:tcPr>
            <w:tcMar>
              <w:top w:w="45.0" w:type="dxa"/>
              <w:bottom w:w="45.0" w:type="dxa"/>
            </w:tcMar>
            <w:vAlign w:val="top"/>
          </w:tcPr>
          <w:p w:rsidR="00000000" w:rsidDel="00000000" w:rsidP="00000000" w:rsidRDefault="00000000" w:rsidRPr="00000000" w14:paraId="000000E9">
            <w:pPr>
              <w:spacing w:after="0" w:before="0" w:line="240" w:lineRule="auto"/>
              <w:jc w:val="both"/>
              <w:rPr>
                <w:sz w:val="22"/>
                <w:szCs w:val="22"/>
              </w:rPr>
            </w:pPr>
            <w:r w:rsidDel="00000000" w:rsidR="00000000" w:rsidRPr="00000000">
              <w:rPr>
                <w:rFonts w:ascii="Arial" w:cs="Arial" w:eastAsia="Arial" w:hAnsi="Arial"/>
                <w:b w:val="0"/>
                <w:bCs w:val="0"/>
                <w:i w:val="0"/>
                <w:iCs w:val="0"/>
                <w:color w:val="203040"/>
                <w:sz w:val="22"/>
                <w:szCs w:val="22"/>
                <w:rtl w:val="0"/>
              </w:rPr>
              <w:t xml:space="preserve">Todos.</w:t>
            </w:r>
            <w:r w:rsidDel="00000000" w:rsidR="00000000" w:rsidRPr="00000000">
              <w:rPr>
                <w:rtl w:val="0"/>
              </w:rPr>
            </w:r>
          </w:p>
        </w:tc>
      </w:tr>
    </w:tbl>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2"/>
          <w:szCs w:val="22"/>
        </w:rPr>
      </w:pPr>
      <w:r w:rsidDel="00000000" w:rsidR="00000000" w:rsidRPr="00000000">
        <w:rPr>
          <w:rtl w:val="0"/>
        </w:rPr>
      </w:r>
    </w:p>
    <w:sectPr>
      <w:headerReference r:id="rId10" w:type="default"/>
      <w:headerReference r:id="rId11" w:type="first"/>
      <w:footerReference r:id="rId12" w:type="default"/>
      <w:footerReference r:id="rId13" w:type="first"/>
      <w:pgSz w:h="15840" w:w="12240" w:orient="portrait"/>
      <w:pgMar w:bottom="691" w:top="749" w:left="835" w:right="835" w:header="317"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6b7280"/>
        <w:sz w:val="14"/>
        <w:szCs w:val="14"/>
        <w:u w:val="none"/>
        <w:shd w:fill="auto" w:val="clear"/>
        <w:vertAlign w:val="baseline"/>
        <w:rtl w:val="0"/>
      </w:rPr>
      <w:t xml:space="preserve">Página </w:t>
    </w:r>
    <w:r w:rsidDel="00000000" w:rsidR="00000000" w:rsidRPr="00000000">
      <w:rPr>
        <w:rFonts w:ascii="Arial" w:cs="Arial" w:eastAsia="Arial" w:hAnsi="Arial"/>
        <w:b w:val="0"/>
        <w:bCs w:val="0"/>
        <w:i w:val="0"/>
        <w:iCs w:val="0"/>
        <w:smallCaps w:val="0"/>
        <w:strike w:val="0"/>
        <w:color w:val="6b7280"/>
        <w:sz w:val="14"/>
        <w:szCs w:val="1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7a8798"/>
        <w:sz w:val="13"/>
        <w:szCs w:val="13"/>
        <w:u w:val="none"/>
        <w:shd w:fill="auto" w:val="clear"/>
        <w:vertAlign w:val="baseline"/>
        <w:rtl w:val="0"/>
      </w:rPr>
      <w:t xml:space="preserve">SAT-Dengue· Entrega 3</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203040"/>
        <w:sz w:val="16"/>
        <w:szCs w:val="1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03040"/>
        <w:sz w:val="16"/>
        <w:szCs w:val="16"/>
        <w:lang w:val="en"/>
      </w:rPr>
    </w:rPrDefault>
    <w:pPrDefault>
      <w:pPr>
        <w:spacing w:after="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120" w:lineRule="auto"/>
    </w:pPr>
    <w:rPr>
      <w:rFonts w:ascii="Arial" w:cs="Arial" w:eastAsia="Arial" w:hAnsi="Arial"/>
      <w:b w:val="1"/>
      <w:bCs w:val="1"/>
      <w:color w:val="1f5aa6"/>
      <w:sz w:val="29"/>
      <w:szCs w:val="29"/>
    </w:rPr>
  </w:style>
  <w:style w:type="paragraph" w:styleId="Heading2">
    <w:name w:val="heading 2"/>
    <w:basedOn w:val="Normal"/>
    <w:next w:val="Normal"/>
    <w:pPr>
      <w:keepNext w:val="1"/>
      <w:keepLines w:val="1"/>
      <w:spacing w:after="40" w:before="60" w:lineRule="auto"/>
    </w:pPr>
    <w:rPr>
      <w:rFonts w:ascii="Arial" w:cs="Arial" w:eastAsia="Arial" w:hAnsi="Arial"/>
      <w:b w:val="1"/>
      <w:bCs w:val="1"/>
      <w:color w:val="1f5aa6"/>
      <w:sz w:val="21"/>
      <w:szCs w:val="21"/>
    </w:rPr>
  </w:style>
  <w:style w:type="paragraph" w:styleId="Heading3">
    <w:name w:val="heading 3"/>
    <w:basedOn w:val="Normal"/>
    <w:next w:val="Normal"/>
    <w:pPr>
      <w:keepNext w:val="1"/>
      <w:keepLines w:val="1"/>
      <w:spacing w:after="40" w:before="60" w:lineRule="auto"/>
    </w:pPr>
    <w:rPr>
      <w:rFonts w:ascii="Arial" w:cs="Arial" w:eastAsia="Arial" w:hAnsi="Arial"/>
      <w:b w:val="1"/>
      <w:bCs w:val="1"/>
      <w:color w:val="1f5aa6"/>
      <w:sz w:val="18"/>
      <w:szCs w:val="18"/>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eastAsia="Arial" w:hAnsi="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mauro-r/microproyecto-tema3/blob/9c9203e72cdf31b3eb26cbcdeeccf82b5981ad40/docs/Manual_Instalacion.docx"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j-mauro-r/microproyecto-tema3" TargetMode="External"/><Relationship Id="rId8" Type="http://schemas.openxmlformats.org/officeDocument/2006/relationships/hyperlink" Target="https://github.com/j-mauro-r/microproyecto-tema3/blob/9c9203e72cdf31b3eb26cbcdeeccf82b5981ad40/docs/Manual_Usuario.doc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Grupo 11 — MAIA</dc:creator>
</cp:coreProperties>
</file>