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Calibri" w:hAnsi="Calibri"/>
          <w:b/>
          <w:sz w:val="26"/>
        </w:rPr>
        <w:t>1. Variable objetivo: casos graves semanales por municipio</w:t>
      </w:r>
    </w:p>
    <w:p>
      <w:pPr>
        <w:spacing w:before="40" w:after="40"/>
        <w:jc w:val="both"/>
      </w:pPr>
      <w:r>
        <w:rPr>
          <w:rFonts w:ascii="Calibri" w:hAnsi="Calibri"/>
          <w:b w:val="0"/>
          <w:sz w:val="22"/>
        </w:rPr>
        <w:t>La distribución de la variable objetivo (número de casos de dengue grave por municipio por semana) presenta un desbalance de clases severo: el 90.0% de las observaciones corresponden a semanas con cero casos graves. El 10.0% restante concentra todos los eventos de interés, con un máximo registrado de 82 casos en una sola semana.</w:t>
      </w:r>
    </w:p>
    <w:tbl>
      <w:tblPr>
        <w:tblStyle w:val="TableGrid"/>
        <w:tblW w:type="auto" w:w="0"/>
        <w:tblLook w:firstColumn="1" w:firstRow="1" w:lastColumn="0" w:lastRow="0" w:noHBand="0" w:noVBand="1" w:val="04A0"/>
      </w:tblPr>
      <w:tblGrid>
        <w:gridCol w:w="4561"/>
        <w:gridCol w:w="4561"/>
      </w:tblGrid>
      <w:tr>
        <w:tc>
          <w:tcPr>
            <w:tcW w:type="dxa" w:w="4561"/>
            <w:shd w:val="clear" w:color="auto" w:fill="D9E1F2"/>
          </w:tcPr>
          <w:p>
            <w:pPr>
              <w:jc w:val="center"/>
            </w:pPr>
            <w:r>
              <w:rPr>
                <w:rFonts w:ascii="Calibri" w:hAnsi="Calibri"/>
                <w:b/>
                <w:sz w:val="20"/>
              </w:rPr>
              <w:t>Estadístico</w:t>
            </w:r>
          </w:p>
        </w:tc>
        <w:tc>
          <w:tcPr>
            <w:tcW w:type="dxa" w:w="4561"/>
            <w:shd w:val="clear" w:color="auto" w:fill="D9E1F2"/>
          </w:tcPr>
          <w:p>
            <w:pPr>
              <w:jc w:val="center"/>
            </w:pPr>
            <w:r>
              <w:rPr>
                <w:rFonts w:ascii="Calibri" w:hAnsi="Calibri"/>
                <w:b/>
                <w:sz w:val="20"/>
              </w:rPr>
              <w:t>Valor</w:t>
            </w:r>
          </w:p>
        </w:tc>
      </w:tr>
      <w:tr>
        <w:tc>
          <w:tcPr>
            <w:tcW w:type="dxa" w:w="4561"/>
          </w:tcPr>
          <w:p>
            <w:pPr>
              <w:jc w:val="left"/>
            </w:pPr>
            <w:r>
              <w:rPr>
                <w:rFonts w:ascii="Calibri" w:hAnsi="Calibri"/>
                <w:b w:val="0"/>
                <w:sz w:val="20"/>
              </w:rPr>
              <w:t>Media</w:t>
            </w:r>
          </w:p>
        </w:tc>
        <w:tc>
          <w:tcPr>
            <w:tcW w:type="dxa" w:w="4561"/>
          </w:tcPr>
          <w:p>
            <w:pPr>
              <w:jc w:val="center"/>
            </w:pPr>
            <w:r>
              <w:rPr>
                <w:rFonts w:ascii="Calibri" w:hAnsi="Calibri"/>
                <w:b w:val="0"/>
                <w:sz w:val="20"/>
              </w:rPr>
              <w:t>0.196</w:t>
            </w:r>
          </w:p>
        </w:tc>
      </w:tr>
      <w:tr>
        <w:tc>
          <w:tcPr>
            <w:tcW w:type="dxa" w:w="4561"/>
          </w:tcPr>
          <w:p>
            <w:pPr>
              <w:jc w:val="left"/>
            </w:pPr>
            <w:r>
              <w:rPr>
                <w:rFonts w:ascii="Calibri" w:hAnsi="Calibri"/>
                <w:b w:val="0"/>
                <w:sz w:val="20"/>
              </w:rPr>
              <w:t>Desviación estándar</w:t>
            </w:r>
          </w:p>
        </w:tc>
        <w:tc>
          <w:tcPr>
            <w:tcW w:type="dxa" w:w="4561"/>
          </w:tcPr>
          <w:p>
            <w:pPr>
              <w:jc w:val="center"/>
            </w:pPr>
            <w:r>
              <w:rPr>
                <w:rFonts w:ascii="Calibri" w:hAnsi="Calibri"/>
                <w:b w:val="0"/>
                <w:sz w:val="20"/>
              </w:rPr>
              <w:t>1.207</w:t>
            </w:r>
          </w:p>
        </w:tc>
      </w:tr>
      <w:tr>
        <w:tc>
          <w:tcPr>
            <w:tcW w:type="dxa" w:w="4561"/>
          </w:tcPr>
          <w:p>
            <w:pPr>
              <w:jc w:val="left"/>
            </w:pPr>
            <w:r>
              <w:rPr>
                <w:rFonts w:ascii="Calibri" w:hAnsi="Calibri"/>
                <w:b w:val="0"/>
                <w:sz w:val="20"/>
              </w:rPr>
              <w:t>Mínimo</w:t>
            </w:r>
          </w:p>
        </w:tc>
        <w:tc>
          <w:tcPr>
            <w:tcW w:type="dxa" w:w="4561"/>
          </w:tcPr>
          <w:p>
            <w:pPr>
              <w:jc w:val="center"/>
            </w:pPr>
            <w:r>
              <w:rPr>
                <w:rFonts w:ascii="Calibri" w:hAnsi="Calibri"/>
                <w:b w:val="0"/>
                <w:sz w:val="20"/>
              </w:rPr>
              <w:t>0</w:t>
            </w:r>
          </w:p>
        </w:tc>
      </w:tr>
      <w:tr>
        <w:tc>
          <w:tcPr>
            <w:tcW w:type="dxa" w:w="4561"/>
          </w:tcPr>
          <w:p>
            <w:pPr>
              <w:jc w:val="left"/>
            </w:pPr>
            <w:r>
              <w:rPr>
                <w:rFonts w:ascii="Calibri" w:hAnsi="Calibri"/>
                <w:b w:val="0"/>
                <w:sz w:val="20"/>
              </w:rPr>
              <w:t>Mediana (P50)</w:t>
            </w:r>
          </w:p>
        </w:tc>
        <w:tc>
          <w:tcPr>
            <w:tcW w:type="dxa" w:w="4561"/>
          </w:tcPr>
          <w:p>
            <w:pPr>
              <w:jc w:val="center"/>
            </w:pPr>
            <w:r>
              <w:rPr>
                <w:rFonts w:ascii="Calibri" w:hAnsi="Calibri"/>
                <w:b w:val="0"/>
                <w:sz w:val="20"/>
              </w:rPr>
              <w:t>0</w:t>
            </w:r>
          </w:p>
        </w:tc>
      </w:tr>
      <w:tr>
        <w:tc>
          <w:tcPr>
            <w:tcW w:type="dxa" w:w="4561"/>
          </w:tcPr>
          <w:p>
            <w:pPr>
              <w:jc w:val="left"/>
            </w:pPr>
            <w:r>
              <w:rPr>
                <w:rFonts w:ascii="Calibri" w:hAnsi="Calibri"/>
                <w:b w:val="0"/>
                <w:sz w:val="20"/>
              </w:rPr>
              <w:t>Máximo</w:t>
            </w:r>
          </w:p>
        </w:tc>
        <w:tc>
          <w:tcPr>
            <w:tcW w:type="dxa" w:w="4561"/>
          </w:tcPr>
          <w:p>
            <w:pPr>
              <w:jc w:val="center"/>
            </w:pPr>
            <w:r>
              <w:rPr>
                <w:rFonts w:ascii="Calibri" w:hAnsi="Calibri"/>
                <w:b w:val="0"/>
                <w:sz w:val="20"/>
              </w:rPr>
              <w:t>82</w:t>
            </w:r>
          </w:p>
        </w:tc>
      </w:tr>
      <w:tr>
        <w:tc>
          <w:tcPr>
            <w:tcW w:type="dxa" w:w="4561"/>
          </w:tcPr>
          <w:p>
            <w:pPr>
              <w:jc w:val="left"/>
            </w:pPr>
            <w:r>
              <w:rPr>
                <w:rFonts w:ascii="Calibri" w:hAnsi="Calibri"/>
                <w:b w:val="0"/>
                <w:sz w:val="20"/>
              </w:rPr>
              <w:t>Filas con grave = 0</w:t>
            </w:r>
          </w:p>
        </w:tc>
        <w:tc>
          <w:tcPr>
            <w:tcW w:type="dxa" w:w="4561"/>
          </w:tcPr>
          <w:p>
            <w:pPr>
              <w:jc w:val="center"/>
            </w:pPr>
            <w:r>
              <w:rPr>
                <w:rFonts w:ascii="Calibri" w:hAnsi="Calibri"/>
                <w:b w:val="0"/>
                <w:sz w:val="20"/>
              </w:rPr>
              <w:t>224,082 (90.0%)</w:t>
            </w:r>
          </w:p>
        </w:tc>
      </w:tr>
      <w:tr>
        <w:tc>
          <w:tcPr>
            <w:tcW w:type="dxa" w:w="4561"/>
          </w:tcPr>
          <w:p>
            <w:pPr>
              <w:jc w:val="left"/>
            </w:pPr>
            <w:r>
              <w:rPr>
                <w:rFonts w:ascii="Calibri" w:hAnsi="Calibri"/>
                <w:b w:val="0"/>
                <w:sz w:val="20"/>
              </w:rPr>
              <w:t>Filas con grave &gt; 0</w:t>
            </w:r>
          </w:p>
        </w:tc>
        <w:tc>
          <w:tcPr>
            <w:tcW w:type="dxa" w:w="4561"/>
          </w:tcPr>
          <w:p>
            <w:pPr>
              <w:jc w:val="center"/>
            </w:pPr>
            <w:r>
              <w:rPr>
                <w:rFonts w:ascii="Calibri" w:hAnsi="Calibri"/>
                <w:b w:val="0"/>
                <w:sz w:val="20"/>
              </w:rPr>
              <w:t>24,831  (10.0%)</w:t>
            </w:r>
          </w:p>
        </w:tc>
      </w:tr>
    </w:tbl>
    <w:p/>
    <w:p>
      <w:pPr>
        <w:spacing w:before="40" w:after="40"/>
        <w:jc w:val="both"/>
      </w:pPr>
      <w:r>
        <w:rPr>
          <w:rFonts w:ascii="Calibri" w:hAnsi="Calibri"/>
          <w:b w:val="0"/>
          <w:sz w:val="22"/>
        </w:rPr>
        <w:t>El desbalance requiere estrategias específicas durante el modelado: uso del parámetro scale_pos_weight en XGBoost, ajuste del umbral de clasificación (threshold tuning) y evaluación mediante métricas robustas a desbalance (AUC-PR, F1, recall por clase).</w:t>
      </w:r>
    </w:p>
    <w:p>
      <w:pPr>
        <w:spacing w:before="280" w:after="80"/>
        <w:jc w:val="left"/>
      </w:pPr>
      <w:r>
        <w:rPr>
          <w:rFonts w:ascii="Calibri" w:hAnsi="Calibri"/>
          <w:b/>
          <w:sz w:val="26"/>
        </w:rPr>
        <w:t>2. Features construidas y su correlación con la variable objetivo</w:t>
      </w:r>
    </w:p>
    <w:p>
      <w:pPr>
        <w:spacing w:before="40" w:after="40"/>
        <w:jc w:val="both"/>
      </w:pPr>
      <w:r>
        <w:rPr>
          <w:rFonts w:ascii="Calibri" w:hAnsi="Calibri"/>
          <w:b w:val="0"/>
          <w:sz w:val="22"/>
        </w:rPr>
        <w:t>Se construyeron 26 features organizadas en cinco grupos. La tabla siguiente resume cada feature, su grupo, cobertura de datos y correlación de Pearson con la variable objetivo. La correlación lineal es un indicador referencial; XGBoost captura relaciones no lineales que la correlación de Pearson no refleja.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9E1F2"/>
          </w:tcPr>
          <w:p>
            <w:pPr>
              <w:jc w:val="center"/>
            </w:pPr>
            <w:r>
              <w:rPr>
                <w:rFonts w:ascii="Calibri" w:hAnsi="Calibri"/>
                <w:b/>
                <w:sz w:val="20"/>
              </w:rPr>
              <w:t>Feature</w:t>
            </w:r>
          </w:p>
        </w:tc>
        <w:tc>
          <w:tcPr>
            <w:tcW w:type="dxa" w:w="1824"/>
            <w:shd w:val="clear" w:color="auto" w:fill="D9E1F2"/>
          </w:tcPr>
          <w:p>
            <w:pPr>
              <w:jc w:val="center"/>
            </w:pPr>
            <w:r>
              <w:rPr>
                <w:rFonts w:ascii="Calibri" w:hAnsi="Calibri"/>
                <w:b/>
                <w:sz w:val="20"/>
              </w:rPr>
              <w:t>Grupo</w:t>
            </w:r>
          </w:p>
        </w:tc>
        <w:tc>
          <w:tcPr>
            <w:tcW w:type="dxa" w:w="1824"/>
            <w:shd w:val="clear" w:color="auto" w:fill="D9E1F2"/>
          </w:tcPr>
          <w:p>
            <w:pPr>
              <w:jc w:val="center"/>
            </w:pPr>
            <w:r>
              <w:rPr>
                <w:rFonts w:ascii="Calibri" w:hAnsi="Calibri"/>
                <w:b/>
                <w:sz w:val="20"/>
              </w:rPr>
              <w:t>Cobertura</w:t>
            </w:r>
          </w:p>
        </w:tc>
        <w:tc>
          <w:tcPr>
            <w:tcW w:type="dxa" w:w="1824"/>
            <w:shd w:val="clear" w:color="auto" w:fill="D9E1F2"/>
          </w:tcPr>
          <w:p>
            <w:pPr>
              <w:jc w:val="center"/>
            </w:pPr>
            <w:r>
              <w:rPr>
                <w:rFonts w:ascii="Calibri" w:hAnsi="Calibri"/>
                <w:b/>
                <w:sz w:val="20"/>
              </w:rPr>
              <w:t>Corr. Pearson</w:t>
            </w:r>
          </w:p>
        </w:tc>
        <w:tc>
          <w:tcPr>
            <w:tcW w:type="dxa" w:w="1824"/>
            <w:shd w:val="clear" w:color="auto" w:fill="D9E1F2"/>
          </w:tcPr>
          <w:p>
            <w:pPr>
              <w:jc w:val="center"/>
            </w:pPr>
            <w:r>
              <w:rPr>
                <w:rFonts w:ascii="Calibri" w:hAnsi="Calibri"/>
                <w:b/>
                <w:sz w:val="20"/>
              </w:rPr>
              <w:t>Observación</w:t>
            </w:r>
          </w:p>
        </w:tc>
      </w:tr>
      <w:tr>
        <w:tc>
          <w:tcPr>
            <w:tcW w:type="dxa" w:w="1824"/>
          </w:tcPr>
          <w:p>
            <w:pPr>
              <w:jc w:val="left"/>
            </w:pPr>
            <w:r>
              <w:rPr>
                <w:rFonts w:ascii="Calibri" w:hAnsi="Calibri"/>
                <w:b w:val="0"/>
                <w:sz w:val="20"/>
              </w:rPr>
              <w:t>grave_roll4</w:t>
            </w:r>
          </w:p>
        </w:tc>
        <w:tc>
          <w:tcPr>
            <w:tcW w:type="dxa" w:w="1824"/>
          </w:tcPr>
          <w:p>
            <w:pPr>
              <w:jc w:val="center"/>
            </w:pPr>
            <w:r>
              <w:rPr>
                <w:rFonts w:ascii="Calibri" w:hAnsi="Calibri"/>
                <w:b w:val="0"/>
                <w:sz w:val="20"/>
              </w:rPr>
              <w:t>Rezago grave</w:t>
            </w:r>
          </w:p>
        </w:tc>
        <w:tc>
          <w:tcPr>
            <w:tcW w:type="dxa" w:w="1824"/>
          </w:tcPr>
          <w:p>
            <w:pPr>
              <w:jc w:val="center"/>
            </w:pPr>
            <w:r>
              <w:rPr>
                <w:rFonts w:ascii="Calibri" w:hAnsi="Calibri"/>
                <w:b w:val="0"/>
                <w:sz w:val="20"/>
              </w:rPr>
              <w:t>99.8%</w:t>
            </w:r>
          </w:p>
        </w:tc>
        <w:tc>
          <w:tcPr>
            <w:tcW w:type="dxa" w:w="1824"/>
          </w:tcPr>
          <w:p>
            <w:pPr>
              <w:jc w:val="center"/>
            </w:pPr>
            <w:r>
              <w:rPr>
                <w:rFonts w:ascii="Calibri" w:hAnsi="Calibri"/>
                <w:b w:val="0"/>
                <w:sz w:val="20"/>
              </w:rPr>
              <w:t>0.382</w:t>
            </w:r>
          </w:p>
        </w:tc>
        <w:tc>
          <w:tcPr>
            <w:tcW w:type="dxa" w:w="1824"/>
          </w:tcPr>
          <w:p>
            <w:pPr>
              <w:jc w:val="center"/>
            </w:pPr>
            <w:r>
              <w:rPr>
                <w:rFonts w:ascii="Calibri" w:hAnsi="Calibri"/>
                <w:b w:val="0"/>
                <w:sz w:val="20"/>
              </w:rPr>
              <w:t>Mejor predictor individual</w:t>
            </w:r>
          </w:p>
        </w:tc>
      </w:tr>
      <w:tr>
        <w:tc>
          <w:tcPr>
            <w:tcW w:type="dxa" w:w="1824"/>
          </w:tcPr>
          <w:p>
            <w:pPr>
              <w:jc w:val="left"/>
            </w:pPr>
            <w:r>
              <w:rPr>
                <w:rFonts w:ascii="Calibri" w:hAnsi="Calibri"/>
                <w:b w:val="0"/>
                <w:sz w:val="20"/>
              </w:rPr>
              <w:t>grave_lag_3</w:t>
            </w:r>
          </w:p>
        </w:tc>
        <w:tc>
          <w:tcPr>
            <w:tcW w:type="dxa" w:w="1824"/>
          </w:tcPr>
          <w:p>
            <w:pPr>
              <w:jc w:val="center"/>
            </w:pPr>
            <w:r>
              <w:rPr>
                <w:rFonts w:ascii="Calibri" w:hAnsi="Calibri"/>
                <w:b w:val="0"/>
                <w:sz w:val="20"/>
              </w:rPr>
              <w:t>Rezago grave</w:t>
            </w:r>
          </w:p>
        </w:tc>
        <w:tc>
          <w:tcPr>
            <w:tcW w:type="dxa" w:w="1824"/>
          </w:tcPr>
          <w:p>
            <w:pPr>
              <w:jc w:val="center"/>
            </w:pPr>
            <w:r>
              <w:rPr>
                <w:rFonts w:ascii="Calibri" w:hAnsi="Calibri"/>
                <w:b w:val="0"/>
                <w:sz w:val="20"/>
              </w:rPr>
              <w:t>99.3%</w:t>
            </w:r>
          </w:p>
        </w:tc>
        <w:tc>
          <w:tcPr>
            <w:tcW w:type="dxa" w:w="1824"/>
          </w:tcPr>
          <w:p>
            <w:pPr>
              <w:jc w:val="center"/>
            </w:pPr>
            <w:r>
              <w:rPr>
                <w:rFonts w:ascii="Calibri" w:hAnsi="Calibri"/>
                <w:b w:val="0"/>
                <w:sz w:val="20"/>
              </w:rPr>
              <w:t>0.282</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grave_lag_1</w:t>
            </w:r>
          </w:p>
        </w:tc>
        <w:tc>
          <w:tcPr>
            <w:tcW w:type="dxa" w:w="1824"/>
          </w:tcPr>
          <w:p>
            <w:pPr>
              <w:jc w:val="center"/>
            </w:pPr>
            <w:r>
              <w:rPr>
                <w:rFonts w:ascii="Calibri" w:hAnsi="Calibri"/>
                <w:b w:val="0"/>
                <w:sz w:val="20"/>
              </w:rPr>
              <w:t>Rezago grave</w:t>
            </w:r>
          </w:p>
        </w:tc>
        <w:tc>
          <w:tcPr>
            <w:tcW w:type="dxa" w:w="1824"/>
          </w:tcPr>
          <w:p>
            <w:pPr>
              <w:jc w:val="center"/>
            </w:pPr>
            <w:r>
              <w:rPr>
                <w:rFonts w:ascii="Calibri" w:hAnsi="Calibri"/>
                <w:b w:val="0"/>
                <w:sz w:val="20"/>
              </w:rPr>
              <w:t>99.8%</w:t>
            </w:r>
          </w:p>
        </w:tc>
        <w:tc>
          <w:tcPr>
            <w:tcW w:type="dxa" w:w="1824"/>
          </w:tcPr>
          <w:p>
            <w:pPr>
              <w:jc w:val="center"/>
            </w:pPr>
            <w:r>
              <w:rPr>
                <w:rFonts w:ascii="Calibri" w:hAnsi="Calibri"/>
                <w:b w:val="0"/>
                <w:sz w:val="20"/>
              </w:rPr>
              <w:t>0.266</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grave_lag_2</w:t>
            </w:r>
          </w:p>
        </w:tc>
        <w:tc>
          <w:tcPr>
            <w:tcW w:type="dxa" w:w="1824"/>
          </w:tcPr>
          <w:p>
            <w:pPr>
              <w:jc w:val="center"/>
            </w:pPr>
            <w:r>
              <w:rPr>
                <w:rFonts w:ascii="Calibri" w:hAnsi="Calibri"/>
                <w:b w:val="0"/>
                <w:sz w:val="20"/>
              </w:rPr>
              <w:t>Rezago grave</w:t>
            </w:r>
          </w:p>
        </w:tc>
        <w:tc>
          <w:tcPr>
            <w:tcW w:type="dxa" w:w="1824"/>
          </w:tcPr>
          <w:p>
            <w:pPr>
              <w:jc w:val="center"/>
            </w:pPr>
            <w:r>
              <w:rPr>
                <w:rFonts w:ascii="Calibri" w:hAnsi="Calibri"/>
                <w:b w:val="0"/>
                <w:sz w:val="20"/>
              </w:rPr>
              <w:t>99.5%</w:t>
            </w:r>
          </w:p>
        </w:tc>
        <w:tc>
          <w:tcPr>
            <w:tcW w:type="dxa" w:w="1824"/>
          </w:tcPr>
          <w:p>
            <w:pPr>
              <w:jc w:val="center"/>
            </w:pPr>
            <w:r>
              <w:rPr>
                <w:rFonts w:ascii="Calibri" w:hAnsi="Calibri"/>
                <w:b w:val="0"/>
                <w:sz w:val="20"/>
              </w:rPr>
              <w:t>0.260</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grave_lag_8</w:t>
            </w:r>
          </w:p>
        </w:tc>
        <w:tc>
          <w:tcPr>
            <w:tcW w:type="dxa" w:w="1824"/>
          </w:tcPr>
          <w:p>
            <w:pPr>
              <w:jc w:val="center"/>
            </w:pPr>
            <w:r>
              <w:rPr>
                <w:rFonts w:ascii="Calibri" w:hAnsi="Calibri"/>
                <w:b w:val="0"/>
                <w:sz w:val="20"/>
              </w:rPr>
              <w:t>Rezago grave</w:t>
            </w:r>
          </w:p>
        </w:tc>
        <w:tc>
          <w:tcPr>
            <w:tcW w:type="dxa" w:w="1824"/>
          </w:tcPr>
          <w:p>
            <w:pPr>
              <w:jc w:val="center"/>
            </w:pPr>
            <w:r>
              <w:rPr>
                <w:rFonts w:ascii="Calibri" w:hAnsi="Calibri"/>
                <w:b w:val="0"/>
                <w:sz w:val="20"/>
              </w:rPr>
              <w:t>98.2%</w:t>
            </w:r>
          </w:p>
        </w:tc>
        <w:tc>
          <w:tcPr>
            <w:tcW w:type="dxa" w:w="1824"/>
          </w:tcPr>
          <w:p>
            <w:pPr>
              <w:jc w:val="center"/>
            </w:pPr>
            <w:r>
              <w:rPr>
                <w:rFonts w:ascii="Calibri" w:hAnsi="Calibri"/>
                <w:b w:val="0"/>
                <w:sz w:val="20"/>
              </w:rPr>
              <w:t>0.240</w:t>
            </w:r>
          </w:p>
        </w:tc>
        <w:tc>
          <w:tcPr>
            <w:tcW w:type="dxa" w:w="1824"/>
          </w:tcPr>
          <w:p>
            <w:pPr>
              <w:jc w:val="center"/>
            </w:pPr>
            <w:r>
              <w:rPr>
                <w:rFonts w:ascii="Calibri" w:hAnsi="Calibri"/>
                <w:b w:val="0"/>
                <w:sz w:val="20"/>
              </w:rPr>
              <w:t>Captura ciclo bianual</w:t>
            </w:r>
          </w:p>
        </w:tc>
      </w:tr>
      <w:tr>
        <w:tc>
          <w:tcPr>
            <w:tcW w:type="dxa" w:w="1824"/>
          </w:tcPr>
          <w:p>
            <w:pPr>
              <w:jc w:val="left"/>
            </w:pPr>
            <w:r>
              <w:rPr>
                <w:rFonts w:ascii="Calibri" w:hAnsi="Calibri"/>
                <w:b w:val="0"/>
                <w:sz w:val="20"/>
              </w:rPr>
              <w:t>grave_lag_4</w:t>
            </w:r>
          </w:p>
        </w:tc>
        <w:tc>
          <w:tcPr>
            <w:tcW w:type="dxa" w:w="1824"/>
          </w:tcPr>
          <w:p>
            <w:pPr>
              <w:jc w:val="center"/>
            </w:pPr>
            <w:r>
              <w:rPr>
                <w:rFonts w:ascii="Calibri" w:hAnsi="Calibri"/>
                <w:b w:val="0"/>
                <w:sz w:val="20"/>
              </w:rPr>
              <w:t>Rezago grave</w:t>
            </w:r>
          </w:p>
        </w:tc>
        <w:tc>
          <w:tcPr>
            <w:tcW w:type="dxa" w:w="1824"/>
          </w:tcPr>
          <w:p>
            <w:pPr>
              <w:jc w:val="center"/>
            </w:pPr>
            <w:r>
              <w:rPr>
                <w:rFonts w:ascii="Calibri" w:hAnsi="Calibri"/>
                <w:b w:val="0"/>
                <w:sz w:val="20"/>
              </w:rPr>
              <w:t>99.1%</w:t>
            </w:r>
          </w:p>
        </w:tc>
        <w:tc>
          <w:tcPr>
            <w:tcW w:type="dxa" w:w="1824"/>
          </w:tcPr>
          <w:p>
            <w:pPr>
              <w:jc w:val="center"/>
            </w:pPr>
            <w:r>
              <w:rPr>
                <w:rFonts w:ascii="Calibri" w:hAnsi="Calibri"/>
                <w:b w:val="0"/>
                <w:sz w:val="20"/>
              </w:rPr>
              <w:t>0.218</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clasico_roll4</w:t>
            </w:r>
          </w:p>
        </w:tc>
        <w:tc>
          <w:tcPr>
            <w:tcW w:type="dxa" w:w="1824"/>
          </w:tcPr>
          <w:p>
            <w:pPr>
              <w:jc w:val="center"/>
            </w:pPr>
            <w:r>
              <w:rPr>
                <w:rFonts w:ascii="Calibri" w:hAnsi="Calibri"/>
                <w:b w:val="0"/>
                <w:sz w:val="20"/>
              </w:rPr>
              <w:t>Rezago clásico</w:t>
            </w:r>
          </w:p>
        </w:tc>
        <w:tc>
          <w:tcPr>
            <w:tcW w:type="dxa" w:w="1824"/>
          </w:tcPr>
          <w:p>
            <w:pPr>
              <w:jc w:val="center"/>
            </w:pPr>
            <w:r>
              <w:rPr>
                <w:rFonts w:ascii="Calibri" w:hAnsi="Calibri"/>
                <w:b w:val="0"/>
                <w:sz w:val="20"/>
              </w:rPr>
              <w:t>99.8%</w:t>
            </w:r>
          </w:p>
        </w:tc>
        <w:tc>
          <w:tcPr>
            <w:tcW w:type="dxa" w:w="1824"/>
          </w:tcPr>
          <w:p>
            <w:pPr>
              <w:jc w:val="center"/>
            </w:pPr>
            <w:r>
              <w:rPr>
                <w:rFonts w:ascii="Calibri" w:hAnsi="Calibri"/>
                <w:b w:val="0"/>
                <w:sz w:val="20"/>
              </w:rPr>
              <w:t>0.191</w:t>
            </w:r>
          </w:p>
        </w:tc>
        <w:tc>
          <w:tcPr>
            <w:tcW w:type="dxa" w:w="1824"/>
          </w:tcPr>
          <w:p>
            <w:pPr>
              <w:jc w:val="center"/>
            </w:pPr>
            <w:r>
              <w:rPr>
                <w:rFonts w:ascii="Calibri" w:hAnsi="Calibri"/>
                <w:b w:val="0"/>
                <w:sz w:val="20"/>
              </w:rPr>
              <w:t>Precursor epidémico</w:t>
            </w:r>
          </w:p>
        </w:tc>
      </w:tr>
      <w:tr>
        <w:tc>
          <w:tcPr>
            <w:tcW w:type="dxa" w:w="1824"/>
          </w:tcPr>
          <w:p>
            <w:pPr>
              <w:jc w:val="left"/>
            </w:pPr>
            <w:r>
              <w:rPr>
                <w:rFonts w:ascii="Calibri" w:hAnsi="Calibri"/>
                <w:b w:val="0"/>
                <w:sz w:val="20"/>
              </w:rPr>
              <w:t>clasico_lag_2</w:t>
            </w:r>
          </w:p>
        </w:tc>
        <w:tc>
          <w:tcPr>
            <w:tcW w:type="dxa" w:w="1824"/>
          </w:tcPr>
          <w:p>
            <w:pPr>
              <w:jc w:val="center"/>
            </w:pPr>
            <w:r>
              <w:rPr>
                <w:rFonts w:ascii="Calibri" w:hAnsi="Calibri"/>
                <w:b w:val="0"/>
                <w:sz w:val="20"/>
              </w:rPr>
              <w:t>Rezago clásico</w:t>
            </w:r>
          </w:p>
        </w:tc>
        <w:tc>
          <w:tcPr>
            <w:tcW w:type="dxa" w:w="1824"/>
          </w:tcPr>
          <w:p>
            <w:pPr>
              <w:jc w:val="center"/>
            </w:pPr>
            <w:r>
              <w:rPr>
                <w:rFonts w:ascii="Calibri" w:hAnsi="Calibri"/>
                <w:b w:val="0"/>
                <w:sz w:val="20"/>
              </w:rPr>
              <w:t>99.5%</w:t>
            </w:r>
          </w:p>
        </w:tc>
        <w:tc>
          <w:tcPr>
            <w:tcW w:type="dxa" w:w="1824"/>
          </w:tcPr>
          <w:p>
            <w:pPr>
              <w:jc w:val="center"/>
            </w:pPr>
            <w:r>
              <w:rPr>
                <w:rFonts w:ascii="Calibri" w:hAnsi="Calibri"/>
                <w:b w:val="0"/>
                <w:sz w:val="20"/>
              </w:rPr>
              <w:t>0.142</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clasico_lag_1</w:t>
            </w:r>
          </w:p>
        </w:tc>
        <w:tc>
          <w:tcPr>
            <w:tcW w:type="dxa" w:w="1824"/>
          </w:tcPr>
          <w:p>
            <w:pPr>
              <w:jc w:val="center"/>
            </w:pPr>
            <w:r>
              <w:rPr>
                <w:rFonts w:ascii="Calibri" w:hAnsi="Calibri"/>
                <w:b w:val="0"/>
                <w:sz w:val="20"/>
              </w:rPr>
              <w:t>Rezago clásico</w:t>
            </w:r>
          </w:p>
        </w:tc>
        <w:tc>
          <w:tcPr>
            <w:tcW w:type="dxa" w:w="1824"/>
          </w:tcPr>
          <w:p>
            <w:pPr>
              <w:jc w:val="center"/>
            </w:pPr>
            <w:r>
              <w:rPr>
                <w:rFonts w:ascii="Calibri" w:hAnsi="Calibri"/>
                <w:b w:val="0"/>
                <w:sz w:val="20"/>
              </w:rPr>
              <w:t>99.8%</w:t>
            </w:r>
          </w:p>
        </w:tc>
        <w:tc>
          <w:tcPr>
            <w:tcW w:type="dxa" w:w="1824"/>
          </w:tcPr>
          <w:p>
            <w:pPr>
              <w:jc w:val="center"/>
            </w:pPr>
            <w:r>
              <w:rPr>
                <w:rFonts w:ascii="Calibri" w:hAnsi="Calibri"/>
                <w:b w:val="0"/>
                <w:sz w:val="20"/>
              </w:rPr>
              <w:t>0.128</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clasico_lag_3</w:t>
            </w:r>
          </w:p>
        </w:tc>
        <w:tc>
          <w:tcPr>
            <w:tcW w:type="dxa" w:w="1824"/>
          </w:tcPr>
          <w:p>
            <w:pPr>
              <w:jc w:val="center"/>
            </w:pPr>
            <w:r>
              <w:rPr>
                <w:rFonts w:ascii="Calibri" w:hAnsi="Calibri"/>
                <w:b w:val="0"/>
                <w:sz w:val="20"/>
              </w:rPr>
              <w:t>Rezago clásico</w:t>
            </w:r>
          </w:p>
        </w:tc>
        <w:tc>
          <w:tcPr>
            <w:tcW w:type="dxa" w:w="1824"/>
          </w:tcPr>
          <w:p>
            <w:pPr>
              <w:jc w:val="center"/>
            </w:pPr>
            <w:r>
              <w:rPr>
                <w:rFonts w:ascii="Calibri" w:hAnsi="Calibri"/>
                <w:b w:val="0"/>
                <w:sz w:val="20"/>
              </w:rPr>
              <w:t>99.3%</w:t>
            </w:r>
          </w:p>
        </w:tc>
        <w:tc>
          <w:tcPr>
            <w:tcW w:type="dxa" w:w="1824"/>
          </w:tcPr>
          <w:p>
            <w:pPr>
              <w:jc w:val="center"/>
            </w:pPr>
            <w:r>
              <w:rPr>
                <w:rFonts w:ascii="Calibri" w:hAnsi="Calibri"/>
                <w:b w:val="0"/>
                <w:sz w:val="20"/>
              </w:rPr>
              <w:t>0.127</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clasico_lag_4</w:t>
            </w:r>
          </w:p>
        </w:tc>
        <w:tc>
          <w:tcPr>
            <w:tcW w:type="dxa" w:w="1824"/>
          </w:tcPr>
          <w:p>
            <w:pPr>
              <w:jc w:val="center"/>
            </w:pPr>
            <w:r>
              <w:rPr>
                <w:rFonts w:ascii="Calibri" w:hAnsi="Calibri"/>
                <w:b w:val="0"/>
                <w:sz w:val="20"/>
              </w:rPr>
              <w:t>Rezago clásico</w:t>
            </w:r>
          </w:p>
        </w:tc>
        <w:tc>
          <w:tcPr>
            <w:tcW w:type="dxa" w:w="1824"/>
          </w:tcPr>
          <w:p>
            <w:pPr>
              <w:jc w:val="center"/>
            </w:pPr>
            <w:r>
              <w:rPr>
                <w:rFonts w:ascii="Calibri" w:hAnsi="Calibri"/>
                <w:b w:val="0"/>
                <w:sz w:val="20"/>
              </w:rPr>
              <w:t>99.1%</w:t>
            </w:r>
          </w:p>
        </w:tc>
        <w:tc>
          <w:tcPr>
            <w:tcW w:type="dxa" w:w="1824"/>
          </w:tcPr>
          <w:p>
            <w:pPr>
              <w:jc w:val="center"/>
            </w:pPr>
            <w:r>
              <w:rPr>
                <w:rFonts w:ascii="Calibri" w:hAnsi="Calibri"/>
                <w:b w:val="0"/>
                <w:sz w:val="20"/>
              </w:rPr>
              <w:t>0.119</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clasico_lag_8</w:t>
            </w:r>
          </w:p>
        </w:tc>
        <w:tc>
          <w:tcPr>
            <w:tcW w:type="dxa" w:w="1824"/>
          </w:tcPr>
          <w:p>
            <w:pPr>
              <w:jc w:val="center"/>
            </w:pPr>
            <w:r>
              <w:rPr>
                <w:rFonts w:ascii="Calibri" w:hAnsi="Calibri"/>
                <w:b w:val="0"/>
                <w:sz w:val="20"/>
              </w:rPr>
              <w:t>Rezago clásico</w:t>
            </w:r>
          </w:p>
        </w:tc>
        <w:tc>
          <w:tcPr>
            <w:tcW w:type="dxa" w:w="1824"/>
          </w:tcPr>
          <w:p>
            <w:pPr>
              <w:jc w:val="center"/>
            </w:pPr>
            <w:r>
              <w:rPr>
                <w:rFonts w:ascii="Calibri" w:hAnsi="Calibri"/>
                <w:b w:val="0"/>
                <w:sz w:val="20"/>
              </w:rPr>
              <w:t>98.2%</w:t>
            </w:r>
          </w:p>
        </w:tc>
        <w:tc>
          <w:tcPr>
            <w:tcW w:type="dxa" w:w="1824"/>
          </w:tcPr>
          <w:p>
            <w:pPr>
              <w:jc w:val="center"/>
            </w:pPr>
            <w:r>
              <w:rPr>
                <w:rFonts w:ascii="Calibri" w:hAnsi="Calibri"/>
                <w:b w:val="0"/>
                <w:sz w:val="20"/>
              </w:rPr>
              <w:t>0.093</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p75</w:t>
            </w:r>
          </w:p>
        </w:tc>
        <w:tc>
          <w:tcPr>
            <w:tcW w:type="dxa" w:w="1824"/>
          </w:tcPr>
          <w:p>
            <w:pPr>
              <w:jc w:val="center"/>
            </w:pPr>
            <w:r>
              <w:rPr>
                <w:rFonts w:ascii="Calibri" w:hAnsi="Calibri"/>
                <w:b w:val="0"/>
                <w:sz w:val="20"/>
              </w:rPr>
              <w:t>Canal endémico</w:t>
            </w:r>
          </w:p>
        </w:tc>
        <w:tc>
          <w:tcPr>
            <w:tcW w:type="dxa" w:w="1824"/>
          </w:tcPr>
          <w:p>
            <w:pPr>
              <w:jc w:val="center"/>
            </w:pPr>
            <w:r>
              <w:rPr>
                <w:rFonts w:ascii="Calibri" w:hAnsi="Calibri"/>
                <w:b w:val="0"/>
                <w:sz w:val="20"/>
              </w:rPr>
              <w:t>99.6%</w:t>
            </w:r>
          </w:p>
        </w:tc>
        <w:tc>
          <w:tcPr>
            <w:tcW w:type="dxa" w:w="1824"/>
          </w:tcPr>
          <w:p>
            <w:pPr>
              <w:jc w:val="center"/>
            </w:pPr>
            <w:r>
              <w:rPr>
                <w:rFonts w:ascii="Calibri" w:hAnsi="Calibri"/>
                <w:b w:val="0"/>
                <w:sz w:val="20"/>
              </w:rPr>
              <w:t>0.228</w:t>
            </w:r>
          </w:p>
        </w:tc>
        <w:tc>
          <w:tcPr>
            <w:tcW w:type="dxa" w:w="1824"/>
          </w:tcPr>
          <w:p>
            <w:pPr>
              <w:jc w:val="center"/>
            </w:pPr>
            <w:r>
              <w:rPr>
                <w:rFonts w:ascii="Calibri" w:hAnsi="Calibri"/>
                <w:b w:val="0"/>
                <w:sz w:val="20"/>
              </w:rPr>
              <w:t>Umbral epidémico histórico</w:t>
            </w:r>
          </w:p>
        </w:tc>
      </w:tr>
      <w:tr>
        <w:tc>
          <w:tcPr>
            <w:tcW w:type="dxa" w:w="1824"/>
          </w:tcPr>
          <w:p>
            <w:pPr>
              <w:jc w:val="left"/>
            </w:pPr>
            <w:r>
              <w:rPr>
                <w:rFonts w:ascii="Calibri" w:hAnsi="Calibri"/>
                <w:b w:val="0"/>
                <w:sz w:val="20"/>
              </w:rPr>
              <w:t>ANO</w:t>
            </w:r>
          </w:p>
        </w:tc>
        <w:tc>
          <w:tcPr>
            <w:tcW w:type="dxa" w:w="1824"/>
          </w:tcPr>
          <w:p>
            <w:pPr>
              <w:jc w:val="center"/>
            </w:pPr>
            <w:r>
              <w:rPr>
                <w:rFonts w:ascii="Calibri" w:hAnsi="Calibri"/>
                <w:b w:val="0"/>
                <w:sz w:val="20"/>
              </w:rPr>
              <w:t>Temporal</w:t>
            </w:r>
          </w:p>
        </w:tc>
        <w:tc>
          <w:tcPr>
            <w:tcW w:type="dxa" w:w="1824"/>
          </w:tcPr>
          <w:p>
            <w:pPr>
              <w:jc w:val="center"/>
            </w:pPr>
            <w:r>
              <w:rPr>
                <w:rFonts w:ascii="Calibri" w:hAnsi="Calibri"/>
                <w:b w:val="0"/>
                <w:sz w:val="20"/>
              </w:rPr>
              <w:t>100%</w:t>
            </w:r>
          </w:p>
        </w:tc>
        <w:tc>
          <w:tcPr>
            <w:tcW w:type="dxa" w:w="1824"/>
          </w:tcPr>
          <w:p>
            <w:pPr>
              <w:jc w:val="center"/>
            </w:pPr>
            <w:r>
              <w:rPr>
                <w:rFonts w:ascii="Calibri" w:hAnsi="Calibri"/>
                <w:b w:val="0"/>
                <w:sz w:val="20"/>
              </w:rPr>
              <w:t>−0.124</w:t>
            </w:r>
          </w:p>
        </w:tc>
        <w:tc>
          <w:tcPr>
            <w:tcW w:type="dxa" w:w="1824"/>
          </w:tcPr>
          <w:p>
            <w:pPr>
              <w:jc w:val="center"/>
            </w:pPr>
            <w:r>
              <w:rPr>
                <w:rFonts w:ascii="Calibri" w:hAnsi="Calibri"/>
                <w:b w:val="0"/>
                <w:sz w:val="20"/>
              </w:rPr>
              <w:t>Tendencia decreciente a largo plazo</w:t>
            </w:r>
          </w:p>
        </w:tc>
      </w:tr>
      <w:tr>
        <w:tc>
          <w:tcPr>
            <w:tcW w:type="dxa" w:w="1824"/>
          </w:tcPr>
          <w:p>
            <w:pPr>
              <w:jc w:val="left"/>
            </w:pPr>
            <w:r>
              <w:rPr>
                <w:rFonts w:ascii="Calibri" w:hAnsi="Calibri"/>
                <w:b w:val="0"/>
                <w:sz w:val="20"/>
              </w:rPr>
              <w:t>zona_canal_lag1</w:t>
            </w:r>
          </w:p>
        </w:tc>
        <w:tc>
          <w:tcPr>
            <w:tcW w:type="dxa" w:w="1824"/>
          </w:tcPr>
          <w:p>
            <w:pPr>
              <w:jc w:val="center"/>
            </w:pPr>
            <w:r>
              <w:rPr>
                <w:rFonts w:ascii="Calibri" w:hAnsi="Calibri"/>
                <w:b w:val="0"/>
                <w:sz w:val="20"/>
              </w:rPr>
              <w:t>Canal endémico</w:t>
            </w:r>
          </w:p>
        </w:tc>
        <w:tc>
          <w:tcPr>
            <w:tcW w:type="dxa" w:w="1824"/>
          </w:tcPr>
          <w:p>
            <w:pPr>
              <w:jc w:val="center"/>
            </w:pPr>
            <w:r>
              <w:rPr>
                <w:rFonts w:ascii="Calibri" w:hAnsi="Calibri"/>
                <w:b w:val="0"/>
                <w:sz w:val="20"/>
              </w:rPr>
              <w:t>99.3%</w:t>
            </w:r>
          </w:p>
        </w:tc>
        <w:tc>
          <w:tcPr>
            <w:tcW w:type="dxa" w:w="1824"/>
          </w:tcPr>
          <w:p>
            <w:pPr>
              <w:jc w:val="center"/>
            </w:pPr>
            <w:r>
              <w:rPr>
                <w:rFonts w:ascii="Calibri" w:hAnsi="Calibri"/>
                <w:b w:val="0"/>
                <w:sz w:val="20"/>
              </w:rPr>
              <w:t>−0.101</w:t>
            </w:r>
          </w:p>
        </w:tc>
        <w:tc>
          <w:tcPr>
            <w:tcW w:type="dxa" w:w="1824"/>
          </w:tcPr>
          <w:p>
            <w:pPr>
              <w:jc w:val="center"/>
            </w:pPr>
            <w:r>
              <w:rPr>
                <w:rFonts w:ascii="Calibri" w:hAnsi="Calibri"/>
                <w:b w:val="0"/>
                <w:sz w:val="20"/>
              </w:rPr>
              <w:t>Zona epidémica semana anterior</w:t>
            </w:r>
          </w:p>
        </w:tc>
      </w:tr>
      <w:tr>
        <w:tc>
          <w:tcPr>
            <w:tcW w:type="dxa" w:w="1824"/>
          </w:tcPr>
          <w:p>
            <w:pPr>
              <w:jc w:val="left"/>
            </w:pPr>
            <w:r>
              <w:rPr>
                <w:rFonts w:ascii="Calibri" w:hAnsi="Calibri"/>
                <w:b w:val="0"/>
                <w:sz w:val="20"/>
              </w:rPr>
              <w:t>es_endemico</w:t>
            </w:r>
          </w:p>
        </w:tc>
        <w:tc>
          <w:tcPr>
            <w:tcW w:type="dxa" w:w="1824"/>
          </w:tcPr>
          <w:p>
            <w:pPr>
              <w:jc w:val="center"/>
            </w:pPr>
            <w:r>
              <w:rPr>
                <w:rFonts w:ascii="Calibri" w:hAnsi="Calibri"/>
                <w:b w:val="0"/>
                <w:sz w:val="20"/>
              </w:rPr>
              <w:t>Canal endémico</w:t>
            </w:r>
          </w:p>
        </w:tc>
        <w:tc>
          <w:tcPr>
            <w:tcW w:type="dxa" w:w="1824"/>
          </w:tcPr>
          <w:p>
            <w:pPr>
              <w:jc w:val="center"/>
            </w:pPr>
            <w:r>
              <w:rPr>
                <w:rFonts w:ascii="Calibri" w:hAnsi="Calibri"/>
                <w:b w:val="0"/>
                <w:sz w:val="20"/>
              </w:rPr>
              <w:t>100%</w:t>
            </w:r>
          </w:p>
        </w:tc>
        <w:tc>
          <w:tcPr>
            <w:tcW w:type="dxa" w:w="1824"/>
          </w:tcPr>
          <w:p>
            <w:pPr>
              <w:jc w:val="center"/>
            </w:pPr>
            <w:r>
              <w:rPr>
                <w:rFonts w:ascii="Calibri" w:hAnsi="Calibri"/>
                <w:b w:val="0"/>
                <w:sz w:val="20"/>
              </w:rPr>
              <w:t>0.023</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p25</w:t>
            </w:r>
          </w:p>
        </w:tc>
        <w:tc>
          <w:tcPr>
            <w:tcW w:type="dxa" w:w="1824"/>
          </w:tcPr>
          <w:p>
            <w:pPr>
              <w:jc w:val="center"/>
            </w:pPr>
            <w:r>
              <w:rPr>
                <w:rFonts w:ascii="Calibri" w:hAnsi="Calibri"/>
                <w:b w:val="0"/>
                <w:sz w:val="20"/>
              </w:rPr>
              <w:t>Canal endémico</w:t>
            </w:r>
          </w:p>
        </w:tc>
        <w:tc>
          <w:tcPr>
            <w:tcW w:type="dxa" w:w="1824"/>
          </w:tcPr>
          <w:p>
            <w:pPr>
              <w:jc w:val="center"/>
            </w:pPr>
            <w:r>
              <w:rPr>
                <w:rFonts w:ascii="Calibri" w:hAnsi="Calibri"/>
                <w:b w:val="0"/>
                <w:sz w:val="20"/>
              </w:rPr>
              <w:t>99.6%</w:t>
            </w:r>
          </w:p>
        </w:tc>
        <w:tc>
          <w:tcPr>
            <w:tcW w:type="dxa" w:w="1824"/>
          </w:tcPr>
          <w:p>
            <w:pPr>
              <w:jc w:val="center"/>
            </w:pPr>
            <w:r>
              <w:rPr>
                <w:rFonts w:ascii="Calibri" w:hAnsi="Calibri"/>
                <w:b w:val="0"/>
                <w:sz w:val="20"/>
              </w:rPr>
              <w:t>0.020</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lst_media</w:t>
            </w:r>
          </w:p>
        </w:tc>
        <w:tc>
          <w:tcPr>
            <w:tcW w:type="dxa" w:w="1824"/>
          </w:tcPr>
          <w:p>
            <w:pPr>
              <w:jc w:val="center"/>
            </w:pPr>
            <w:r>
              <w:rPr>
                <w:rFonts w:ascii="Calibri" w:hAnsi="Calibri"/>
                <w:b w:val="0"/>
                <w:sz w:val="20"/>
              </w:rPr>
              <w:t>Temperatura LST</w:t>
            </w:r>
          </w:p>
        </w:tc>
        <w:tc>
          <w:tcPr>
            <w:tcW w:type="dxa" w:w="1824"/>
          </w:tcPr>
          <w:p>
            <w:pPr>
              <w:jc w:val="center"/>
            </w:pPr>
            <w:r>
              <w:rPr>
                <w:rFonts w:ascii="Calibri" w:hAnsi="Calibri"/>
                <w:b w:val="0"/>
                <w:sz w:val="20"/>
              </w:rPr>
              <w:t>83.5%</w:t>
            </w:r>
          </w:p>
        </w:tc>
        <w:tc>
          <w:tcPr>
            <w:tcW w:type="dxa" w:w="1824"/>
          </w:tcPr>
          <w:p>
            <w:pPr>
              <w:jc w:val="center"/>
            </w:pPr>
            <w:r>
              <w:rPr>
                <w:rFonts w:ascii="Calibri" w:hAnsi="Calibri"/>
                <w:b w:val="0"/>
                <w:sz w:val="20"/>
              </w:rPr>
              <w:t>0.015</w:t>
            </w:r>
          </w:p>
        </w:tc>
        <w:tc>
          <w:tcPr>
            <w:tcW w:type="dxa" w:w="1824"/>
          </w:tcPr>
          <w:p>
            <w:pPr>
              <w:jc w:val="center"/>
            </w:pPr>
            <w:r>
              <w:rPr>
                <w:rFonts w:ascii="Calibri" w:hAnsi="Calibri"/>
                <w:b w:val="0"/>
                <w:sz w:val="20"/>
              </w:rPr>
              <w:t>Relación no lineal esperada</w:t>
            </w:r>
          </w:p>
        </w:tc>
      </w:tr>
      <w:tr>
        <w:tc>
          <w:tcPr>
            <w:tcW w:type="dxa" w:w="1824"/>
          </w:tcPr>
          <w:p>
            <w:pPr>
              <w:jc w:val="left"/>
            </w:pPr>
            <w:r>
              <w:rPr>
                <w:rFonts w:ascii="Calibri" w:hAnsi="Calibri"/>
                <w:b w:val="0"/>
                <w:sz w:val="20"/>
              </w:rPr>
              <w:t>lst_lag_1</w:t>
            </w:r>
          </w:p>
        </w:tc>
        <w:tc>
          <w:tcPr>
            <w:tcW w:type="dxa" w:w="1824"/>
          </w:tcPr>
          <w:p>
            <w:pPr>
              <w:jc w:val="center"/>
            </w:pPr>
            <w:r>
              <w:rPr>
                <w:rFonts w:ascii="Calibri" w:hAnsi="Calibri"/>
                <w:b w:val="0"/>
                <w:sz w:val="20"/>
              </w:rPr>
              <w:t>Temperatura LST</w:t>
            </w:r>
          </w:p>
        </w:tc>
        <w:tc>
          <w:tcPr>
            <w:tcW w:type="dxa" w:w="1824"/>
          </w:tcPr>
          <w:p>
            <w:pPr>
              <w:jc w:val="center"/>
            </w:pPr>
            <w:r>
              <w:rPr>
                <w:rFonts w:ascii="Calibri" w:hAnsi="Calibri"/>
                <w:b w:val="0"/>
                <w:sz w:val="20"/>
              </w:rPr>
              <w:t>83.2%</w:t>
            </w:r>
          </w:p>
        </w:tc>
        <w:tc>
          <w:tcPr>
            <w:tcW w:type="dxa" w:w="1824"/>
          </w:tcPr>
          <w:p>
            <w:pPr>
              <w:jc w:val="center"/>
            </w:pPr>
            <w:r>
              <w:rPr>
                <w:rFonts w:ascii="Calibri" w:hAnsi="Calibri"/>
                <w:b w:val="0"/>
                <w:sz w:val="20"/>
              </w:rPr>
              <w:t>0.014</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lst_lag_2</w:t>
            </w:r>
          </w:p>
        </w:tc>
        <w:tc>
          <w:tcPr>
            <w:tcW w:type="dxa" w:w="1824"/>
          </w:tcPr>
          <w:p>
            <w:pPr>
              <w:jc w:val="center"/>
            </w:pPr>
            <w:r>
              <w:rPr>
                <w:rFonts w:ascii="Calibri" w:hAnsi="Calibri"/>
                <w:b w:val="0"/>
                <w:sz w:val="20"/>
              </w:rPr>
              <w:t>Temperatura LST</w:t>
            </w:r>
          </w:p>
        </w:tc>
        <w:tc>
          <w:tcPr>
            <w:tcW w:type="dxa" w:w="1824"/>
          </w:tcPr>
          <w:p>
            <w:pPr>
              <w:jc w:val="center"/>
            </w:pPr>
            <w:r>
              <w:rPr>
                <w:rFonts w:ascii="Calibri" w:hAnsi="Calibri"/>
                <w:b w:val="0"/>
                <w:sz w:val="20"/>
              </w:rPr>
              <w:t>82.9%</w:t>
            </w:r>
          </w:p>
        </w:tc>
        <w:tc>
          <w:tcPr>
            <w:tcW w:type="dxa" w:w="1824"/>
          </w:tcPr>
          <w:p>
            <w:pPr>
              <w:jc w:val="center"/>
            </w:pPr>
            <w:r>
              <w:rPr>
                <w:rFonts w:ascii="Calibri" w:hAnsi="Calibri"/>
                <w:b w:val="0"/>
                <w:sz w:val="20"/>
              </w:rPr>
              <w:t>0.013</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lst_lag_4</w:t>
            </w:r>
          </w:p>
        </w:tc>
        <w:tc>
          <w:tcPr>
            <w:tcW w:type="dxa" w:w="1824"/>
          </w:tcPr>
          <w:p>
            <w:pPr>
              <w:jc w:val="center"/>
            </w:pPr>
            <w:r>
              <w:rPr>
                <w:rFonts w:ascii="Calibri" w:hAnsi="Calibri"/>
                <w:b w:val="0"/>
                <w:sz w:val="20"/>
              </w:rPr>
              <w:t>Temperatura LST</w:t>
            </w:r>
          </w:p>
        </w:tc>
        <w:tc>
          <w:tcPr>
            <w:tcW w:type="dxa" w:w="1824"/>
          </w:tcPr>
          <w:p>
            <w:pPr>
              <w:jc w:val="center"/>
            </w:pPr>
            <w:r>
              <w:rPr>
                <w:rFonts w:ascii="Calibri" w:hAnsi="Calibri"/>
                <w:b w:val="0"/>
                <w:sz w:val="20"/>
              </w:rPr>
              <w:t>82.3%</w:t>
            </w:r>
          </w:p>
        </w:tc>
        <w:tc>
          <w:tcPr>
            <w:tcW w:type="dxa" w:w="1824"/>
          </w:tcPr>
          <w:p>
            <w:pPr>
              <w:jc w:val="center"/>
            </w:pPr>
            <w:r>
              <w:rPr>
                <w:rFonts w:ascii="Calibri" w:hAnsi="Calibri"/>
                <w:b w:val="0"/>
                <w:sz w:val="20"/>
              </w:rPr>
              <w:t>0.013</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semana_sin</w:t>
            </w:r>
          </w:p>
        </w:tc>
        <w:tc>
          <w:tcPr>
            <w:tcW w:type="dxa" w:w="1824"/>
          </w:tcPr>
          <w:p>
            <w:pPr>
              <w:jc w:val="center"/>
            </w:pPr>
            <w:r>
              <w:rPr>
                <w:rFonts w:ascii="Calibri" w:hAnsi="Calibri"/>
                <w:b w:val="0"/>
                <w:sz w:val="20"/>
              </w:rPr>
              <w:t>Temporal</w:t>
            </w:r>
          </w:p>
        </w:tc>
        <w:tc>
          <w:tcPr>
            <w:tcW w:type="dxa" w:w="1824"/>
          </w:tcPr>
          <w:p>
            <w:pPr>
              <w:jc w:val="center"/>
            </w:pPr>
            <w:r>
              <w:rPr>
                <w:rFonts w:ascii="Calibri" w:hAnsi="Calibri"/>
                <w:b w:val="0"/>
                <w:sz w:val="20"/>
              </w:rPr>
              <w:t>100%</w:t>
            </w:r>
          </w:p>
        </w:tc>
        <w:tc>
          <w:tcPr>
            <w:tcW w:type="dxa" w:w="1824"/>
          </w:tcPr>
          <w:p>
            <w:pPr>
              <w:jc w:val="center"/>
            </w:pPr>
            <w:r>
              <w:rPr>
                <w:rFonts w:ascii="Calibri" w:hAnsi="Calibri"/>
                <w:b w:val="0"/>
                <w:sz w:val="20"/>
              </w:rPr>
              <w:t>0.012</w:t>
            </w:r>
          </w:p>
        </w:tc>
        <w:tc>
          <w:tcPr>
            <w:tcW w:type="dxa" w:w="1824"/>
          </w:tcPr>
          <w:p>
            <w:pPr>
              <w:jc w:val="center"/>
            </w:pPr>
            <w:r>
              <w:rPr>
                <w:rFonts w:ascii="Calibri" w:hAnsi="Calibri"/>
                <w:b w:val="0"/>
                <w:sz w:val="20"/>
              </w:rPr>
              <w:t>Estacionalidad anual</w:t>
            </w:r>
          </w:p>
        </w:tc>
      </w:tr>
      <w:tr>
        <w:tc>
          <w:tcPr>
            <w:tcW w:type="dxa" w:w="1824"/>
          </w:tcPr>
          <w:p>
            <w:pPr>
              <w:jc w:val="left"/>
            </w:pPr>
            <w:r>
              <w:rPr>
                <w:rFonts w:ascii="Calibri" w:hAnsi="Calibri"/>
                <w:b w:val="0"/>
                <w:sz w:val="20"/>
              </w:rPr>
              <w:t>SEMANA</w:t>
            </w:r>
          </w:p>
        </w:tc>
        <w:tc>
          <w:tcPr>
            <w:tcW w:type="dxa" w:w="1824"/>
          </w:tcPr>
          <w:p>
            <w:pPr>
              <w:jc w:val="center"/>
            </w:pPr>
            <w:r>
              <w:rPr>
                <w:rFonts w:ascii="Calibri" w:hAnsi="Calibri"/>
                <w:b w:val="0"/>
                <w:sz w:val="20"/>
              </w:rPr>
              <w:t>Temporal</w:t>
            </w:r>
          </w:p>
        </w:tc>
        <w:tc>
          <w:tcPr>
            <w:tcW w:type="dxa" w:w="1824"/>
          </w:tcPr>
          <w:p>
            <w:pPr>
              <w:jc w:val="center"/>
            </w:pPr>
            <w:r>
              <w:rPr>
                <w:rFonts w:ascii="Calibri" w:hAnsi="Calibri"/>
                <w:b w:val="0"/>
                <w:sz w:val="20"/>
              </w:rPr>
              <w:t>100%</w:t>
            </w:r>
          </w:p>
        </w:tc>
        <w:tc>
          <w:tcPr>
            <w:tcW w:type="dxa" w:w="1824"/>
          </w:tcPr>
          <w:p>
            <w:pPr>
              <w:jc w:val="center"/>
            </w:pPr>
            <w:r>
              <w:rPr>
                <w:rFonts w:ascii="Calibri" w:hAnsi="Calibri"/>
                <w:b w:val="0"/>
                <w:sz w:val="20"/>
              </w:rPr>
              <w:t>−0.014</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anio_epidemia</w:t>
            </w:r>
          </w:p>
        </w:tc>
        <w:tc>
          <w:tcPr>
            <w:tcW w:type="dxa" w:w="1824"/>
          </w:tcPr>
          <w:p>
            <w:pPr>
              <w:jc w:val="center"/>
            </w:pPr>
            <w:r>
              <w:rPr>
                <w:rFonts w:ascii="Calibri" w:hAnsi="Calibri"/>
                <w:b w:val="0"/>
                <w:sz w:val="20"/>
              </w:rPr>
              <w:t>Temporal</w:t>
            </w:r>
          </w:p>
        </w:tc>
        <w:tc>
          <w:tcPr>
            <w:tcW w:type="dxa" w:w="1824"/>
          </w:tcPr>
          <w:p>
            <w:pPr>
              <w:jc w:val="center"/>
            </w:pPr>
            <w:r>
              <w:rPr>
                <w:rFonts w:ascii="Calibri" w:hAnsi="Calibri"/>
                <w:b w:val="0"/>
                <w:sz w:val="20"/>
              </w:rPr>
              <w:t>100%</w:t>
            </w:r>
          </w:p>
        </w:tc>
        <w:tc>
          <w:tcPr>
            <w:tcW w:type="dxa" w:w="1824"/>
          </w:tcPr>
          <w:p>
            <w:pPr>
              <w:jc w:val="center"/>
            </w:pPr>
            <w:r>
              <w:rPr>
                <w:rFonts w:ascii="Calibri" w:hAnsi="Calibri"/>
                <w:b w:val="0"/>
                <w:sz w:val="20"/>
              </w:rPr>
              <w:t>0.004</w:t>
            </w:r>
          </w:p>
        </w:tc>
        <w:tc>
          <w:tcPr>
            <w:tcW w:type="dxa" w:w="1824"/>
          </w:tcPr>
          <w:p>
            <w:pPr>
              <w:jc w:val="center"/>
            </w:pPr>
            <w:r>
              <w:rPr>
                <w:rFonts w:ascii="Calibri" w:hAnsi="Calibri"/>
                <w:b w:val="0"/>
                <w:sz w:val="20"/>
              </w:rPr>
              <w:t>Años epidémicos: 2010,2016,2019,2023</w:t>
            </w:r>
          </w:p>
        </w:tc>
      </w:tr>
      <w:tr>
        <w:tc>
          <w:tcPr>
            <w:tcW w:type="dxa" w:w="1824"/>
          </w:tcPr>
          <w:p>
            <w:pPr>
              <w:jc w:val="left"/>
            </w:pPr>
            <w:r>
              <w:rPr>
                <w:rFonts w:ascii="Calibri" w:hAnsi="Calibri"/>
                <w:b w:val="0"/>
                <w:sz w:val="20"/>
              </w:rPr>
              <w:t>semana_cos</w:t>
            </w:r>
          </w:p>
        </w:tc>
        <w:tc>
          <w:tcPr>
            <w:tcW w:type="dxa" w:w="1824"/>
          </w:tcPr>
          <w:p>
            <w:pPr>
              <w:jc w:val="center"/>
            </w:pPr>
            <w:r>
              <w:rPr>
                <w:rFonts w:ascii="Calibri" w:hAnsi="Calibri"/>
                <w:b w:val="0"/>
                <w:sz w:val="20"/>
              </w:rPr>
              <w:t>Temporal</w:t>
            </w:r>
          </w:p>
        </w:tc>
        <w:tc>
          <w:tcPr>
            <w:tcW w:type="dxa" w:w="1824"/>
          </w:tcPr>
          <w:p>
            <w:pPr>
              <w:jc w:val="center"/>
            </w:pPr>
            <w:r>
              <w:rPr>
                <w:rFonts w:ascii="Calibri" w:hAnsi="Calibri"/>
                <w:b w:val="0"/>
                <w:sz w:val="20"/>
              </w:rPr>
              <w:t>100%</w:t>
            </w:r>
          </w:p>
        </w:tc>
        <w:tc>
          <w:tcPr>
            <w:tcW w:type="dxa" w:w="1824"/>
          </w:tcPr>
          <w:p>
            <w:pPr>
              <w:jc w:val="center"/>
            </w:pPr>
            <w:r>
              <w:rPr>
                <w:rFonts w:ascii="Calibri" w:hAnsi="Calibri"/>
                <w:b w:val="0"/>
                <w:sz w:val="20"/>
              </w:rPr>
              <w:t>−0.004</w:t>
            </w:r>
          </w:p>
        </w:tc>
        <w:tc>
          <w:tcPr>
            <w:tcW w:type="dxa" w:w="1824"/>
          </w:tcPr>
          <w:p>
            <w:pPr>
              <w:jc w:val="center"/>
            </w:pPr>
            <w:r>
              <w:rPr>
                <w:rFonts w:ascii="Calibri" w:hAnsi="Calibri"/>
                <w:b w:val="0"/>
                <w:sz w:val="20"/>
              </w:rPr>
            </w:r>
          </w:p>
        </w:tc>
      </w:tr>
      <w:tr>
        <w:tc>
          <w:tcPr>
            <w:tcW w:type="dxa" w:w="1824"/>
          </w:tcPr>
          <w:p>
            <w:pPr>
              <w:jc w:val="left"/>
            </w:pPr>
            <w:r>
              <w:rPr>
                <w:rFonts w:ascii="Calibri" w:hAnsi="Calibri"/>
                <w:b w:val="0"/>
                <w:sz w:val="20"/>
              </w:rPr>
              <w:t>sir_lag1</w:t>
            </w:r>
          </w:p>
        </w:tc>
        <w:tc>
          <w:tcPr>
            <w:tcW w:type="dxa" w:w="1824"/>
          </w:tcPr>
          <w:p>
            <w:pPr>
              <w:jc w:val="center"/>
            </w:pPr>
            <w:r>
              <w:rPr>
                <w:rFonts w:ascii="Calibri" w:hAnsi="Calibri"/>
                <w:b w:val="0"/>
                <w:sz w:val="20"/>
              </w:rPr>
              <w:t>Canal endémico</w:t>
            </w:r>
          </w:p>
        </w:tc>
        <w:tc>
          <w:tcPr>
            <w:tcW w:type="dxa" w:w="1824"/>
          </w:tcPr>
          <w:p>
            <w:pPr>
              <w:jc w:val="center"/>
            </w:pPr>
            <w:r>
              <w:rPr>
                <w:rFonts w:ascii="Calibri" w:hAnsi="Calibri"/>
                <w:b w:val="0"/>
                <w:sz w:val="20"/>
              </w:rPr>
              <w:t>61.4%</w:t>
            </w:r>
          </w:p>
        </w:tc>
        <w:tc>
          <w:tcPr>
            <w:tcW w:type="dxa" w:w="1824"/>
          </w:tcPr>
          <w:p>
            <w:pPr>
              <w:jc w:val="center"/>
            </w:pPr>
            <w:r>
              <w:rPr>
                <w:rFonts w:ascii="Calibri" w:hAnsi="Calibri"/>
                <w:b w:val="0"/>
                <w:sz w:val="20"/>
              </w:rPr>
              <w:t>N/A</w:t>
            </w:r>
          </w:p>
        </w:tc>
        <w:tc>
          <w:tcPr>
            <w:tcW w:type="dxa" w:w="1824"/>
          </w:tcPr>
          <w:p>
            <w:pPr>
              <w:jc w:val="center"/>
            </w:pPr>
            <w:r>
              <w:rPr>
                <w:rFonts w:ascii="Calibri" w:hAnsi="Calibri"/>
                <w:b w:val="0"/>
                <w:sz w:val="20"/>
              </w:rPr>
              <w:t>Ratio casos sem. anterior / media historica municipio-semana</w:t>
            </w:r>
          </w:p>
        </w:tc>
      </w:tr>
    </w:tbl>
    <w:p/>
    <w:p>
      <w:pPr>
        <w:spacing w:before="280" w:after="80"/>
        <w:jc w:val="left"/>
      </w:pPr>
      <w:r>
        <w:rPr>
          <w:rFonts w:ascii="Calibri" w:hAnsi="Calibri"/>
          <w:b/>
          <w:sz w:val="26"/>
        </w:rPr>
        <w:t>3. Análisis por grupo de features</w:t>
      </w:r>
    </w:p>
    <w:p>
      <w:pPr>
        <w:spacing w:before="160" w:after="80"/>
        <w:jc w:val="left"/>
      </w:pPr>
      <w:r>
        <w:rPr>
          <w:rFonts w:ascii="Calibri" w:hAnsi="Calibri"/>
          <w:b/>
          <w:sz w:val="22"/>
        </w:rPr>
        <w:t>3.1 Rezagos de dengue grave (rezago_grave)</w:t>
      </w:r>
    </w:p>
    <w:p>
      <w:pPr>
        <w:spacing w:before="40" w:after="40"/>
        <w:jc w:val="both"/>
      </w:pPr>
      <w:r>
        <w:rPr>
          <w:rFonts w:ascii="Calibri" w:hAnsi="Calibri"/>
          <w:b w:val="0"/>
          <w:sz w:val="22"/>
        </w:rPr>
        <w:t>Constituyen el grupo más predictivo. La suma móvil de 4 semanas (grave_roll4, r = 0.382) supera a cualquier rezago individual, capturando el efecto acumulado de la carga epidémica reciente. Los rezagos de 1 a 4 semanas presentan correlaciones entre 0.218 y 0.282, coherentes con el período de incubación del dengue y el tiempo de diagnóstico en el sistema SIVIGILA. El rezago de 8 semanas (r = 0.240) refleja la ciclicidad bianual característica del dengue en Colombia.</w:t>
      </w:r>
    </w:p>
    <w:p>
      <w:pPr>
        <w:spacing w:before="160" w:after="80"/>
        <w:jc w:val="left"/>
      </w:pPr>
      <w:r>
        <w:rPr>
          <w:rFonts w:ascii="Calibri" w:hAnsi="Calibri"/>
          <w:b/>
          <w:sz w:val="22"/>
        </w:rPr>
        <w:t>3.2 Rezagos de dengue clásico (rezago_clasico)</w:t>
      </w:r>
    </w:p>
    <w:p>
      <w:pPr>
        <w:spacing w:before="40" w:after="40"/>
        <w:jc w:val="both"/>
      </w:pPr>
      <w:r>
        <w:rPr>
          <w:rFonts w:ascii="Calibri" w:hAnsi="Calibri"/>
          <w:b w:val="0"/>
          <w:sz w:val="22"/>
        </w:rPr>
        <w:t>El dengue clásico actúa como precursor del dengue grave: los brotes de casos clásicos suelen preceder en 1 a 4 semanas el incremento de casos graves. La correlación decrece con el rezago (r = 0.093 a r = 0.142), sugiriendo que el período de mayor relevancia predictiva es de 2 a 3 semanas. La suma móvil clasico_roll4 (r = 0.191) es el mejor predictor dentro de este grupo.</w:t>
      </w:r>
    </w:p>
    <w:p>
      <w:pPr>
        <w:spacing w:before="160" w:after="80"/>
        <w:jc w:val="left"/>
      </w:pPr>
      <w:r>
        <w:rPr>
          <w:rFonts w:ascii="Calibri" w:hAnsi="Calibri"/>
          <w:b/>
          <w:sz w:val="22"/>
        </w:rPr>
        <w:t>3.3 Temperatura superficial terrestre (GEE/MODIS LST)</w:t>
      </w:r>
    </w:p>
    <w:p>
      <w:pPr>
        <w:spacing w:before="40" w:after="40"/>
        <w:jc w:val="both"/>
      </w:pPr>
      <w:r>
        <w:rPr>
          <w:rFonts w:ascii="Calibri" w:hAnsi="Calibri"/>
          <w:b w:val="0"/>
          <w:sz w:val="22"/>
        </w:rPr>
        <w:t>La temperatura LST presenta correlaciones de Pearson bajas (r ≈ 0.013–0.015), lo cual no implica que la variable sea irrelevante. La relación entre temperatura y dengue es no lineal (existe un rango óptimo de 26–32 °C para la proliferación del vector Aedes aegypti, con descenso fuera de ese rango). Un modelo basado en árboles como XGBoost captura estas relaciones sin necesidad de transformación explícita. La cobertura del 83.5% es aceptable; el 16.4% de nulos se origina en nubosidad (comportamiento normal de MODIS) y es manejado nativamente por XGBoost sin imputación obligatoria.</w:t>
      </w:r>
    </w:p>
    <w:p>
      <w:pPr>
        <w:spacing w:before="160" w:after="80"/>
        <w:jc w:val="left"/>
      </w:pPr>
      <w:r>
        <w:rPr>
          <w:rFonts w:ascii="Calibri" w:hAnsi="Calibri"/>
          <w:b/>
          <w:sz w:val="22"/>
        </w:rPr>
        <w:t>3.4 Canal endémico</w:t>
      </w:r>
    </w:p>
    <w:p>
      <w:pPr>
        <w:spacing w:before="40" w:after="40"/>
        <w:jc w:val="both"/>
      </w:pPr>
      <w:r>
        <w:rPr>
          <w:rFonts w:ascii="Calibri" w:hAnsi="Calibri"/>
          <w:b w:val="0"/>
          <w:sz w:val="22"/>
        </w:rPr>
        <w:t>El percentil 75 histórico por semana calendario (p75, r = 0.228) es el umbral de alarma epidémica (metodología Bortman 1999) y tiene alta correlación con la variable objetivo, lo que refleja que los municipios con mayor carga histórica tienden a mantener altos niveles de actividad. La zona del canal calculada sobre el rezago de 1 semana (zona_canal_lag1, r = −0.101) complementa la información al codificar el estado epidémico reciente (0 = normal, 1 = alerta, 2 = exceso).</w:t>
      </w:r>
    </w:p>
    <w:p>
      <w:pPr>
        <w:spacing w:before="160" w:after="80"/>
        <w:jc w:val="left"/>
      </w:pPr>
      <w:r>
        <w:rPr>
          <w:rFonts w:ascii="Calibri" w:hAnsi="Calibri"/>
          <w:b/>
          <w:sz w:val="22"/>
        </w:rPr>
        <w:t>3.5 Features temporales</w:t>
      </w:r>
    </w:p>
    <w:p>
      <w:pPr>
        <w:spacing w:before="40" w:after="40"/>
        <w:jc w:val="both"/>
      </w:pPr>
      <w:r>
        <w:rPr>
          <w:rFonts w:ascii="Calibri" w:hAnsi="Calibri"/>
          <w:b w:val="0"/>
          <w:sz w:val="22"/>
        </w:rPr>
        <w:t>El año (ANO, r = −0.124) captura la tendencia decreciente a largo plazo de los casos graves en Colombia, posiblemente asociada a mejoras en la vigilancia, vacunación y control vectorial. La estacionalidad semanal codificada mediante funciones seno/coseno (semana_sin, semana_cos) presenta correlación lineal baja, aunque su efecto puede ser relevante en combinación con otras features dentro del árbol. El indicador de año epidémico (anio_epidemia: 2010, 2016, 2019, 2023) tiene correlación prácticamente nula en forma aislada.</w:t>
      </w:r>
    </w:p>
    <w:p>
      <w:pPr>
        <w:spacing w:before="280" w:after="80"/>
        <w:jc w:val="left"/>
      </w:pPr>
      <w:r>
        <w:rPr>
          <w:rFonts w:ascii="Calibri" w:hAnsi="Calibri"/>
          <w:b/>
          <w:sz w:val="26"/>
        </w:rPr>
        <w:t>4. Dataset final de modelado</w:t>
      </w:r>
    </w:p>
    <w:p>
      <w:pPr>
        <w:spacing w:before="40" w:after="40"/>
        <w:jc w:val="both"/>
      </w:pPr>
      <w:r>
        <w:rPr>
          <w:rFonts w:ascii="Calibri" w:hAnsi="Calibri"/>
          <w:b w:val="0"/>
          <w:sz w:val="22"/>
        </w:rPr>
        <w:t>Tras eliminar filas sin al menos los dos rezagos más recientes (grave_lag_1 y grave_lag_2), el dataset final cuenta con 247,766 observaciones y 29 columnas (5 identificadores + variable objetivo + 25 features). Los nulos restantes, concentrados principalmente en las features de temperatura, son manejados nativamente por XGBoost.</w:t>
      </w:r>
    </w:p>
    <w:tbl>
      <w:tblPr>
        <w:tblStyle w:val="TableGrid"/>
        <w:tblW w:type="auto" w:w="0"/>
        <w:tblLook w:firstColumn="1" w:firstRow="1" w:lastColumn="0" w:lastRow="0" w:noHBand="0" w:noVBand="1" w:val="04A0"/>
      </w:tblPr>
      <w:tblGrid>
        <w:gridCol w:w="4561"/>
        <w:gridCol w:w="4561"/>
      </w:tblGrid>
      <w:tr>
        <w:tc>
          <w:tcPr>
            <w:tcW w:type="dxa" w:w="4561"/>
            <w:shd w:val="clear" w:color="auto" w:fill="D9E1F2"/>
          </w:tcPr>
          <w:p>
            <w:pPr>
              <w:jc w:val="center"/>
            </w:pPr>
            <w:r>
              <w:rPr>
                <w:rFonts w:ascii="Calibri" w:hAnsi="Calibri"/>
                <w:b/>
                <w:sz w:val="20"/>
              </w:rPr>
              <w:t>Indicador</w:t>
            </w:r>
          </w:p>
        </w:tc>
        <w:tc>
          <w:tcPr>
            <w:tcW w:type="dxa" w:w="4561"/>
            <w:shd w:val="clear" w:color="auto" w:fill="D9E1F2"/>
          </w:tcPr>
          <w:p>
            <w:pPr>
              <w:jc w:val="center"/>
            </w:pPr>
            <w:r>
              <w:rPr>
                <w:rFonts w:ascii="Calibri" w:hAnsi="Calibri"/>
                <w:b/>
                <w:sz w:val="20"/>
              </w:rPr>
              <w:t>Valor</w:t>
            </w:r>
          </w:p>
        </w:tc>
      </w:tr>
      <w:tr>
        <w:tc>
          <w:tcPr>
            <w:tcW w:type="dxa" w:w="4561"/>
          </w:tcPr>
          <w:p>
            <w:pPr>
              <w:jc w:val="left"/>
            </w:pPr>
            <w:r>
              <w:rPr>
                <w:rFonts w:ascii="Calibri" w:hAnsi="Calibri"/>
                <w:b w:val="0"/>
                <w:sz w:val="20"/>
              </w:rPr>
              <w:t>Observaciones totales</w:t>
            </w:r>
          </w:p>
        </w:tc>
        <w:tc>
          <w:tcPr>
            <w:tcW w:type="dxa" w:w="4561"/>
          </w:tcPr>
          <w:p>
            <w:pPr>
              <w:jc w:val="center"/>
            </w:pPr>
            <w:r>
              <w:rPr>
                <w:rFonts w:ascii="Calibri" w:hAnsi="Calibri"/>
                <w:b w:val="0"/>
                <w:sz w:val="20"/>
              </w:rPr>
              <w:t>247,766</w:t>
            </w:r>
          </w:p>
        </w:tc>
      </w:tr>
      <w:tr>
        <w:tc>
          <w:tcPr>
            <w:tcW w:type="dxa" w:w="4561"/>
          </w:tcPr>
          <w:p>
            <w:pPr>
              <w:jc w:val="left"/>
            </w:pPr>
            <w:r>
              <w:rPr>
                <w:rFonts w:ascii="Calibri" w:hAnsi="Calibri"/>
                <w:b w:val="0"/>
                <w:sz w:val="20"/>
              </w:rPr>
              <w:t>Columnas (identificadores + features + target)</w:t>
            </w:r>
          </w:p>
        </w:tc>
        <w:tc>
          <w:tcPr>
            <w:tcW w:type="dxa" w:w="4561"/>
          </w:tcPr>
          <w:p>
            <w:pPr>
              <w:jc w:val="center"/>
            </w:pPr>
            <w:r>
              <w:rPr>
                <w:rFonts w:ascii="Calibri" w:hAnsi="Calibri"/>
                <w:b w:val="0"/>
                <w:sz w:val="20"/>
              </w:rPr>
              <w:t>30</w:t>
            </w:r>
          </w:p>
        </w:tc>
      </w:tr>
      <w:tr>
        <w:tc>
          <w:tcPr>
            <w:tcW w:type="dxa" w:w="4561"/>
          </w:tcPr>
          <w:p>
            <w:pPr>
              <w:jc w:val="left"/>
            </w:pPr>
            <w:r>
              <w:rPr>
                <w:rFonts w:ascii="Calibri" w:hAnsi="Calibri"/>
                <w:b w:val="0"/>
                <w:sz w:val="20"/>
              </w:rPr>
              <w:t>Municipios</w:t>
            </w:r>
          </w:p>
        </w:tc>
        <w:tc>
          <w:tcPr>
            <w:tcW w:type="dxa" w:w="4561"/>
          </w:tcPr>
          <w:p>
            <w:pPr>
              <w:jc w:val="center"/>
            </w:pPr>
            <w:r>
              <w:rPr>
                <w:rFonts w:ascii="Calibri" w:hAnsi="Calibri"/>
                <w:b w:val="0"/>
                <w:sz w:val="20"/>
              </w:rPr>
              <w:t>554</w:t>
            </w:r>
          </w:p>
        </w:tc>
      </w:tr>
      <w:tr>
        <w:tc>
          <w:tcPr>
            <w:tcW w:type="dxa" w:w="4561"/>
          </w:tcPr>
          <w:p>
            <w:pPr>
              <w:jc w:val="left"/>
            </w:pPr>
            <w:r>
              <w:rPr>
                <w:rFonts w:ascii="Calibri" w:hAnsi="Calibri"/>
                <w:b w:val="0"/>
                <w:sz w:val="20"/>
              </w:rPr>
              <w:t>Período</w:t>
            </w:r>
          </w:p>
        </w:tc>
        <w:tc>
          <w:tcPr>
            <w:tcW w:type="dxa" w:w="4561"/>
          </w:tcPr>
          <w:p>
            <w:pPr>
              <w:jc w:val="center"/>
            </w:pPr>
            <w:r>
              <w:rPr>
                <w:rFonts w:ascii="Calibri" w:hAnsi="Calibri"/>
                <w:b w:val="0"/>
                <w:sz w:val="20"/>
              </w:rPr>
              <w:t>2007 – 2024</w:t>
            </w:r>
          </w:p>
        </w:tc>
      </w:tr>
      <w:tr>
        <w:tc>
          <w:tcPr>
            <w:tcW w:type="dxa" w:w="4561"/>
          </w:tcPr>
          <w:p>
            <w:pPr>
              <w:jc w:val="left"/>
            </w:pPr>
            <w:r>
              <w:rPr>
                <w:rFonts w:ascii="Calibri" w:hAnsi="Calibri"/>
                <w:b w:val="0"/>
                <w:sz w:val="20"/>
              </w:rPr>
              <w:t>Features con nulos (&gt; 10%)</w:t>
            </w:r>
          </w:p>
        </w:tc>
        <w:tc>
          <w:tcPr>
            <w:tcW w:type="dxa" w:w="4561"/>
          </w:tcPr>
          <w:p>
            <w:pPr>
              <w:jc w:val="center"/>
            </w:pPr>
            <w:r>
              <w:rPr>
                <w:rFonts w:ascii="Calibri" w:hAnsi="Calibri"/>
                <w:b w:val="0"/>
                <w:sz w:val="20"/>
              </w:rPr>
              <w:t>lst_media, lst_lag_1, lst_lag_2, lst_lag_4 (≈ 16–17%)</w:t>
            </w:r>
          </w:p>
        </w:tc>
      </w:tr>
      <w:tr>
        <w:tc>
          <w:tcPr>
            <w:tcW w:type="dxa" w:w="4561"/>
          </w:tcPr>
          <w:p>
            <w:pPr>
              <w:jc w:val="left"/>
            </w:pPr>
            <w:r>
              <w:rPr>
                <w:rFonts w:ascii="Calibri" w:hAnsi="Calibri"/>
                <w:b w:val="0"/>
                <w:sz w:val="20"/>
              </w:rPr>
              <w:t>Nulos &lt; 2%</w:t>
            </w:r>
          </w:p>
        </w:tc>
        <w:tc>
          <w:tcPr>
            <w:tcW w:type="dxa" w:w="4561"/>
          </w:tcPr>
          <w:p>
            <w:pPr>
              <w:jc w:val="center"/>
            </w:pPr>
            <w:r>
              <w:rPr>
                <w:rFonts w:ascii="Calibri" w:hAnsi="Calibri"/>
                <w:b w:val="0"/>
                <w:sz w:val="20"/>
              </w:rPr>
              <w:t>grave_lag_8, clasico_lag_8, grave_lag_4, clasico_lag_4, zona_canal_lag1, p25, p75</w:t>
            </w:r>
          </w:p>
        </w:tc>
      </w:tr>
      <w:tr>
        <w:tc>
          <w:tcPr>
            <w:tcW w:type="dxa" w:w="4561"/>
          </w:tcPr>
          <w:p>
            <w:pPr>
              <w:jc w:val="left"/>
            </w:pPr>
            <w:r>
              <w:rPr>
                <w:rFonts w:ascii="Calibri" w:hAnsi="Calibri"/>
                <w:b w:val="0"/>
                <w:sz w:val="20"/>
              </w:rPr>
              <w:t>Manejo de nulos</w:t>
            </w:r>
          </w:p>
        </w:tc>
        <w:tc>
          <w:tcPr>
            <w:tcW w:type="dxa" w:w="4561"/>
          </w:tcPr>
          <w:p>
            <w:pPr>
              <w:jc w:val="center"/>
            </w:pPr>
            <w:r>
              <w:rPr>
                <w:rFonts w:ascii="Calibri" w:hAnsi="Calibri"/>
                <w:b w:val="0"/>
                <w:sz w:val="20"/>
              </w:rPr>
              <w:t>XGBoost nativo (sin imputación obligatoria)</w:t>
            </w:r>
          </w:p>
        </w:tc>
      </w:tr>
    </w:tbl>
    <w:p/>
    <w:p>
      <w:pPr>
        <w:spacing w:before="280" w:after="80"/>
        <w:jc w:val="left"/>
      </w:pPr>
      <w:r>
        <w:rPr>
          <w:rFonts w:ascii="Calibri" w:hAnsi="Calibri"/>
          <w:b/>
          <w:sz w:val="26"/>
        </w:rPr>
        <w:t>5. Partición temporal (sin aleatorización)</w:t>
      </w:r>
    </w:p>
    <w:p>
      <w:pPr>
        <w:spacing w:before="40" w:after="40"/>
        <w:jc w:val="both"/>
      </w:pPr>
      <w:r>
        <w:rPr>
          <w:rFonts w:ascii="Calibri" w:hAnsi="Calibri"/>
          <w:b w:val="0"/>
          <w:sz w:val="22"/>
        </w:rPr>
        <w:t>La partición respeta la dependencia temporal de los datos: no se realiza ninguna aleatorización para evitar data leakage entre el conjunto de entrenamiento y los conjuntos de evaluación.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Calibri" w:hAnsi="Calibri"/>
                <w:b/>
                <w:sz w:val="20"/>
              </w:rPr>
              <w:t>Conjunto</w:t>
            </w:r>
          </w:p>
        </w:tc>
        <w:tc>
          <w:tcPr>
            <w:tcW w:type="dxa" w:w="2280"/>
            <w:shd w:val="clear" w:color="auto" w:fill="D9E1F2"/>
          </w:tcPr>
          <w:p>
            <w:pPr>
              <w:jc w:val="center"/>
            </w:pPr>
            <w:r>
              <w:rPr>
                <w:rFonts w:ascii="Calibri" w:hAnsi="Calibri"/>
                <w:b/>
                <w:sz w:val="20"/>
              </w:rPr>
              <w:t>Período</w:t>
            </w:r>
          </w:p>
        </w:tc>
        <w:tc>
          <w:tcPr>
            <w:tcW w:type="dxa" w:w="2280"/>
            <w:shd w:val="clear" w:color="auto" w:fill="D9E1F2"/>
          </w:tcPr>
          <w:p>
            <w:pPr>
              <w:jc w:val="center"/>
            </w:pPr>
            <w:r>
              <w:rPr>
                <w:rFonts w:ascii="Calibri" w:hAnsi="Calibri"/>
                <w:b/>
                <w:sz w:val="20"/>
              </w:rPr>
              <w:t>Filas</w:t>
            </w:r>
          </w:p>
        </w:tc>
        <w:tc>
          <w:tcPr>
            <w:tcW w:type="dxa" w:w="2280"/>
            <w:shd w:val="clear" w:color="auto" w:fill="D9E1F2"/>
          </w:tcPr>
          <w:p>
            <w:pPr>
              <w:jc w:val="center"/>
            </w:pPr>
            <w:r>
              <w:rPr>
                <w:rFonts w:ascii="Calibri" w:hAnsi="Calibri"/>
                <w:b/>
                <w:sz w:val="20"/>
              </w:rPr>
              <w:t>Positivos (grave &gt; 0)</w:t>
            </w:r>
          </w:p>
        </w:tc>
      </w:tr>
      <w:tr>
        <w:tc>
          <w:tcPr>
            <w:tcW w:type="dxa" w:w="2280"/>
          </w:tcPr>
          <w:p>
            <w:pPr>
              <w:jc w:val="left"/>
            </w:pPr>
            <w:r>
              <w:rPr>
                <w:rFonts w:ascii="Calibri" w:hAnsi="Calibri"/>
                <w:b w:val="0"/>
                <w:sz w:val="20"/>
              </w:rPr>
              <w:t>Entrenamiento</w:t>
            </w:r>
          </w:p>
        </w:tc>
        <w:tc>
          <w:tcPr>
            <w:tcW w:type="dxa" w:w="2280"/>
          </w:tcPr>
          <w:p>
            <w:pPr>
              <w:jc w:val="center"/>
            </w:pPr>
            <w:r>
              <w:rPr>
                <w:rFonts w:ascii="Calibri" w:hAnsi="Calibri"/>
                <w:b w:val="0"/>
                <w:sz w:val="20"/>
              </w:rPr>
              <w:t>2007 – 2021</w:t>
            </w:r>
          </w:p>
        </w:tc>
        <w:tc>
          <w:tcPr>
            <w:tcW w:type="dxa" w:w="2280"/>
          </w:tcPr>
          <w:p>
            <w:pPr>
              <w:jc w:val="center"/>
            </w:pPr>
            <w:r>
              <w:rPr>
                <w:rFonts w:ascii="Calibri" w:hAnsi="Calibri"/>
                <w:b w:val="0"/>
                <w:sz w:val="20"/>
              </w:rPr>
              <w:t>190,934</w:t>
            </w:r>
          </w:p>
        </w:tc>
        <w:tc>
          <w:tcPr>
            <w:tcW w:type="dxa" w:w="2280"/>
          </w:tcPr>
          <w:p>
            <w:pPr>
              <w:jc w:val="center"/>
            </w:pPr>
            <w:r>
              <w:rPr>
                <w:rFonts w:ascii="Calibri" w:hAnsi="Calibri"/>
                <w:b w:val="0"/>
                <w:sz w:val="20"/>
              </w:rPr>
              <w:t>20,352 (10.7%)</w:t>
            </w:r>
          </w:p>
        </w:tc>
      </w:tr>
      <w:tr>
        <w:tc>
          <w:tcPr>
            <w:tcW w:type="dxa" w:w="2280"/>
          </w:tcPr>
          <w:p>
            <w:pPr>
              <w:jc w:val="left"/>
            </w:pPr>
            <w:r>
              <w:rPr>
                <w:rFonts w:ascii="Calibri" w:hAnsi="Calibri"/>
                <w:b w:val="0"/>
                <w:sz w:val="20"/>
              </w:rPr>
              <w:t>Validación</w:t>
            </w:r>
          </w:p>
        </w:tc>
        <w:tc>
          <w:tcPr>
            <w:tcW w:type="dxa" w:w="2280"/>
          </w:tcPr>
          <w:p>
            <w:pPr>
              <w:jc w:val="center"/>
            </w:pPr>
            <w:r>
              <w:rPr>
                <w:rFonts w:ascii="Calibri" w:hAnsi="Calibri"/>
                <w:b w:val="0"/>
                <w:sz w:val="20"/>
              </w:rPr>
              <w:t>2022</w:t>
            </w:r>
          </w:p>
        </w:tc>
        <w:tc>
          <w:tcPr>
            <w:tcW w:type="dxa" w:w="2280"/>
          </w:tcPr>
          <w:p>
            <w:pPr>
              <w:jc w:val="center"/>
            </w:pPr>
            <w:r>
              <w:rPr>
                <w:rFonts w:ascii="Calibri" w:hAnsi="Calibri"/>
                <w:b w:val="0"/>
                <w:sz w:val="20"/>
              </w:rPr>
              <w:t xml:space="preserve"> 12,625</w:t>
            </w:r>
          </w:p>
        </w:tc>
        <w:tc>
          <w:tcPr>
            <w:tcW w:type="dxa" w:w="2280"/>
          </w:tcPr>
          <w:p>
            <w:pPr>
              <w:jc w:val="center"/>
            </w:pPr>
            <w:r>
              <w:rPr>
                <w:rFonts w:ascii="Calibri" w:hAnsi="Calibri"/>
                <w:b w:val="0"/>
                <w:sz w:val="20"/>
              </w:rPr>
              <w:t xml:space="preserve">   980  (7.8%)</w:t>
            </w:r>
          </w:p>
        </w:tc>
      </w:tr>
      <w:tr>
        <w:tc>
          <w:tcPr>
            <w:tcW w:type="dxa" w:w="2280"/>
          </w:tcPr>
          <w:p>
            <w:pPr>
              <w:jc w:val="left"/>
            </w:pPr>
            <w:r>
              <w:rPr>
                <w:rFonts w:ascii="Calibri" w:hAnsi="Calibri"/>
                <w:b w:val="0"/>
                <w:sz w:val="20"/>
              </w:rPr>
              <w:t>Prueba</w:t>
            </w:r>
          </w:p>
        </w:tc>
        <w:tc>
          <w:tcPr>
            <w:tcW w:type="dxa" w:w="2280"/>
          </w:tcPr>
          <w:p>
            <w:pPr>
              <w:jc w:val="center"/>
            </w:pPr>
            <w:r>
              <w:rPr>
                <w:rFonts w:ascii="Calibri" w:hAnsi="Calibri"/>
                <w:b w:val="0"/>
                <w:sz w:val="20"/>
              </w:rPr>
              <w:t>2023 – 2024</w:t>
            </w:r>
          </w:p>
        </w:tc>
        <w:tc>
          <w:tcPr>
            <w:tcW w:type="dxa" w:w="2280"/>
          </w:tcPr>
          <w:p>
            <w:pPr>
              <w:jc w:val="center"/>
            </w:pPr>
            <w:r>
              <w:rPr>
                <w:rFonts w:ascii="Calibri" w:hAnsi="Calibri"/>
                <w:b w:val="0"/>
                <w:sz w:val="20"/>
              </w:rPr>
              <w:t xml:space="preserve"> 44,207</w:t>
            </w:r>
          </w:p>
        </w:tc>
        <w:tc>
          <w:tcPr>
            <w:tcW w:type="dxa" w:w="2280"/>
          </w:tcPr>
          <w:p>
            <w:pPr>
              <w:jc w:val="center"/>
            </w:pPr>
            <w:r>
              <w:rPr>
                <w:rFonts w:ascii="Calibri" w:hAnsi="Calibri"/>
                <w:b w:val="0"/>
                <w:sz w:val="20"/>
              </w:rPr>
              <w:t xml:space="preserve"> 3,288  (7.4%)</w:t>
            </w:r>
          </w:p>
        </w:tc>
      </w:tr>
    </w:tbl>
    <w:p/>
    <w:p>
      <w:pPr>
        <w:spacing w:before="40" w:after="40"/>
        <w:jc w:val="both"/>
      </w:pPr>
      <w:r>
        <w:rPr>
          <w:rFonts w:ascii="Calibri" w:hAnsi="Calibri"/>
          <w:b w:val="0"/>
          <w:sz w:val="22"/>
        </w:rPr>
        <w:t>La reducción de la tasa de positivos en validación y prueba (del 10.7% al 7.4%) refleja la tendencia decreciente real de casos graves a partir de 2022, lo que supone un reto adicional para la generalización del modelo.</w:t>
      </w:r>
    </w:p>
    <w:p>
      <w:pPr>
        <w:spacing w:before="280" w:after="80"/>
        <w:jc w:val="left"/>
      </w:pPr>
      <w:r>
        <w:rPr>
          <w:rFonts w:ascii="Calibri" w:hAnsi="Calibri"/>
          <w:b/>
          <w:sz w:val="26"/>
        </w:rPr>
        <w:t>6. Conclusiones</w:t>
      </w:r>
    </w:p>
    <w:p>
      <w:pPr>
        <w:pStyle w:val="ListBullet"/>
        <w:spacing w:before="20" w:after="20"/>
        <w:jc w:val="both"/>
      </w:pPr>
      <w:r>
        <w:rPr>
          <w:rFonts w:ascii="Calibri" w:hAnsi="Calibri"/>
          <w:b/>
          <w:sz w:val="22"/>
        </w:rPr>
        <w:t>Rezagos propios como señal dominante.</w:t>
      </w:r>
      <w:r>
        <w:rPr>
          <w:rFonts w:ascii="Calibri" w:hAnsi="Calibri"/>
          <w:b w:val="0"/>
          <w:sz w:val="22"/>
        </w:rPr>
        <w:t xml:space="preserve"> Los rezagos propios de dengue grave, especialmente la suma móvil de 4 semanas (grave_roll4, r = 0.382), son los predictores más potentes e indispensables para el modelo.</w:t>
      </w:r>
    </w:p>
    <w:p>
      <w:pPr>
        <w:pStyle w:val="ListBullet"/>
        <w:spacing w:before="20" w:after="20"/>
        <w:jc w:val="both"/>
      </w:pPr>
      <w:r>
        <w:rPr>
          <w:rFonts w:ascii="Calibri" w:hAnsi="Calibri"/>
          <w:b/>
          <w:sz w:val="22"/>
        </w:rPr>
        <w:t>Clásico como precursor epidémico.</w:t>
      </w:r>
      <w:r>
        <w:rPr>
          <w:rFonts w:ascii="Calibri" w:hAnsi="Calibri"/>
          <w:b w:val="0"/>
          <w:sz w:val="22"/>
        </w:rPr>
        <w:t xml:space="preserve"> Los rezagos de dengue clásico aportan información complementaria sobre el estado epidémico local, reflejando la progresión clínica de clásico a grave con un desfase de 1–3 semanas.</w:t>
      </w:r>
    </w:p>
    <w:p>
      <w:pPr>
        <w:pStyle w:val="ListBullet"/>
        <w:spacing w:before="20" w:after="20"/>
        <w:jc w:val="both"/>
      </w:pPr>
      <w:r>
        <w:rPr>
          <w:rFonts w:ascii="Calibri" w:hAnsi="Calibri"/>
          <w:b/>
          <w:sz w:val="22"/>
        </w:rPr>
        <w:t>Temperatura LST como feature de contexto climático.</w:t>
      </w:r>
      <w:r>
        <w:rPr>
          <w:rFonts w:ascii="Calibri" w:hAnsi="Calibri"/>
          <w:b w:val="0"/>
          <w:sz w:val="22"/>
        </w:rPr>
        <w:t xml:space="preserve"> La temperatura LST tiene baja correlación lineal pero su relación con la abundancia vectorial es no lineal; XGBoost la explotará sin necesidad de transformaciones adicionales. Su 16% de nulos por nubosidad es aceptable y manejable de forma nativa.</w:t>
      </w:r>
    </w:p>
    <w:p>
      <w:pPr>
        <w:pStyle w:val="ListBullet"/>
        <w:spacing w:before="20" w:after="20"/>
        <w:jc w:val="both"/>
      </w:pPr>
      <w:r>
        <w:rPr>
          <w:rFonts w:ascii="Calibri" w:hAnsi="Calibri"/>
          <w:b/>
          <w:sz w:val="22"/>
        </w:rPr>
        <w:t>Canal endémico como memoria histórica del municipio.</w:t>
      </w:r>
      <w:r>
        <w:rPr>
          <w:rFonts w:ascii="Calibri" w:hAnsi="Calibri"/>
          <w:b w:val="0"/>
          <w:sz w:val="22"/>
        </w:rPr>
        <w:t xml:space="preserve"> El percentil 75 histórico (p75) del canal endémico es un resumen efectivo de la carga histórica municipal y presenta correlación notable (r = 0.228).</w:t>
      </w:r>
    </w:p>
    <w:p>
      <w:pPr>
        <w:pStyle w:val="ListBullet"/>
        <w:spacing w:before="20" w:after="20"/>
        <w:jc w:val="both"/>
      </w:pPr>
      <w:r>
        <w:rPr>
          <w:rFonts w:ascii="Calibri" w:hAnsi="Calibri"/>
          <w:b/>
          <w:sz w:val="22"/>
        </w:rPr>
        <w:t>Desbalance de clases como reto central del modelado.</w:t>
      </w:r>
      <w:r>
        <w:rPr>
          <w:rFonts w:ascii="Calibri" w:hAnsi="Calibri"/>
          <w:b w:val="0"/>
          <w:sz w:val="22"/>
        </w:rPr>
        <w:t xml:space="preserve"> El 90% de observaciones con cero casos graves exige el uso de scale_pos_weight, threshold tuning y métricas de evaluación robustas (AUC-PR, F1-score por clase, recall sobre la clase positiva).</w:t>
      </w:r>
    </w:p>
    <w:p>
      <w:pPr>
        <w:pStyle w:val="ListBullet"/>
        <w:spacing w:before="20" w:after="20"/>
        <w:jc w:val="both"/>
      </w:pPr>
      <w:r>
        <w:rPr>
          <w:rFonts w:ascii="Calibri" w:hAnsi="Calibri"/>
          <w:b/>
          <w:sz w:val="22"/>
        </w:rPr>
        <w:t>Partición temporal sin data leakage.</w:t>
      </w:r>
      <w:r>
        <w:rPr>
          <w:rFonts w:ascii="Calibri" w:hAnsi="Calibri"/>
          <w:b w:val="0"/>
          <w:sz w:val="22"/>
        </w:rPr>
        <w:t xml:space="preserve"> La partición temporal estricta (train 2007–2021 / val 2022 / test 2023–2024) garantiza la validez del proceso de evaluación respetando la causalidad temporal del problema epidemiológico.</w:t>
      </w:r>
    </w:p>
    <w:p>
      <w:pPr>
        <w:pStyle w:val="ListBullet"/>
        <w:spacing w:before="20" w:after="20"/>
        <w:jc w:val="both"/>
      </w:pPr>
      <w:r>
        <w:rPr>
          <w:rFonts w:ascii="Calibri" w:hAnsi="Calibri"/>
          <w:b/>
          <w:sz w:val="22"/>
        </w:rPr>
        <w:t>Dataset listo para Entrega 2.</w:t>
      </w:r>
      <w:r>
        <w:rPr>
          <w:rFonts w:ascii="Calibri" w:hAnsi="Calibri"/>
          <w:b w:val="0"/>
          <w:sz w:val="22"/>
        </w:rPr>
        <w:t xml:space="preserve"> Las 26 features construidas forman un conjunto robusto para el modelo XGBoost de línea base; en etapas posteriores se podrá evaluar la inclusión de datos demográficos (DANE) y variables de intervención (campañas de fumigación).</w:t>
      </w:r>
    </w:p>
    <w:p>
      <w:pPr>
        <w:spacing w:before="280" w:after="80"/>
        <w:jc w:val="left"/>
      </w:pPr>
      <w:r>
        <w:rPr>
          <w:rFonts w:ascii="Calibri" w:hAnsi="Calibri"/>
          <w:b/>
          <w:sz w:val="26"/>
        </w:rPr>
        <w:t>7. Variables eliminadas, features creadas y variables retenidas</w:t>
      </w:r>
    </w:p>
    <w:p>
      <w:pPr>
        <w:spacing w:before="160" w:after="80"/>
        <w:jc w:val="left"/>
      </w:pPr>
      <w:r>
        <w:rPr>
          <w:rFonts w:ascii="Calibri" w:hAnsi="Calibri"/>
          <w:b/>
          <w:sz w:val="22"/>
        </w:rPr>
        <w:t>7.1 Variables eliminadas del dataset original (SIVIGILA)</w:t>
      </w:r>
    </w:p>
    <w:p>
      <w:pPr>
        <w:spacing w:before="40" w:after="40"/>
        <w:jc w:val="both"/>
      </w:pPr>
      <w:r>
        <w:rPr>
          <w:rFonts w:ascii="Calibri" w:hAnsi="Calibri"/>
          <w:b w:val="0"/>
          <w:sz w:val="22"/>
        </w:rPr>
        <w:t>Las siguientes columnas del dataset crudo de SIVIGILA fueron descartadas porque no aportan señal predictiva adelantada, tienen demasiados nulos o son administrativas.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Calibri" w:hAnsi="Calibri"/>
                <w:b/>
                <w:sz w:val="20"/>
              </w:rPr>
              <w:t>Grupo</w:t>
            </w:r>
          </w:p>
        </w:tc>
        <w:tc>
          <w:tcPr>
            <w:tcW w:type="dxa" w:w="3041"/>
            <w:shd w:val="clear" w:color="auto" w:fill="D9E1F2"/>
          </w:tcPr>
          <w:p>
            <w:pPr>
              <w:jc w:val="center"/>
            </w:pPr>
            <w:r>
              <w:rPr>
                <w:rFonts w:ascii="Calibri" w:hAnsi="Calibri"/>
                <w:b/>
                <w:sz w:val="20"/>
              </w:rPr>
              <w:t>Columnas</w:t>
            </w:r>
          </w:p>
        </w:tc>
        <w:tc>
          <w:tcPr>
            <w:tcW w:type="dxa" w:w="3041"/>
            <w:shd w:val="clear" w:color="auto" w:fill="D9E1F2"/>
          </w:tcPr>
          <w:p>
            <w:pPr>
              <w:jc w:val="center"/>
            </w:pPr>
            <w:r>
              <w:rPr>
                <w:rFonts w:ascii="Calibri" w:hAnsi="Calibri"/>
                <w:b/>
                <w:sz w:val="20"/>
              </w:rPr>
              <w:t>Razón</w:t>
            </w:r>
          </w:p>
        </w:tc>
      </w:tr>
      <w:tr>
        <w:tc>
          <w:tcPr>
            <w:tcW w:type="dxa" w:w="3041"/>
          </w:tcPr>
          <w:p>
            <w:pPr>
              <w:jc w:val="left"/>
            </w:pPr>
            <w:r>
              <w:rPr>
                <w:rFonts w:ascii="Calibri" w:hAnsi="Calibri"/>
                <w:b w:val="0"/>
                <w:sz w:val="20"/>
              </w:rPr>
              <w:t>IDs administrativos</w:t>
            </w:r>
          </w:p>
        </w:tc>
        <w:tc>
          <w:tcPr>
            <w:tcW w:type="dxa" w:w="3041"/>
          </w:tcPr>
          <w:p>
            <w:pPr>
              <w:jc w:val="center"/>
            </w:pPr>
            <w:r>
              <w:rPr>
                <w:rFonts w:ascii="Calibri" w:hAnsi="Calibri"/>
                <w:b w:val="0"/>
                <w:sz w:val="20"/>
              </w:rPr>
              <w:t>CONSECUTIVE, COD_PRE, COD_SUB</w:t>
            </w:r>
          </w:p>
        </w:tc>
        <w:tc>
          <w:tcPr>
            <w:tcW w:type="dxa" w:w="3041"/>
          </w:tcPr>
          <w:p>
            <w:pPr>
              <w:jc w:val="center"/>
            </w:pPr>
            <w:r>
              <w:rPr>
                <w:rFonts w:ascii="Calibri" w:hAnsi="Calibri"/>
                <w:b w:val="0"/>
                <w:sz w:val="20"/>
              </w:rPr>
              <w:t>Sin valor predictivo</w:t>
            </w:r>
          </w:p>
        </w:tc>
      </w:tr>
      <w:tr>
        <w:tc>
          <w:tcPr>
            <w:tcW w:type="dxa" w:w="3041"/>
          </w:tcPr>
          <w:p>
            <w:pPr>
              <w:jc w:val="left"/>
            </w:pPr>
            <w:r>
              <w:rPr>
                <w:rFonts w:ascii="Calibri" w:hAnsi="Calibri"/>
                <w:b w:val="0"/>
                <w:sz w:val="20"/>
              </w:rPr>
              <w:t>Variables de resultado</w:t>
            </w:r>
          </w:p>
        </w:tc>
        <w:tc>
          <w:tcPr>
            <w:tcW w:type="dxa" w:w="3041"/>
          </w:tcPr>
          <w:p>
            <w:pPr>
              <w:jc w:val="center"/>
            </w:pPr>
            <w:r>
              <w:rPr>
                <w:rFonts w:ascii="Calibri" w:hAnsi="Calibri"/>
                <w:b w:val="0"/>
                <w:sz w:val="20"/>
              </w:rPr>
              <w:t>PAC_HOS, CON_FIN, FEC_HOS, FEC_DEF</w:t>
            </w:r>
          </w:p>
        </w:tc>
        <w:tc>
          <w:tcPr>
            <w:tcW w:type="dxa" w:w="3041"/>
          </w:tcPr>
          <w:p>
            <w:pPr>
              <w:jc w:val="center"/>
            </w:pPr>
            <w:r>
              <w:rPr>
                <w:rFonts w:ascii="Calibri" w:hAnsi="Calibri"/>
                <w:b w:val="0"/>
                <w:sz w:val="20"/>
              </w:rPr>
              <w:t>Contemporáneas al caso, no leading</w:t>
            </w:r>
          </w:p>
        </w:tc>
      </w:tr>
      <w:tr>
        <w:tc>
          <w:tcPr>
            <w:tcW w:type="dxa" w:w="3041"/>
          </w:tcPr>
          <w:p>
            <w:pPr>
              <w:jc w:val="left"/>
            </w:pPr>
            <w:r>
              <w:rPr>
                <w:rFonts w:ascii="Calibri" w:hAnsi="Calibri"/>
                <w:b w:val="0"/>
                <w:sz w:val="20"/>
              </w:rPr>
              <w:t>Tipo confirmación</w:t>
            </w:r>
          </w:p>
        </w:tc>
        <w:tc>
          <w:tcPr>
            <w:tcW w:type="dxa" w:w="3041"/>
          </w:tcPr>
          <w:p>
            <w:pPr>
              <w:jc w:val="center"/>
            </w:pPr>
            <w:r>
              <w:rPr>
                <w:rFonts w:ascii="Calibri" w:hAnsi="Calibri"/>
                <w:b w:val="0"/>
                <w:sz w:val="20"/>
              </w:rPr>
              <w:t>TIP_CAS, nom_est_f_caso</w:t>
            </w:r>
          </w:p>
        </w:tc>
        <w:tc>
          <w:tcPr>
            <w:tcW w:type="dxa" w:w="3041"/>
          </w:tcPr>
          <w:p>
            <w:pPr>
              <w:jc w:val="center"/>
            </w:pPr>
            <w:r>
              <w:rPr>
                <w:rFonts w:ascii="Calibri" w:hAnsi="Calibri"/>
                <w:b w:val="0"/>
                <w:sz w:val="20"/>
              </w:rPr>
              <w:t>Administrativo</w:t>
            </w:r>
          </w:p>
        </w:tc>
      </w:tr>
      <w:tr>
        <w:tc>
          <w:tcPr>
            <w:tcW w:type="dxa" w:w="3041"/>
          </w:tcPr>
          <w:p>
            <w:pPr>
              <w:jc w:val="left"/>
            </w:pPr>
            <w:r>
              <w:rPr>
                <w:rFonts w:ascii="Calibri" w:hAnsi="Calibri"/>
                <w:b w:val="0"/>
                <w:sz w:val="20"/>
              </w:rPr>
              <w:t>Demografía</w:t>
            </w:r>
          </w:p>
        </w:tc>
        <w:tc>
          <w:tcPr>
            <w:tcW w:type="dxa" w:w="3041"/>
          </w:tcPr>
          <w:p>
            <w:pPr>
              <w:jc w:val="center"/>
            </w:pPr>
            <w:r>
              <w:rPr>
                <w:rFonts w:ascii="Calibri" w:hAnsi="Calibri"/>
                <w:b w:val="0"/>
                <w:sz w:val="20"/>
              </w:rPr>
              <w:t>SEXO, EDAD, AREA, TIP_SS</w:t>
            </w:r>
          </w:p>
        </w:tc>
        <w:tc>
          <w:tcPr>
            <w:tcW w:type="dxa" w:w="3041"/>
          </w:tcPr>
          <w:p>
            <w:pPr>
              <w:jc w:val="center"/>
            </w:pPr>
            <w:r>
              <w:rPr>
                <w:rFonts w:ascii="Calibri" w:hAnsi="Calibri"/>
                <w:b w:val="0"/>
                <w:sz w:val="20"/>
              </w:rPr>
              <w:t>Sin relación de adelanto temporal</w:t>
            </w:r>
          </w:p>
        </w:tc>
      </w:tr>
      <w:tr>
        <w:tc>
          <w:tcPr>
            <w:tcW w:type="dxa" w:w="3041"/>
          </w:tcPr>
          <w:p>
            <w:pPr>
              <w:jc w:val="left"/>
            </w:pPr>
            <w:r>
              <w:rPr>
                <w:rFonts w:ascii="Calibri" w:hAnsi="Calibri"/>
                <w:b w:val="0"/>
                <w:sz w:val="20"/>
              </w:rPr>
              <w:t>&gt; 99% nulos</w:t>
            </w:r>
          </w:p>
        </w:tc>
        <w:tc>
          <w:tcPr>
            <w:tcW w:type="dxa" w:w="3041"/>
          </w:tcPr>
          <w:p>
            <w:pPr>
              <w:jc w:val="center"/>
            </w:pPr>
            <w:r>
              <w:rPr>
                <w:rFonts w:ascii="Calibri" w:hAnsi="Calibri"/>
                <w:b w:val="0"/>
                <w:sz w:val="20"/>
              </w:rPr>
              <w:t>FM_FUERZA, FM_UNIDAD, FM_GRADO</w:t>
            </w:r>
          </w:p>
        </w:tc>
        <w:tc>
          <w:tcPr>
            <w:tcW w:type="dxa" w:w="3041"/>
          </w:tcPr>
          <w:p>
            <w:pPr>
              <w:jc w:val="center"/>
            </w:pPr>
            <w:r>
              <w:rPr>
                <w:rFonts w:ascii="Calibri" w:hAnsi="Calibri"/>
                <w:b w:val="0"/>
                <w:sz w:val="20"/>
              </w:rPr>
              <w:t>Datos militares</w:t>
            </w:r>
          </w:p>
        </w:tc>
      </w:tr>
      <w:tr>
        <w:tc>
          <w:tcPr>
            <w:tcW w:type="dxa" w:w="3041"/>
          </w:tcPr>
          <w:p>
            <w:pPr>
              <w:jc w:val="left"/>
            </w:pPr>
            <w:r>
              <w:rPr>
                <w:rFonts w:ascii="Calibri" w:hAnsi="Calibri"/>
                <w:b w:val="0"/>
                <w:sz w:val="20"/>
              </w:rPr>
              <w:t>&gt; 80% nulos</w:t>
            </w:r>
          </w:p>
        </w:tc>
        <w:tc>
          <w:tcPr>
            <w:tcW w:type="dxa" w:w="3041"/>
          </w:tcPr>
          <w:p>
            <w:pPr>
              <w:jc w:val="center"/>
            </w:pPr>
            <w:r>
              <w:rPr>
                <w:rFonts w:ascii="Calibri" w:hAnsi="Calibri"/>
                <w:b w:val="0"/>
                <w:sz w:val="20"/>
              </w:rPr>
              <w:t>estrato, fuente, nom_grupo, sem_ges</w:t>
            </w:r>
          </w:p>
        </w:tc>
        <w:tc>
          <w:tcPr>
            <w:tcW w:type="dxa" w:w="3041"/>
          </w:tcPr>
          <w:p>
            <w:pPr>
              <w:jc w:val="center"/>
            </w:pPr>
            <w:r>
              <w:rPr>
                <w:rFonts w:ascii="Calibri" w:hAnsi="Calibri"/>
                <w:b w:val="0"/>
                <w:sz w:val="20"/>
              </w:rPr>
              <w:t>Cobertura insuficiente</w:t>
            </w:r>
          </w:p>
        </w:tc>
      </w:tr>
      <w:tr>
        <w:tc>
          <w:tcPr>
            <w:tcW w:type="dxa" w:w="3041"/>
          </w:tcPr>
          <w:p>
            <w:pPr>
              <w:jc w:val="left"/>
            </w:pPr>
            <w:r>
              <w:rPr>
                <w:rFonts w:ascii="Calibri" w:hAnsi="Calibri"/>
                <w:b w:val="0"/>
                <w:sz w:val="20"/>
              </w:rPr>
              <w:t>&gt; 83% nulos</w:t>
            </w:r>
          </w:p>
        </w:tc>
        <w:tc>
          <w:tcPr>
            <w:tcW w:type="dxa" w:w="3041"/>
          </w:tcPr>
          <w:p>
            <w:pPr>
              <w:jc w:val="center"/>
            </w:pPr>
            <w:r>
              <w:rPr>
                <w:rFonts w:ascii="Calibri" w:hAnsi="Calibri"/>
                <w:b w:val="0"/>
                <w:sz w:val="20"/>
              </w:rPr>
              <w:t>CBMTE, COD_PAIS_R, Pais_residencia</w:t>
            </w:r>
          </w:p>
        </w:tc>
        <w:tc>
          <w:tcPr>
            <w:tcW w:type="dxa" w:w="3041"/>
          </w:tcPr>
          <w:p>
            <w:pPr>
              <w:jc w:val="center"/>
            </w:pPr>
            <w:r>
              <w:rPr>
                <w:rFonts w:ascii="Calibri" w:hAnsi="Calibri"/>
                <w:b w:val="0"/>
                <w:sz w:val="20"/>
              </w:rPr>
              <w:t>Cobertura insuficiente</w:t>
            </w:r>
          </w:p>
        </w:tc>
      </w:tr>
      <w:tr>
        <w:tc>
          <w:tcPr>
            <w:tcW w:type="dxa" w:w="3041"/>
          </w:tcPr>
          <w:p>
            <w:pPr>
              <w:jc w:val="left"/>
            </w:pPr>
            <w:r>
              <w:rPr>
                <w:rFonts w:ascii="Calibri" w:hAnsi="Calibri"/>
                <w:b w:val="0"/>
                <w:sz w:val="20"/>
              </w:rPr>
              <w:t>Cobertura/grupo</w:t>
            </w:r>
          </w:p>
        </w:tc>
        <w:tc>
          <w:tcPr>
            <w:tcW w:type="dxa" w:w="3041"/>
          </w:tcPr>
          <w:p>
            <w:pPr>
              <w:jc w:val="center"/>
            </w:pPr>
            <w:r>
              <w:rPr>
                <w:rFonts w:ascii="Calibri" w:hAnsi="Calibri"/>
                <w:b w:val="0"/>
                <w:sz w:val="20"/>
              </w:rPr>
              <w:t>COD_ASE, GRU_POB, GP_* (12 cols)</w:t>
            </w:r>
          </w:p>
        </w:tc>
        <w:tc>
          <w:tcPr>
            <w:tcW w:type="dxa" w:w="3041"/>
          </w:tcPr>
          <w:p>
            <w:pPr>
              <w:jc w:val="center"/>
            </w:pPr>
            <w:r>
              <w:rPr>
                <w:rFonts w:ascii="Calibri" w:hAnsi="Calibri"/>
                <w:b w:val="0"/>
                <w:sz w:val="20"/>
              </w:rPr>
              <w:t>Sin relación epidemiológica directa</w:t>
            </w:r>
          </w:p>
        </w:tc>
      </w:tr>
      <w:tr>
        <w:tc>
          <w:tcPr>
            <w:tcW w:type="dxa" w:w="3041"/>
          </w:tcPr>
          <w:p>
            <w:pPr>
              <w:jc w:val="left"/>
            </w:pPr>
            <w:r>
              <w:rPr>
                <w:rFonts w:ascii="Calibri" w:hAnsi="Calibri"/>
                <w:b w:val="0"/>
                <w:sz w:val="20"/>
              </w:rPr>
              <w:t>Temperatura GEE cruda</w:t>
            </w:r>
          </w:p>
        </w:tc>
        <w:tc>
          <w:tcPr>
            <w:tcW w:type="dxa" w:w="3041"/>
          </w:tcPr>
          <w:p>
            <w:pPr>
              <w:jc w:val="center"/>
            </w:pPr>
            <w:r>
              <w:rPr>
                <w:rFonts w:ascii="Calibri" w:hAnsi="Calibri"/>
                <w:b w:val="0"/>
                <w:sz w:val="20"/>
              </w:rPr>
              <w:t>lst_celsius diario (sin agregar)</w:t>
            </w:r>
          </w:p>
        </w:tc>
        <w:tc>
          <w:tcPr>
            <w:tcW w:type="dxa" w:w="3041"/>
          </w:tcPr>
          <w:p>
            <w:pPr>
              <w:jc w:val="center"/>
            </w:pPr>
            <w:r>
              <w:rPr>
                <w:rFonts w:ascii="Calibri" w:hAnsi="Calibri"/>
                <w:b w:val="0"/>
                <w:sz w:val="20"/>
              </w:rPr>
              <w:t>Se agrega a nivel semanal antes de usar</w:t>
            </w:r>
          </w:p>
        </w:tc>
      </w:tr>
    </w:tbl>
    <w:p/>
    <w:p>
      <w:pPr>
        <w:spacing w:before="160" w:after="80"/>
        <w:jc w:val="left"/>
      </w:pPr>
      <w:r>
        <w:rPr>
          <w:rFonts w:ascii="Calibri" w:hAnsi="Calibri"/>
          <w:b/>
          <w:sz w:val="22"/>
        </w:rPr>
        <w:t>7.2 Features creadas (ingeniería de variables)</w:t>
      </w:r>
    </w:p>
    <w:p>
      <w:pPr>
        <w:spacing w:before="40" w:after="40"/>
        <w:jc w:val="both"/>
      </w:pPr>
      <w:r>
        <w:rPr>
          <w:rFonts w:ascii="Calibri" w:hAnsi="Calibri"/>
          <w:b w:val="0"/>
          <w:sz w:val="22"/>
        </w:rPr>
        <w:t>Las 26 features del dataset de modelado fueron construidas a partir de las variables base.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Calibri" w:hAnsi="Calibri"/>
                <w:b/>
                <w:sz w:val="20"/>
              </w:rPr>
              <w:t>Feature</w:t>
            </w:r>
          </w:p>
        </w:tc>
        <w:tc>
          <w:tcPr>
            <w:tcW w:type="dxa" w:w="3041"/>
            <w:shd w:val="clear" w:color="auto" w:fill="D9E1F2"/>
          </w:tcPr>
          <w:p>
            <w:pPr>
              <w:jc w:val="center"/>
            </w:pPr>
            <w:r>
              <w:rPr>
                <w:rFonts w:ascii="Calibri" w:hAnsi="Calibri"/>
                <w:b/>
                <w:sz w:val="20"/>
              </w:rPr>
              <w:t>Nombre(s)</w:t>
            </w:r>
          </w:p>
        </w:tc>
        <w:tc>
          <w:tcPr>
            <w:tcW w:type="dxa" w:w="3041"/>
            <w:shd w:val="clear" w:color="auto" w:fill="D9E1F2"/>
          </w:tcPr>
          <w:p>
            <w:pPr>
              <w:jc w:val="center"/>
            </w:pPr>
            <w:r>
              <w:rPr>
                <w:rFonts w:ascii="Calibri" w:hAnsi="Calibri"/>
                <w:b/>
                <w:sz w:val="20"/>
              </w:rPr>
              <w:t>Descripcion</w:t>
            </w:r>
          </w:p>
        </w:tc>
      </w:tr>
      <w:tr>
        <w:tc>
          <w:tcPr>
            <w:tcW w:type="dxa" w:w="3041"/>
          </w:tcPr>
          <w:p>
            <w:pPr>
              <w:jc w:val="left"/>
            </w:pPr>
            <w:r>
              <w:rPr>
                <w:rFonts w:ascii="Calibri" w:hAnsi="Calibri"/>
                <w:b w:val="0"/>
                <w:sz w:val="20"/>
              </w:rPr>
              <w:t>Rezagos de dengue grave</w:t>
            </w:r>
          </w:p>
        </w:tc>
        <w:tc>
          <w:tcPr>
            <w:tcW w:type="dxa" w:w="3041"/>
          </w:tcPr>
          <w:p>
            <w:pPr>
              <w:jc w:val="center"/>
            </w:pPr>
            <w:r>
              <w:rPr>
                <w:rFonts w:ascii="Calibri" w:hAnsi="Calibri"/>
                <w:b w:val="0"/>
                <w:sz w:val="20"/>
              </w:rPr>
              <w:t>grave_lag_1, _2, _3, _4, _8</w:t>
            </w:r>
          </w:p>
        </w:tc>
        <w:tc>
          <w:tcPr>
            <w:tcW w:type="dxa" w:w="3041"/>
          </w:tcPr>
          <w:p>
            <w:pPr>
              <w:jc w:val="center"/>
            </w:pPr>
            <w:r>
              <w:rPr>
                <w:rFonts w:ascii="Calibri" w:hAnsi="Calibri"/>
                <w:b w:val="0"/>
                <w:sz w:val="20"/>
              </w:rPr>
              <w:t>Shift por municipio sobre serie semanal de casos graves</w:t>
            </w:r>
          </w:p>
        </w:tc>
      </w:tr>
      <w:tr>
        <w:tc>
          <w:tcPr>
            <w:tcW w:type="dxa" w:w="3041"/>
          </w:tcPr>
          <w:p>
            <w:pPr>
              <w:jc w:val="left"/>
            </w:pPr>
            <w:r>
              <w:rPr>
                <w:rFonts w:ascii="Calibri" w:hAnsi="Calibri"/>
                <w:b w:val="0"/>
                <w:sz w:val="20"/>
              </w:rPr>
              <w:t>Suma móvil grave</w:t>
            </w:r>
          </w:p>
        </w:tc>
        <w:tc>
          <w:tcPr>
            <w:tcW w:type="dxa" w:w="3041"/>
          </w:tcPr>
          <w:p>
            <w:pPr>
              <w:jc w:val="center"/>
            </w:pPr>
            <w:r>
              <w:rPr>
                <w:rFonts w:ascii="Calibri" w:hAnsi="Calibri"/>
                <w:b w:val="0"/>
                <w:sz w:val="20"/>
              </w:rPr>
              <w:t>grave_roll4</w:t>
            </w:r>
          </w:p>
        </w:tc>
        <w:tc>
          <w:tcPr>
            <w:tcW w:type="dxa" w:w="3041"/>
          </w:tcPr>
          <w:p>
            <w:pPr>
              <w:jc w:val="center"/>
            </w:pPr>
            <w:r>
              <w:rPr>
                <w:rFonts w:ascii="Calibri" w:hAnsi="Calibri"/>
                <w:b w:val="0"/>
                <w:sz w:val="20"/>
              </w:rPr>
              <w:t>Suma de los 4 rezagos anteriores (carga acumulada mes)</w:t>
            </w:r>
          </w:p>
        </w:tc>
      </w:tr>
      <w:tr>
        <w:tc>
          <w:tcPr>
            <w:tcW w:type="dxa" w:w="3041"/>
          </w:tcPr>
          <w:p>
            <w:pPr>
              <w:jc w:val="left"/>
            </w:pPr>
            <w:r>
              <w:rPr>
                <w:rFonts w:ascii="Calibri" w:hAnsi="Calibri"/>
                <w:b w:val="0"/>
                <w:sz w:val="20"/>
              </w:rPr>
              <w:t>Rezagos de dengue clásico</w:t>
            </w:r>
          </w:p>
        </w:tc>
        <w:tc>
          <w:tcPr>
            <w:tcW w:type="dxa" w:w="3041"/>
          </w:tcPr>
          <w:p>
            <w:pPr>
              <w:jc w:val="center"/>
            </w:pPr>
            <w:r>
              <w:rPr>
                <w:rFonts w:ascii="Calibri" w:hAnsi="Calibri"/>
                <w:b w:val="0"/>
                <w:sz w:val="20"/>
              </w:rPr>
              <w:t>clasico_lag_1, _2, _3, _4, _8</w:t>
            </w:r>
          </w:p>
        </w:tc>
        <w:tc>
          <w:tcPr>
            <w:tcW w:type="dxa" w:w="3041"/>
          </w:tcPr>
          <w:p>
            <w:pPr>
              <w:jc w:val="center"/>
            </w:pPr>
            <w:r>
              <w:rPr>
                <w:rFonts w:ascii="Calibri" w:hAnsi="Calibri"/>
                <w:b w:val="0"/>
                <w:sz w:val="20"/>
              </w:rPr>
              <w:t>Idem sobre serie de clásico (precursor)</w:t>
            </w:r>
          </w:p>
        </w:tc>
      </w:tr>
      <w:tr>
        <w:tc>
          <w:tcPr>
            <w:tcW w:type="dxa" w:w="3041"/>
          </w:tcPr>
          <w:p>
            <w:pPr>
              <w:jc w:val="left"/>
            </w:pPr>
            <w:r>
              <w:rPr>
                <w:rFonts w:ascii="Calibri" w:hAnsi="Calibri"/>
                <w:b w:val="0"/>
                <w:sz w:val="20"/>
              </w:rPr>
              <w:t>Suma móvil clásico</w:t>
            </w:r>
          </w:p>
        </w:tc>
        <w:tc>
          <w:tcPr>
            <w:tcW w:type="dxa" w:w="3041"/>
          </w:tcPr>
          <w:p>
            <w:pPr>
              <w:jc w:val="center"/>
            </w:pPr>
            <w:r>
              <w:rPr>
                <w:rFonts w:ascii="Calibri" w:hAnsi="Calibri"/>
                <w:b w:val="0"/>
                <w:sz w:val="20"/>
              </w:rPr>
              <w:t>clasico_roll4</w:t>
            </w:r>
          </w:p>
        </w:tc>
        <w:tc>
          <w:tcPr>
            <w:tcW w:type="dxa" w:w="3041"/>
          </w:tcPr>
          <w:p>
            <w:pPr>
              <w:jc w:val="center"/>
            </w:pPr>
            <w:r>
              <w:rPr>
                <w:rFonts w:ascii="Calibri" w:hAnsi="Calibri"/>
                <w:b w:val="0"/>
                <w:sz w:val="20"/>
              </w:rPr>
              <w:t>Suma de los 4 rezagos anteriores de clásico</w:t>
            </w:r>
          </w:p>
        </w:tc>
      </w:tr>
      <w:tr>
        <w:tc>
          <w:tcPr>
            <w:tcW w:type="dxa" w:w="3041"/>
          </w:tcPr>
          <w:p>
            <w:pPr>
              <w:jc w:val="left"/>
            </w:pPr>
            <w:r>
              <w:rPr>
                <w:rFonts w:ascii="Calibri" w:hAnsi="Calibri"/>
                <w:b w:val="0"/>
                <w:sz w:val="20"/>
              </w:rPr>
              <w:t>Temperatura semanal</w:t>
            </w:r>
          </w:p>
        </w:tc>
        <w:tc>
          <w:tcPr>
            <w:tcW w:type="dxa" w:w="3041"/>
          </w:tcPr>
          <w:p>
            <w:pPr>
              <w:jc w:val="center"/>
            </w:pPr>
            <w:r>
              <w:rPr>
                <w:rFonts w:ascii="Calibri" w:hAnsi="Calibri"/>
                <w:b w:val="0"/>
                <w:sz w:val="20"/>
              </w:rPr>
              <w:t>lst_media</w:t>
            </w:r>
          </w:p>
        </w:tc>
        <w:tc>
          <w:tcPr>
            <w:tcW w:type="dxa" w:w="3041"/>
          </w:tcPr>
          <w:p>
            <w:pPr>
              <w:jc w:val="center"/>
            </w:pPr>
            <w:r>
              <w:rPr>
                <w:rFonts w:ascii="Calibri" w:hAnsi="Calibri"/>
                <w:b w:val="0"/>
                <w:sz w:val="20"/>
              </w:rPr>
              <w:t>Media semanal de LST diario por municipio (GEE/MODIS)</w:t>
            </w:r>
          </w:p>
        </w:tc>
      </w:tr>
      <w:tr>
        <w:tc>
          <w:tcPr>
            <w:tcW w:type="dxa" w:w="3041"/>
          </w:tcPr>
          <w:p>
            <w:pPr>
              <w:jc w:val="left"/>
            </w:pPr>
            <w:r>
              <w:rPr>
                <w:rFonts w:ascii="Calibri" w:hAnsi="Calibri"/>
                <w:b w:val="0"/>
                <w:sz w:val="20"/>
              </w:rPr>
              <w:t>Rezagos de temperatura</w:t>
            </w:r>
          </w:p>
        </w:tc>
        <w:tc>
          <w:tcPr>
            <w:tcW w:type="dxa" w:w="3041"/>
          </w:tcPr>
          <w:p>
            <w:pPr>
              <w:jc w:val="center"/>
            </w:pPr>
            <w:r>
              <w:rPr>
                <w:rFonts w:ascii="Calibri" w:hAnsi="Calibri"/>
                <w:b w:val="0"/>
                <w:sz w:val="20"/>
              </w:rPr>
              <w:t>lst_lag_1, lst_lag_2, lst_lag_4</w:t>
            </w:r>
          </w:p>
        </w:tc>
        <w:tc>
          <w:tcPr>
            <w:tcW w:type="dxa" w:w="3041"/>
          </w:tcPr>
          <w:p>
            <w:pPr>
              <w:jc w:val="center"/>
            </w:pPr>
            <w:r>
              <w:rPr>
                <w:rFonts w:ascii="Calibri" w:hAnsi="Calibri"/>
                <w:b w:val="0"/>
                <w:sz w:val="20"/>
              </w:rPr>
              <w:t>LST de semanas anteriores (ciclo de vida del vector)</w:t>
            </w:r>
          </w:p>
        </w:tc>
      </w:tr>
      <w:tr>
        <w:tc>
          <w:tcPr>
            <w:tcW w:type="dxa" w:w="3041"/>
          </w:tcPr>
          <w:p>
            <w:pPr>
              <w:jc w:val="left"/>
            </w:pPr>
            <w:r>
              <w:rPr>
                <w:rFonts w:ascii="Calibri" w:hAnsi="Calibri"/>
                <w:b w:val="0"/>
                <w:sz w:val="20"/>
              </w:rPr>
              <w:t>Estacionalidad cíclica</w:t>
            </w:r>
          </w:p>
        </w:tc>
        <w:tc>
          <w:tcPr>
            <w:tcW w:type="dxa" w:w="3041"/>
          </w:tcPr>
          <w:p>
            <w:pPr>
              <w:jc w:val="center"/>
            </w:pPr>
            <w:r>
              <w:rPr>
                <w:rFonts w:ascii="Calibri" w:hAnsi="Calibri"/>
                <w:b w:val="0"/>
                <w:sz w:val="20"/>
              </w:rPr>
              <w:t>semana_sin, semana_cos</w:t>
            </w:r>
          </w:p>
        </w:tc>
        <w:tc>
          <w:tcPr>
            <w:tcW w:type="dxa" w:w="3041"/>
          </w:tcPr>
          <w:p>
            <w:pPr>
              <w:jc w:val="center"/>
            </w:pPr>
            <w:r>
              <w:rPr>
                <w:rFonts w:ascii="Calibri" w:hAnsi="Calibri"/>
                <w:b w:val="0"/>
                <w:sz w:val="20"/>
              </w:rPr>
              <w:t>sin/cos(2π × semana/52): codificación continua del año</w:t>
            </w:r>
          </w:p>
        </w:tc>
      </w:tr>
      <w:tr>
        <w:tc>
          <w:tcPr>
            <w:tcW w:type="dxa" w:w="3041"/>
          </w:tcPr>
          <w:p>
            <w:pPr>
              <w:jc w:val="left"/>
            </w:pPr>
            <w:r>
              <w:rPr>
                <w:rFonts w:ascii="Calibri" w:hAnsi="Calibri"/>
                <w:b w:val="0"/>
                <w:sz w:val="20"/>
              </w:rPr>
              <w:t>Año epidémico</w:t>
            </w:r>
          </w:p>
        </w:tc>
        <w:tc>
          <w:tcPr>
            <w:tcW w:type="dxa" w:w="3041"/>
          </w:tcPr>
          <w:p>
            <w:pPr>
              <w:jc w:val="center"/>
            </w:pPr>
            <w:r>
              <w:rPr>
                <w:rFonts w:ascii="Calibri" w:hAnsi="Calibri"/>
                <w:b w:val="0"/>
                <w:sz w:val="20"/>
              </w:rPr>
              <w:t>anio_epidemia</w:t>
            </w:r>
          </w:p>
        </w:tc>
        <w:tc>
          <w:tcPr>
            <w:tcW w:type="dxa" w:w="3041"/>
          </w:tcPr>
          <w:p>
            <w:pPr>
              <w:jc w:val="center"/>
            </w:pPr>
            <w:r>
              <w:rPr>
                <w:rFonts w:ascii="Calibri" w:hAnsi="Calibri"/>
                <w:b w:val="0"/>
                <w:sz w:val="20"/>
              </w:rPr>
              <w:t>Binario: 1 si el año es 2010, 2016, 2019 o 2023</w:t>
            </w:r>
          </w:p>
        </w:tc>
      </w:tr>
      <w:tr>
        <w:tc>
          <w:tcPr>
            <w:tcW w:type="dxa" w:w="3041"/>
          </w:tcPr>
          <w:p>
            <w:pPr>
              <w:jc w:val="left"/>
            </w:pPr>
            <w:r>
              <w:rPr>
                <w:rFonts w:ascii="Calibri" w:hAnsi="Calibri"/>
                <w:b w:val="0"/>
                <w:sz w:val="20"/>
              </w:rPr>
              <w:t>Endemicidad</w:t>
            </w:r>
          </w:p>
        </w:tc>
        <w:tc>
          <w:tcPr>
            <w:tcW w:type="dxa" w:w="3041"/>
          </w:tcPr>
          <w:p>
            <w:pPr>
              <w:jc w:val="center"/>
            </w:pPr>
            <w:r>
              <w:rPr>
                <w:rFonts w:ascii="Calibri" w:hAnsi="Calibri"/>
                <w:b w:val="0"/>
                <w:sz w:val="20"/>
              </w:rPr>
              <w:t>es_endemico</w:t>
            </w:r>
          </w:p>
        </w:tc>
        <w:tc>
          <w:tcPr>
            <w:tcW w:type="dxa" w:w="3041"/>
          </w:tcPr>
          <w:p>
            <w:pPr>
              <w:jc w:val="center"/>
            </w:pPr>
            <w:r>
              <w:rPr>
                <w:rFonts w:ascii="Calibri" w:hAnsi="Calibri"/>
                <w:b w:val="0"/>
                <w:sz w:val="20"/>
              </w:rPr>
              <w:t>Binario: municipio cumple criterio D4 (&gt;=10 años, &gt;=200 casos)</w:t>
            </w:r>
          </w:p>
        </w:tc>
      </w:tr>
      <w:tr>
        <w:tc>
          <w:tcPr>
            <w:tcW w:type="dxa" w:w="3041"/>
          </w:tcPr>
          <w:p>
            <w:pPr>
              <w:jc w:val="left"/>
            </w:pPr>
            <w:r>
              <w:rPr>
                <w:rFonts w:ascii="Calibri" w:hAnsi="Calibri"/>
                <w:b w:val="0"/>
                <w:sz w:val="20"/>
              </w:rPr>
              <w:t>Canal endémico (umbrales)</w:t>
            </w:r>
          </w:p>
        </w:tc>
        <w:tc>
          <w:tcPr>
            <w:tcW w:type="dxa" w:w="3041"/>
          </w:tcPr>
          <w:p>
            <w:pPr>
              <w:jc w:val="center"/>
            </w:pPr>
            <w:r>
              <w:rPr>
                <w:rFonts w:ascii="Calibri" w:hAnsi="Calibri"/>
                <w:b w:val="0"/>
                <w:sz w:val="20"/>
              </w:rPr>
              <w:t>p25, p75</w:t>
            </w:r>
          </w:p>
        </w:tc>
        <w:tc>
          <w:tcPr>
            <w:tcW w:type="dxa" w:w="3041"/>
          </w:tcPr>
          <w:p>
            <w:pPr>
              <w:jc w:val="center"/>
            </w:pPr>
            <w:r>
              <w:rPr>
                <w:rFonts w:ascii="Calibri" w:hAnsi="Calibri"/>
                <w:b w:val="0"/>
                <w:sz w:val="20"/>
              </w:rPr>
              <w:t>Percentiles históricos de grave por municipio y semana (ref 2007-2022)</w:t>
            </w:r>
          </w:p>
        </w:tc>
      </w:tr>
      <w:tr>
        <w:tc>
          <w:tcPr>
            <w:tcW w:type="dxa" w:w="3041"/>
          </w:tcPr>
          <w:p>
            <w:pPr>
              <w:jc w:val="left"/>
            </w:pPr>
            <w:r>
              <w:rPr>
                <w:rFonts w:ascii="Calibri" w:hAnsi="Calibri"/>
                <w:b w:val="0"/>
                <w:sz w:val="20"/>
              </w:rPr>
              <w:t>Zona canal</w:t>
            </w:r>
          </w:p>
        </w:tc>
        <w:tc>
          <w:tcPr>
            <w:tcW w:type="dxa" w:w="3041"/>
          </w:tcPr>
          <w:p>
            <w:pPr>
              <w:jc w:val="center"/>
            </w:pPr>
            <w:r>
              <w:rPr>
                <w:rFonts w:ascii="Calibri" w:hAnsi="Calibri"/>
                <w:b w:val="0"/>
                <w:sz w:val="20"/>
              </w:rPr>
              <w:t>zona_canal_lag1</w:t>
            </w:r>
          </w:p>
        </w:tc>
        <w:tc>
          <w:tcPr>
            <w:tcW w:type="dxa" w:w="3041"/>
          </w:tcPr>
          <w:p>
            <w:pPr>
              <w:jc w:val="center"/>
            </w:pPr>
            <w:r>
              <w:rPr>
                <w:rFonts w:ascii="Calibri" w:hAnsi="Calibri"/>
                <w:b w:val="0"/>
                <w:sz w:val="20"/>
              </w:rPr>
              <w:t>0=normal, 1=alerta, 2=exceso según p25/p75 de la semana anterior</w:t>
            </w:r>
          </w:p>
        </w:tc>
      </w:tr>
      <w:tr>
        <w:tc>
          <w:tcPr>
            <w:tcW w:type="dxa" w:w="3041"/>
          </w:tcPr>
          <w:p>
            <w:pPr>
              <w:jc w:val="left"/>
            </w:pPr>
            <w:r>
              <w:rPr>
                <w:rFonts w:ascii="Calibri" w:hAnsi="Calibri"/>
                <w:b w:val="0"/>
                <w:sz w:val="20"/>
              </w:rPr>
              <w:t>SIR</w:t>
            </w:r>
          </w:p>
        </w:tc>
        <w:tc>
          <w:tcPr>
            <w:tcW w:type="dxa" w:w="3041"/>
          </w:tcPr>
          <w:p>
            <w:pPr>
              <w:jc w:val="center"/>
            </w:pPr>
            <w:r>
              <w:rPr>
                <w:rFonts w:ascii="Calibri" w:hAnsi="Calibri"/>
                <w:b w:val="0"/>
                <w:sz w:val="20"/>
              </w:rPr>
              <w:t>sir_lag1</w:t>
            </w:r>
          </w:p>
        </w:tc>
        <w:tc>
          <w:tcPr>
            <w:tcW w:type="dxa" w:w="3041"/>
          </w:tcPr>
          <w:p>
            <w:pPr>
              <w:jc w:val="center"/>
            </w:pPr>
            <w:r>
              <w:rPr>
                <w:rFonts w:ascii="Calibri" w:hAnsi="Calibri"/>
                <w:b w:val="0"/>
                <w:sz w:val="20"/>
              </w:rPr>
              <w:t>grave_lag_1 / media_historica(grave) por municipio-semana (ref 2007-2022)</w:t>
            </w:r>
          </w:p>
        </w:tc>
      </w:tr>
    </w:tbl>
    <w:p/>
    <w:p>
      <w:pPr>
        <w:spacing w:before="160" w:after="80"/>
        <w:jc w:val="left"/>
      </w:pPr>
      <w:r>
        <w:rPr>
          <w:rFonts w:ascii="Calibri" w:hAnsi="Calibri"/>
          <w:b/>
          <w:sz w:val="22"/>
        </w:rPr>
        <w:t>7.3 Variables que permanecen del dataset original</w:t>
      </w:r>
    </w:p>
    <w:p>
      <w:pPr>
        <w:spacing w:before="40" w:after="40"/>
        <w:jc w:val="both"/>
      </w:pPr>
      <w:r>
        <w:rPr>
          <w:rFonts w:ascii="Calibri" w:hAnsi="Calibri"/>
          <w:b w:val="0"/>
          <w:sz w:val="22"/>
        </w:rPr>
        <w:t>Las siguientes columnas pasaron directamente del dataset original al dataset de modelado sin transformación, cumpliendo rol de identificador o variable objetivo.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Calibri" w:hAnsi="Calibri"/>
                <w:b/>
                <w:sz w:val="20"/>
              </w:rPr>
              <w:t>Columna</w:t>
            </w:r>
          </w:p>
        </w:tc>
        <w:tc>
          <w:tcPr>
            <w:tcW w:type="dxa" w:w="3041"/>
            <w:shd w:val="clear" w:color="auto" w:fill="D9E1F2"/>
          </w:tcPr>
          <w:p>
            <w:pPr>
              <w:jc w:val="center"/>
            </w:pPr>
            <w:r>
              <w:rPr>
                <w:rFonts w:ascii="Calibri" w:hAnsi="Calibri"/>
                <w:b/>
                <w:sz w:val="20"/>
              </w:rPr>
              <w:t>Rol</w:t>
            </w:r>
          </w:p>
        </w:tc>
        <w:tc>
          <w:tcPr>
            <w:tcW w:type="dxa" w:w="3041"/>
            <w:shd w:val="clear" w:color="auto" w:fill="D9E1F2"/>
          </w:tcPr>
          <w:p>
            <w:pPr>
              <w:jc w:val="center"/>
            </w:pPr>
            <w:r>
              <w:rPr>
                <w:rFonts w:ascii="Calibri" w:hAnsi="Calibri"/>
                <w:b/>
                <w:sz w:val="20"/>
              </w:rPr>
              <w:t>Descripcion</w:t>
            </w:r>
          </w:p>
        </w:tc>
      </w:tr>
      <w:tr>
        <w:tc>
          <w:tcPr>
            <w:tcW w:type="dxa" w:w="3041"/>
          </w:tcPr>
          <w:p>
            <w:pPr>
              <w:jc w:val="left"/>
            </w:pPr>
            <w:r>
              <w:rPr>
                <w:rFonts w:ascii="Calibri" w:hAnsi="Calibri"/>
                <w:b w:val="0"/>
                <w:sz w:val="20"/>
              </w:rPr>
              <w:t>COD_MUN_O</w:t>
            </w:r>
          </w:p>
        </w:tc>
        <w:tc>
          <w:tcPr>
            <w:tcW w:type="dxa" w:w="3041"/>
          </w:tcPr>
          <w:p>
            <w:pPr>
              <w:jc w:val="center"/>
            </w:pPr>
            <w:r>
              <w:rPr>
                <w:rFonts w:ascii="Calibri" w:hAnsi="Calibri"/>
                <w:b w:val="0"/>
                <w:sz w:val="20"/>
              </w:rPr>
              <w:t>Identificador</w:t>
            </w:r>
          </w:p>
        </w:tc>
        <w:tc>
          <w:tcPr>
            <w:tcW w:type="dxa" w:w="3041"/>
          </w:tcPr>
          <w:p>
            <w:pPr>
              <w:jc w:val="center"/>
            </w:pPr>
            <w:r>
              <w:rPr>
                <w:rFonts w:ascii="Calibri" w:hAnsi="Calibri"/>
                <w:b w:val="0"/>
                <w:sz w:val="20"/>
              </w:rPr>
              <w:t>Código municipio SIVIGILA (3 dígitos); llave de agregación</w:t>
            </w:r>
          </w:p>
        </w:tc>
      </w:tr>
      <w:tr>
        <w:tc>
          <w:tcPr>
            <w:tcW w:type="dxa" w:w="3041"/>
          </w:tcPr>
          <w:p>
            <w:pPr>
              <w:jc w:val="left"/>
            </w:pPr>
            <w:r>
              <w:rPr>
                <w:rFonts w:ascii="Calibri" w:hAnsi="Calibri"/>
                <w:b w:val="0"/>
                <w:sz w:val="20"/>
              </w:rPr>
              <w:t>mun_key</w:t>
            </w:r>
          </w:p>
        </w:tc>
        <w:tc>
          <w:tcPr>
            <w:tcW w:type="dxa" w:w="3041"/>
          </w:tcPr>
          <w:p>
            <w:pPr>
              <w:jc w:val="center"/>
            </w:pPr>
            <w:r>
              <w:rPr>
                <w:rFonts w:ascii="Calibri" w:hAnsi="Calibri"/>
                <w:b w:val="0"/>
                <w:sz w:val="20"/>
              </w:rPr>
              <w:t>Identificador</w:t>
            </w:r>
          </w:p>
        </w:tc>
        <w:tc>
          <w:tcPr>
            <w:tcW w:type="dxa" w:w="3041"/>
          </w:tcPr>
          <w:p>
            <w:pPr>
              <w:jc w:val="center"/>
            </w:pPr>
            <w:r>
              <w:rPr>
                <w:rFonts w:ascii="Calibri" w:hAnsi="Calibri"/>
                <w:b w:val="0"/>
                <w:sz w:val="20"/>
              </w:rPr>
              <w:t>Nombre municipio normalizado; llave de join con GEE</w:t>
            </w:r>
          </w:p>
        </w:tc>
      </w:tr>
      <w:tr>
        <w:tc>
          <w:tcPr>
            <w:tcW w:type="dxa" w:w="3041"/>
          </w:tcPr>
          <w:p>
            <w:pPr>
              <w:jc w:val="left"/>
            </w:pPr>
            <w:r>
              <w:rPr>
                <w:rFonts w:ascii="Calibri" w:hAnsi="Calibri"/>
                <w:b w:val="0"/>
                <w:sz w:val="20"/>
              </w:rPr>
              <w:t>Departamento_ocurrencia</w:t>
            </w:r>
          </w:p>
        </w:tc>
        <w:tc>
          <w:tcPr>
            <w:tcW w:type="dxa" w:w="3041"/>
          </w:tcPr>
          <w:p>
            <w:pPr>
              <w:jc w:val="center"/>
            </w:pPr>
            <w:r>
              <w:rPr>
                <w:rFonts w:ascii="Calibri" w:hAnsi="Calibri"/>
                <w:b w:val="0"/>
                <w:sz w:val="20"/>
              </w:rPr>
              <w:t>Identificador</w:t>
            </w:r>
          </w:p>
        </w:tc>
        <w:tc>
          <w:tcPr>
            <w:tcW w:type="dxa" w:w="3041"/>
          </w:tcPr>
          <w:p>
            <w:pPr>
              <w:jc w:val="center"/>
            </w:pPr>
            <w:r>
              <w:rPr>
                <w:rFonts w:ascii="Calibri" w:hAnsi="Calibri"/>
                <w:b w:val="0"/>
                <w:sz w:val="20"/>
              </w:rPr>
              <w:t>Departamento; útil para análisis geográfico</w:t>
            </w:r>
          </w:p>
        </w:tc>
      </w:tr>
      <w:tr>
        <w:tc>
          <w:tcPr>
            <w:tcW w:type="dxa" w:w="3041"/>
          </w:tcPr>
          <w:p>
            <w:pPr>
              <w:jc w:val="left"/>
            </w:pPr>
            <w:r>
              <w:rPr>
                <w:rFonts w:ascii="Calibri" w:hAnsi="Calibri"/>
                <w:b w:val="0"/>
                <w:sz w:val="20"/>
              </w:rPr>
              <w:t>ANO</w:t>
            </w:r>
          </w:p>
        </w:tc>
        <w:tc>
          <w:tcPr>
            <w:tcW w:type="dxa" w:w="3041"/>
          </w:tcPr>
          <w:p>
            <w:pPr>
              <w:jc w:val="center"/>
            </w:pPr>
            <w:r>
              <w:rPr>
                <w:rFonts w:ascii="Calibri" w:hAnsi="Calibri"/>
                <w:b w:val="0"/>
                <w:sz w:val="20"/>
              </w:rPr>
              <w:t>Identificador</w:t>
            </w:r>
          </w:p>
        </w:tc>
        <w:tc>
          <w:tcPr>
            <w:tcW w:type="dxa" w:w="3041"/>
          </w:tcPr>
          <w:p>
            <w:pPr>
              <w:jc w:val="center"/>
            </w:pPr>
            <w:r>
              <w:rPr>
                <w:rFonts w:ascii="Calibri" w:hAnsi="Calibri"/>
                <w:b w:val="0"/>
                <w:sz w:val="20"/>
              </w:rPr>
              <w:t>Año epidemiológico</w:t>
            </w:r>
          </w:p>
        </w:tc>
      </w:tr>
      <w:tr>
        <w:tc>
          <w:tcPr>
            <w:tcW w:type="dxa" w:w="3041"/>
          </w:tcPr>
          <w:p>
            <w:pPr>
              <w:jc w:val="left"/>
            </w:pPr>
            <w:r>
              <w:rPr>
                <w:rFonts w:ascii="Calibri" w:hAnsi="Calibri"/>
                <w:b w:val="0"/>
                <w:sz w:val="20"/>
              </w:rPr>
              <w:t>SEMANA</w:t>
            </w:r>
          </w:p>
        </w:tc>
        <w:tc>
          <w:tcPr>
            <w:tcW w:type="dxa" w:w="3041"/>
          </w:tcPr>
          <w:p>
            <w:pPr>
              <w:jc w:val="center"/>
            </w:pPr>
            <w:r>
              <w:rPr>
                <w:rFonts w:ascii="Calibri" w:hAnsi="Calibri"/>
                <w:b w:val="0"/>
                <w:sz w:val="20"/>
              </w:rPr>
              <w:t>Identificador</w:t>
            </w:r>
          </w:p>
        </w:tc>
        <w:tc>
          <w:tcPr>
            <w:tcW w:type="dxa" w:w="3041"/>
          </w:tcPr>
          <w:p>
            <w:pPr>
              <w:jc w:val="center"/>
            </w:pPr>
            <w:r>
              <w:rPr>
                <w:rFonts w:ascii="Calibri" w:hAnsi="Calibri"/>
                <w:b w:val="0"/>
                <w:sz w:val="20"/>
              </w:rPr>
              <w:t>Semana epidemiológica (1-53)</w:t>
            </w:r>
          </w:p>
        </w:tc>
      </w:tr>
      <w:tr>
        <w:tc>
          <w:tcPr>
            <w:tcW w:type="dxa" w:w="3041"/>
          </w:tcPr>
          <w:p>
            <w:pPr>
              <w:jc w:val="left"/>
            </w:pPr>
            <w:r>
              <w:rPr>
                <w:rFonts w:ascii="Calibri" w:hAnsi="Calibri"/>
                <w:b w:val="0"/>
                <w:sz w:val="20"/>
              </w:rPr>
              <w:t>grave</w:t>
            </w:r>
          </w:p>
        </w:tc>
        <w:tc>
          <w:tcPr>
            <w:tcW w:type="dxa" w:w="3041"/>
          </w:tcPr>
          <w:p>
            <w:pPr>
              <w:jc w:val="center"/>
            </w:pPr>
            <w:r>
              <w:rPr>
                <w:rFonts w:ascii="Calibri" w:hAnsi="Calibri"/>
                <w:b w:val="0"/>
                <w:sz w:val="20"/>
              </w:rPr>
              <w:t>Variable objetivo</w:t>
            </w:r>
          </w:p>
        </w:tc>
        <w:tc>
          <w:tcPr>
            <w:tcW w:type="dxa" w:w="3041"/>
          </w:tcPr>
          <w:p>
            <w:pPr>
              <w:jc w:val="center"/>
            </w:pPr>
            <w:r>
              <w:rPr>
                <w:rFonts w:ascii="Calibri" w:hAnsi="Calibri"/>
                <w:b w:val="0"/>
                <w:sz w:val="20"/>
              </w:rPr>
              <w:t>Casos de dengue grave agregados por municipio y semana</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