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1F497D"/>
          <w:sz w:val="32"/>
        </w:rPr>
        <w:t>Modelo de Alerta Temprana para Dengue Grave en Colombia</w:t>
      </w:r>
    </w:p>
    <w:p>
      <w:pPr>
        <w:spacing w:after="40"/>
        <w:jc w:val="center"/>
      </w:pPr>
      <w:r>
        <w:rPr>
          <w:rFonts w:ascii="Calibri" w:hAnsi="Calibri"/>
          <w:b w:val="0"/>
          <w:i w:val="0"/>
          <w:color w:val="595959"/>
          <w:sz w:val="22"/>
        </w:rPr>
        <w:t>Entrega 2 — Grupo 11, MAIA PDS, Uniandes 2026</w:t>
      </w:r>
    </w:p>
    <w:p>
      <w:pPr>
        <w:spacing w:after="240"/>
        <w:jc w:val="center"/>
      </w:pPr>
      <w:r>
        <w:rPr>
          <w:rFonts w:ascii="Calibri" w:hAnsi="Calibri"/>
          <w:b w:val="0"/>
          <w:i/>
          <w:color w:val="595959"/>
          <w:sz w:val="20"/>
        </w:rPr>
        <w:t>Sergio Ballesteros   |   Stevan Ramirez   |   Nicolas Lara   |   Mauricio Rodriguez</w:t>
      </w:r>
    </w:p>
    <w:p/>
    <w:p>
      <w:pPr>
        <w:pStyle w:val="Heading1"/>
        <w:jc w:val="left"/>
      </w:pPr>
      <w:r>
        <w:rPr>
          <w:rFonts w:ascii="Calibri" w:hAnsi="Calibri"/>
          <w:b/>
          <w:color w:val="1F497D"/>
          <w:sz w:val="28"/>
        </w:rPr>
        <w:t>1. Resumen del problema</w:t>
      </w:r>
    </w:p>
    <w:p>
      <w:pPr>
        <w:pStyle w:val="Heading2"/>
        <w:jc w:val="left"/>
      </w:pPr>
      <w:r>
        <w:rPr>
          <w:rFonts w:ascii="Calibri" w:hAnsi="Calibri"/>
          <w:b/>
          <w:color w:val="1155CC"/>
          <w:sz w:val="24"/>
        </w:rPr>
        <w:t>1.1 Contexto</w:t>
      </w:r>
    </w:p>
    <w:p>
      <w:pPr>
        <w:spacing w:after="120"/>
        <w:jc w:val="both"/>
      </w:pPr>
      <w:r>
        <w:rPr>
          <w:rFonts w:ascii="Calibri" w:hAnsi="Calibri"/>
          <w:b w:val="0"/>
          <w:i w:val="0"/>
          <w:sz w:val="22"/>
        </w:rPr>
        <w:t>El dengue es la arbovirosis de mayor impacto en salud publica en Colombia. El pais notifica entre 50,000 y 200,000 casos anuales al sistema SIVIGILA, con brotes que saturan los sistemas de salud departamentales. La forma grave de la enfermedad (dengue grave, COD_EVE 220) genera hospitalizaciones prolongadas y tiene una tasa de mortalidad relevante cuando no se detecta a tiempo. Los modelos de alerta temprana permiten anticipar semanas con exceso de casos y orientar acciones de control vectorial y refuerzo hospitalario.</w:t>
      </w:r>
    </w:p>
    <w:p>
      <w:pPr>
        <w:pStyle w:val="Heading2"/>
        <w:jc w:val="left"/>
      </w:pPr>
      <w:r>
        <w:rPr>
          <w:rFonts w:ascii="Calibri" w:hAnsi="Calibri"/>
          <w:b/>
          <w:color w:val="1155CC"/>
          <w:sz w:val="24"/>
        </w:rPr>
        <w:t>1.2 Pregunta de negocio y alcance</w:t>
      </w:r>
    </w:p>
    <w:p>
      <w:pPr>
        <w:spacing w:after="120"/>
        <w:jc w:val="both"/>
      </w:pPr>
      <w:r>
        <w:rPr>
          <w:rFonts w:ascii="Calibri" w:hAnsi="Calibri"/>
          <w:b w:val="0"/>
          <w:i w:val="0"/>
          <w:sz w:val="22"/>
        </w:rPr>
        <w:t>Pregunta central: dado el historial epidemiologico y climatico de un municipio hasta la semana t, es posible predecir si la semana t+1 tendra al menos un caso de dengue grave?</w:t>
      </w:r>
    </w:p>
    <w:p>
      <w:pPr>
        <w:spacing w:after="120"/>
        <w:jc w:val="both"/>
      </w:pPr>
      <w:r>
        <w:rPr>
          <w:rFonts w:ascii="Calibri" w:hAnsi="Calibri"/>
          <w:b/>
          <w:i w:val="0"/>
          <w:sz w:val="22"/>
        </w:rPr>
        <w:t>Alcance tecnico:</w:t>
      </w:r>
    </w:p>
    <w:p>
      <w:pPr>
        <w:pStyle w:val="ListBullet"/>
        <w:spacing w:after="60"/>
        <w:jc w:val="both"/>
      </w:pPr>
      <w:r>
        <w:rPr>
          <w:rFonts w:ascii="Calibri" w:hAnsi="Calibri"/>
          <w:b w:val="0"/>
          <w:i w:val="0"/>
          <w:sz w:val="22"/>
        </w:rPr>
        <w:t>621 municipios endemicos (criterio D4: 10+ anos con casos y 200+ casos acumulados)</w:t>
      </w:r>
    </w:p>
    <w:p>
      <w:pPr>
        <w:pStyle w:val="ListBullet"/>
        <w:spacing w:after="60"/>
        <w:jc w:val="both"/>
      </w:pPr>
      <w:r>
        <w:rPr>
          <w:rFonts w:ascii="Calibri" w:hAnsi="Calibri"/>
          <w:b w:val="0"/>
          <w:i w:val="0"/>
          <w:sz w:val="22"/>
        </w:rPr>
        <w:t>Prediccion binaria por municipio y semana: grave &gt; 0</w:t>
      </w:r>
    </w:p>
    <w:p>
      <w:pPr>
        <w:pStyle w:val="ListBullet"/>
        <w:spacing w:after="60"/>
        <w:jc w:val="both"/>
      </w:pPr>
      <w:r>
        <w:rPr>
          <w:rFonts w:ascii="Calibri" w:hAnsi="Calibri"/>
          <w:b w:val="0"/>
          <w:i w:val="0"/>
          <w:sz w:val="22"/>
        </w:rPr>
        <w:t>Horizonte de pronostico: una semana de anticipacion</w:t>
      </w:r>
    </w:p>
    <w:p>
      <w:pPr>
        <w:pStyle w:val="ListBullet"/>
        <w:spacing w:after="60"/>
        <w:jc w:val="both"/>
      </w:pPr>
      <w:r>
        <w:rPr>
          <w:rFonts w:ascii="Calibri" w:hAnsi="Calibri"/>
          <w:b w:val="0"/>
          <w:i w:val="0"/>
          <w:sz w:val="22"/>
        </w:rPr>
        <w:t>Evaluacion sin data leakage: particion temporal estricta</w:t>
      </w:r>
    </w:p>
    <w:p>
      <w:pPr>
        <w:pStyle w:val="Heading2"/>
        <w:jc w:val="left"/>
      </w:pPr>
      <w:r>
        <w:rPr>
          <w:rFonts w:ascii="Calibri" w:hAnsi="Calibri"/>
          <w:b/>
          <w:color w:val="1155CC"/>
          <w:sz w:val="24"/>
        </w:rPr>
        <w:t>1.3 Conjuntos de datos</w:t>
      </w:r>
    </w:p>
    <w:tbl>
      <w:tblPr>
        <w:tblStyle w:val="TableGrid"/>
        <w:tblW w:type="auto" w:w="0"/>
        <w:tblLook w:firstColumn="1" w:firstRow="1" w:lastColumn="0" w:lastRow="0" w:noHBand="0" w:noVBand="1" w:val="04A0"/>
      </w:tblPr>
      <w:tblGrid>
        <w:gridCol w:w="2280"/>
        <w:gridCol w:w="2280"/>
        <w:gridCol w:w="2280"/>
        <w:gridCol w:w="2280"/>
      </w:tblGrid>
      <w:tr>
        <w:tc>
          <w:tcPr>
            <w:tcW w:type="dxa" w:w="2880"/>
            <w:shd w:val="clear" w:color="auto" w:fill="1F497D"/>
          </w:tcPr>
          <w:p>
            <w:pPr>
              <w:jc w:val="center"/>
            </w:pPr>
            <w:r>
              <w:rPr>
                <w:rFonts w:ascii="Calibri" w:hAnsi="Calibri"/>
                <w:b/>
                <w:i w:val="0"/>
                <w:color w:val="FFFFFF"/>
                <w:sz w:val="20"/>
              </w:rPr>
              <w:t>Dataset</w:t>
            </w:r>
          </w:p>
        </w:tc>
        <w:tc>
          <w:tcPr>
            <w:tcW w:type="dxa" w:w="1872"/>
            <w:shd w:val="clear" w:color="auto" w:fill="1F497D"/>
          </w:tcPr>
          <w:p>
            <w:pPr>
              <w:jc w:val="center"/>
            </w:pPr>
            <w:r>
              <w:rPr>
                <w:rFonts w:ascii="Calibri" w:hAnsi="Calibri"/>
                <w:b/>
                <w:i w:val="0"/>
                <w:color w:val="FFFFFF"/>
                <w:sz w:val="20"/>
              </w:rPr>
              <w:t>Fuente</w:t>
            </w:r>
          </w:p>
        </w:tc>
        <w:tc>
          <w:tcPr>
            <w:tcW w:type="dxa" w:w="1872"/>
            <w:shd w:val="clear" w:color="auto" w:fill="1F497D"/>
          </w:tcPr>
          <w:p>
            <w:pPr>
              <w:jc w:val="center"/>
            </w:pPr>
            <w:r>
              <w:rPr>
                <w:rFonts w:ascii="Calibri" w:hAnsi="Calibri"/>
                <w:b/>
                <w:i w:val="0"/>
                <w:color w:val="FFFFFF"/>
                <w:sz w:val="20"/>
              </w:rPr>
              <w:t>Registros</w:t>
            </w:r>
          </w:p>
        </w:tc>
        <w:tc>
          <w:tcPr>
            <w:tcW w:type="dxa" w:w="1440"/>
            <w:shd w:val="clear" w:color="auto" w:fill="1F497D"/>
          </w:tcPr>
          <w:p>
            <w:pPr>
              <w:jc w:val="center"/>
            </w:pPr>
            <w:r>
              <w:rPr>
                <w:rFonts w:ascii="Calibri" w:hAnsi="Calibri"/>
                <w:b/>
                <w:i w:val="0"/>
                <w:color w:val="FFFFFF"/>
                <w:sz w:val="20"/>
              </w:rPr>
              <w:t>Periodo</w:t>
            </w:r>
          </w:p>
        </w:tc>
      </w:tr>
      <w:tr>
        <w:tc>
          <w:tcPr>
            <w:tcW w:type="dxa" w:w="2880"/>
          </w:tcPr>
          <w:p>
            <w:pPr>
              <w:jc w:val="center"/>
            </w:pPr>
            <w:r>
              <w:rPr>
                <w:rFonts w:ascii="Calibri" w:hAnsi="Calibri"/>
                <w:b w:val="0"/>
                <w:i w:val="0"/>
                <w:sz w:val="20"/>
              </w:rPr>
              <w:t>Dengue grave (COD_EVE 220)</w:t>
            </w:r>
          </w:p>
        </w:tc>
        <w:tc>
          <w:tcPr>
            <w:tcW w:type="dxa" w:w="1872"/>
          </w:tcPr>
          <w:p>
            <w:pPr>
              <w:jc w:val="center"/>
            </w:pPr>
            <w:r>
              <w:rPr>
                <w:rFonts w:ascii="Calibri" w:hAnsi="Calibri"/>
                <w:b w:val="0"/>
                <w:i w:val="0"/>
                <w:sz w:val="20"/>
              </w:rPr>
              <w:t>SIVIGILA</w:t>
            </w:r>
          </w:p>
        </w:tc>
        <w:tc>
          <w:tcPr>
            <w:tcW w:type="dxa" w:w="1872"/>
          </w:tcPr>
          <w:p>
            <w:pPr>
              <w:jc w:val="center"/>
            </w:pPr>
            <w:r>
              <w:rPr>
                <w:rFonts w:ascii="Calibri" w:hAnsi="Calibri"/>
                <w:b w:val="0"/>
                <w:i w:val="0"/>
                <w:sz w:val="20"/>
              </w:rPr>
              <w:t>48,823 casos</w:t>
            </w:r>
          </w:p>
        </w:tc>
        <w:tc>
          <w:tcPr>
            <w:tcW w:type="dxa" w:w="1440"/>
          </w:tcPr>
          <w:p>
            <w:pPr>
              <w:jc w:val="center"/>
            </w:pPr>
            <w:r>
              <w:rPr>
                <w:rFonts w:ascii="Calibri" w:hAnsi="Calibri"/>
                <w:b w:val="0"/>
                <w:i w:val="0"/>
                <w:sz w:val="20"/>
              </w:rPr>
              <w:t>2007-2024</w:t>
            </w:r>
          </w:p>
        </w:tc>
      </w:tr>
      <w:tr>
        <w:tc>
          <w:tcPr>
            <w:tcW w:type="dxa" w:w="2880"/>
          </w:tcPr>
          <w:p>
            <w:pPr>
              <w:jc w:val="center"/>
            </w:pPr>
            <w:r>
              <w:rPr>
                <w:rFonts w:ascii="Calibri" w:hAnsi="Calibri"/>
                <w:b w:val="0"/>
                <w:i w:val="0"/>
                <w:sz w:val="20"/>
              </w:rPr>
              <w:t>Dengue clasico (COD_EVE 210)</w:t>
            </w:r>
          </w:p>
        </w:tc>
        <w:tc>
          <w:tcPr>
            <w:tcW w:type="dxa" w:w="1872"/>
          </w:tcPr>
          <w:p>
            <w:pPr>
              <w:jc w:val="center"/>
            </w:pPr>
            <w:r>
              <w:rPr>
                <w:rFonts w:ascii="Calibri" w:hAnsi="Calibri"/>
                <w:b w:val="0"/>
                <w:i w:val="0"/>
                <w:sz w:val="20"/>
              </w:rPr>
              <w:t>SIVIGILA</w:t>
            </w:r>
          </w:p>
        </w:tc>
        <w:tc>
          <w:tcPr>
            <w:tcW w:type="dxa" w:w="1872"/>
          </w:tcPr>
          <w:p>
            <w:pPr>
              <w:jc w:val="center"/>
            </w:pPr>
            <w:r>
              <w:rPr>
                <w:rFonts w:ascii="Calibri" w:hAnsi="Calibri"/>
                <w:b w:val="0"/>
                <w:i w:val="0"/>
                <w:sz w:val="20"/>
              </w:rPr>
              <w:t>1,585,040 casos</w:t>
            </w:r>
          </w:p>
        </w:tc>
        <w:tc>
          <w:tcPr>
            <w:tcW w:type="dxa" w:w="1440"/>
          </w:tcPr>
          <w:p>
            <w:pPr>
              <w:jc w:val="center"/>
            </w:pPr>
            <w:r>
              <w:rPr>
                <w:rFonts w:ascii="Calibri" w:hAnsi="Calibri"/>
                <w:b w:val="0"/>
                <w:i w:val="0"/>
                <w:sz w:val="20"/>
              </w:rPr>
              <w:t>2007-2024</w:t>
            </w:r>
          </w:p>
        </w:tc>
      </w:tr>
      <w:tr>
        <w:tc>
          <w:tcPr>
            <w:tcW w:type="dxa" w:w="2880"/>
          </w:tcPr>
          <w:p>
            <w:pPr>
              <w:jc w:val="center"/>
            </w:pPr>
            <w:r>
              <w:rPr>
                <w:rFonts w:ascii="Calibri" w:hAnsi="Calibri"/>
                <w:b w:val="0"/>
                <w:i w:val="0"/>
                <w:sz w:val="20"/>
              </w:rPr>
              <w:t>Temperatura superficial (LST)</w:t>
            </w:r>
          </w:p>
        </w:tc>
        <w:tc>
          <w:tcPr>
            <w:tcW w:type="dxa" w:w="1872"/>
          </w:tcPr>
          <w:p>
            <w:pPr>
              <w:jc w:val="center"/>
            </w:pPr>
            <w:r>
              <w:rPr>
                <w:rFonts w:ascii="Calibri" w:hAnsi="Calibri"/>
                <w:b w:val="0"/>
                <w:i w:val="0"/>
                <w:sz w:val="20"/>
              </w:rPr>
              <w:t>GEE / MODIS</w:t>
            </w:r>
          </w:p>
        </w:tc>
        <w:tc>
          <w:tcPr>
            <w:tcW w:type="dxa" w:w="1872"/>
          </w:tcPr>
          <w:p>
            <w:pPr>
              <w:jc w:val="center"/>
            </w:pPr>
            <w:r>
              <w:rPr>
                <w:rFonts w:ascii="Calibri" w:hAnsi="Calibri"/>
                <w:b w:val="0"/>
                <w:i w:val="0"/>
                <w:sz w:val="20"/>
              </w:rPr>
              <w:t>7,140,450 filas</w:t>
            </w:r>
          </w:p>
        </w:tc>
        <w:tc>
          <w:tcPr>
            <w:tcW w:type="dxa" w:w="1440"/>
          </w:tcPr>
          <w:p>
            <w:pPr>
              <w:jc w:val="center"/>
            </w:pPr>
            <w:r>
              <w:rPr>
                <w:rFonts w:ascii="Calibri" w:hAnsi="Calibri"/>
                <w:b w:val="0"/>
                <w:i w:val="0"/>
                <w:sz w:val="20"/>
              </w:rPr>
              <w:t>2007-2024</w:t>
            </w:r>
          </w:p>
        </w:tc>
      </w:tr>
    </w:tbl>
    <w:p/>
    <w:p>
      <w:pPr>
        <w:pStyle w:val="Heading2"/>
        <w:jc w:val="left"/>
      </w:pPr>
      <w:r>
        <w:rPr>
          <w:rFonts w:ascii="Calibri" w:hAnsi="Calibri"/>
          <w:b/>
          <w:color w:val="1155CC"/>
          <w:sz w:val="24"/>
        </w:rPr>
        <w:t>1.4 Cambios respecto a Entrega 1</w:t>
      </w:r>
    </w:p>
    <w:p>
      <w:pPr>
        <w:pStyle w:val="ListBullet"/>
        <w:spacing w:after="60"/>
        <w:jc w:val="both"/>
      </w:pPr>
      <w:r>
        <w:rPr>
          <w:rFonts w:ascii="Calibri" w:hAnsi="Calibri"/>
          <w:b w:val="0"/>
          <w:i w:val="0"/>
          <w:sz w:val="22"/>
        </w:rPr>
        <w:t>Variables de rezago de dengue clasico incorporadas como features predictivas (antes solo usadas en EDA).</w:t>
      </w:r>
    </w:p>
    <w:p>
      <w:pPr>
        <w:pStyle w:val="ListBullet"/>
        <w:spacing w:after="60"/>
        <w:jc w:val="both"/>
      </w:pPr>
      <w:r>
        <w:rPr>
          <w:rFonts w:ascii="Calibri" w:hAnsi="Calibri"/>
          <w:b w:val="0"/>
          <w:i w:val="0"/>
          <w:sz w:val="22"/>
        </w:rPr>
        <w:t>Se agrego el Indice de Incidencia Estandarizada (SIR) como feature nueva, resultando ser la mas importante.</w:t>
      </w:r>
    </w:p>
    <w:p>
      <w:pPr>
        <w:pStyle w:val="ListBullet"/>
        <w:spacing w:after="60"/>
        <w:jc w:val="both"/>
      </w:pPr>
      <w:r>
        <w:rPr>
          <w:rFonts w:ascii="Calibri" w:hAnsi="Calibri"/>
          <w:b w:val="0"/>
          <w:i w:val="0"/>
          <w:sz w:val="22"/>
        </w:rPr>
        <w:t>Se definio formalmente la particion temporal: train 2007-2021 / val 2022 / test 2023-2024.</w:t>
      </w:r>
    </w:p>
    <w:p>
      <w:pPr>
        <w:pStyle w:val="ListBullet"/>
        <w:spacing w:after="60"/>
        <w:jc w:val="both"/>
      </w:pPr>
      <w:r>
        <w:rPr>
          <w:rFonts w:ascii="Calibri" w:hAnsi="Calibri"/>
          <w:b w:val="0"/>
          <w:i w:val="0"/>
          <w:sz w:val="22"/>
        </w:rPr>
        <w:t>Variables ERA5/CHIRPS identificadas en diccionario de datos pero pendientes de descarga; se excluyen de esta entrega.</w:t>
      </w:r>
    </w:p>
    <w:p>
      <w:pPr>
        <w:pStyle w:val="ListBullet"/>
        <w:spacing w:after="60"/>
        <w:jc w:val="both"/>
      </w:pPr>
      <w:r>
        <w:rPr>
          <w:rFonts w:ascii="Calibri" w:hAnsi="Calibri"/>
          <w:b w:val="0"/>
          <w:i w:val="0"/>
          <w:sz w:val="22"/>
        </w:rPr>
        <w:t>Dashboard actualizado a Streamlit con integracion a API REST FastAPI.</w:t>
      </w:r>
    </w:p>
    <w:p>
      <w:r>
        <w:br w:type="page"/>
      </w:r>
    </w:p>
    <w:p>
      <w:pPr>
        <w:pStyle w:val="Heading1"/>
        <w:jc w:val="left"/>
      </w:pPr>
      <w:r>
        <w:rPr>
          <w:rFonts w:ascii="Calibri" w:hAnsi="Calibri"/>
          <w:b/>
          <w:color w:val="1F497D"/>
          <w:sz w:val="28"/>
        </w:rPr>
        <w:t>2. Modelos desarrollados y su evaluacion</w:t>
      </w:r>
    </w:p>
    <w:p>
      <w:pPr>
        <w:pStyle w:val="Heading2"/>
        <w:jc w:val="left"/>
      </w:pPr>
      <w:r>
        <w:rPr>
          <w:rFonts w:ascii="Calibri" w:hAnsi="Calibri"/>
          <w:b/>
          <w:color w:val="1155CC"/>
          <w:sz w:val="24"/>
        </w:rPr>
        <w:t>2.1 Construccion de features</w:t>
      </w:r>
    </w:p>
    <w:p>
      <w:pPr>
        <w:spacing w:after="120"/>
        <w:jc w:val="both"/>
      </w:pPr>
      <w:r>
        <w:rPr>
          <w:rFonts w:ascii="Calibri" w:hAnsi="Calibri"/>
          <w:b w:val="0"/>
          <w:i w:val="0"/>
          <w:sz w:val="22"/>
        </w:rPr>
        <w:t>A partir del dataset de casos SIVIGILA y la temperatura LST de GEE, se construyo una tabla de modelado con 247,766 filas (municipio x semana) y 26 features organizadas en cinco grupos:</w:t>
      </w:r>
    </w:p>
    <w:tbl>
      <w:tblPr>
        <w:tblStyle w:val="TableGrid"/>
        <w:tblW w:type="auto" w:w="0"/>
        <w:tblLook w:firstColumn="1" w:firstRow="1" w:lastColumn="0" w:lastRow="0" w:noHBand="0" w:noVBand="1" w:val="04A0"/>
      </w:tblPr>
      <w:tblGrid>
        <w:gridCol w:w="3041"/>
        <w:gridCol w:w="3041"/>
        <w:gridCol w:w="3041"/>
      </w:tblGrid>
      <w:tr>
        <w:tc>
          <w:tcPr>
            <w:tcW w:type="dxa" w:w="1872"/>
            <w:shd w:val="clear" w:color="auto" w:fill="1F497D"/>
          </w:tcPr>
          <w:p>
            <w:pPr>
              <w:jc w:val="center"/>
            </w:pPr>
            <w:r>
              <w:rPr>
                <w:rFonts w:ascii="Calibri" w:hAnsi="Calibri"/>
                <w:b/>
                <w:i w:val="0"/>
                <w:color w:val="FFFFFF"/>
                <w:sz w:val="20"/>
              </w:rPr>
              <w:t>Grupo</w:t>
            </w:r>
          </w:p>
        </w:tc>
        <w:tc>
          <w:tcPr>
            <w:tcW w:type="dxa" w:w="3024"/>
            <w:shd w:val="clear" w:color="auto" w:fill="1F497D"/>
          </w:tcPr>
          <w:p>
            <w:pPr>
              <w:jc w:val="center"/>
            </w:pPr>
            <w:r>
              <w:rPr>
                <w:rFonts w:ascii="Calibri" w:hAnsi="Calibri"/>
                <w:b/>
                <w:i w:val="0"/>
                <w:color w:val="FFFFFF"/>
                <w:sz w:val="20"/>
              </w:rPr>
              <w:t>Features</w:t>
            </w:r>
          </w:p>
        </w:tc>
        <w:tc>
          <w:tcPr>
            <w:tcW w:type="dxa" w:w="3888"/>
            <w:shd w:val="clear" w:color="auto" w:fill="1F497D"/>
          </w:tcPr>
          <w:p>
            <w:pPr>
              <w:jc w:val="center"/>
            </w:pPr>
            <w:r>
              <w:rPr>
                <w:rFonts w:ascii="Calibri" w:hAnsi="Calibri"/>
                <w:b/>
                <w:i w:val="0"/>
                <w:color w:val="FFFFFF"/>
                <w:sz w:val="20"/>
              </w:rPr>
              <w:t>Descripcion</w:t>
            </w:r>
          </w:p>
        </w:tc>
      </w:tr>
      <w:tr>
        <w:tc>
          <w:tcPr>
            <w:tcW w:type="dxa" w:w="1872"/>
          </w:tcPr>
          <w:p>
            <w:pPr>
              <w:jc w:val="center"/>
            </w:pPr>
            <w:r>
              <w:rPr>
                <w:rFonts w:ascii="Calibri" w:hAnsi="Calibri"/>
                <w:b w:val="0"/>
                <w:i w:val="0"/>
                <w:sz w:val="20"/>
              </w:rPr>
              <w:t>Rezagos graves</w:t>
            </w:r>
          </w:p>
        </w:tc>
        <w:tc>
          <w:tcPr>
            <w:tcW w:type="dxa" w:w="3024"/>
          </w:tcPr>
          <w:p>
            <w:pPr>
              <w:jc w:val="center"/>
            </w:pPr>
            <w:r>
              <w:rPr>
                <w:rFonts w:ascii="Calibri" w:hAnsi="Calibri"/>
                <w:b w:val="0"/>
                <w:i w:val="0"/>
                <w:sz w:val="20"/>
              </w:rPr>
              <w:t>grave_lag_1/2/3/4/8</w:t>
            </w:r>
          </w:p>
        </w:tc>
        <w:tc>
          <w:tcPr>
            <w:tcW w:type="dxa" w:w="3888"/>
          </w:tcPr>
          <w:p>
            <w:pPr>
              <w:jc w:val="center"/>
            </w:pPr>
            <w:r>
              <w:rPr>
                <w:rFonts w:ascii="Calibri" w:hAnsi="Calibri"/>
                <w:b w:val="0"/>
                <w:i w:val="0"/>
                <w:sz w:val="20"/>
              </w:rPr>
              <w:t>Casos graves en semanas anteriores</w:t>
            </w:r>
          </w:p>
        </w:tc>
      </w:tr>
      <w:tr>
        <w:tc>
          <w:tcPr>
            <w:tcW w:type="dxa" w:w="1872"/>
          </w:tcPr>
          <w:p>
            <w:pPr>
              <w:jc w:val="center"/>
            </w:pPr>
            <w:r>
              <w:rPr>
                <w:rFonts w:ascii="Calibri" w:hAnsi="Calibri"/>
                <w:b w:val="0"/>
                <w:i w:val="0"/>
                <w:sz w:val="20"/>
              </w:rPr>
              <w:t>Rezagos clasicos</w:t>
            </w:r>
          </w:p>
        </w:tc>
        <w:tc>
          <w:tcPr>
            <w:tcW w:type="dxa" w:w="3024"/>
          </w:tcPr>
          <w:p>
            <w:pPr>
              <w:jc w:val="center"/>
            </w:pPr>
            <w:r>
              <w:rPr>
                <w:rFonts w:ascii="Calibri" w:hAnsi="Calibri"/>
                <w:b w:val="0"/>
                <w:i w:val="0"/>
                <w:sz w:val="20"/>
              </w:rPr>
              <w:t>clasico_lag_1/2/3/4/8</w:t>
            </w:r>
          </w:p>
        </w:tc>
        <w:tc>
          <w:tcPr>
            <w:tcW w:type="dxa" w:w="3888"/>
          </w:tcPr>
          <w:p>
            <w:pPr>
              <w:jc w:val="center"/>
            </w:pPr>
            <w:r>
              <w:rPr>
                <w:rFonts w:ascii="Calibri" w:hAnsi="Calibri"/>
                <w:b w:val="0"/>
                <w:i w:val="0"/>
                <w:sz w:val="20"/>
              </w:rPr>
              <w:t>Casos clasicos en semanas anteriores</w:t>
            </w:r>
          </w:p>
        </w:tc>
      </w:tr>
      <w:tr>
        <w:tc>
          <w:tcPr>
            <w:tcW w:type="dxa" w:w="1872"/>
          </w:tcPr>
          <w:p>
            <w:pPr>
              <w:jc w:val="center"/>
            </w:pPr>
            <w:r>
              <w:rPr>
                <w:rFonts w:ascii="Calibri" w:hAnsi="Calibri"/>
                <w:b w:val="0"/>
                <w:i w:val="0"/>
                <w:sz w:val="20"/>
              </w:rPr>
              <w:t>Sumas moviles</w:t>
            </w:r>
          </w:p>
        </w:tc>
        <w:tc>
          <w:tcPr>
            <w:tcW w:type="dxa" w:w="3024"/>
          </w:tcPr>
          <w:p>
            <w:pPr>
              <w:jc w:val="center"/>
            </w:pPr>
            <w:r>
              <w:rPr>
                <w:rFonts w:ascii="Calibri" w:hAnsi="Calibri"/>
                <w:b w:val="0"/>
                <w:i w:val="0"/>
                <w:sz w:val="20"/>
              </w:rPr>
              <w:t>grave_roll4, clasico_roll4</w:t>
            </w:r>
          </w:p>
        </w:tc>
        <w:tc>
          <w:tcPr>
            <w:tcW w:type="dxa" w:w="3888"/>
          </w:tcPr>
          <w:p>
            <w:pPr>
              <w:jc w:val="center"/>
            </w:pPr>
            <w:r>
              <w:rPr>
                <w:rFonts w:ascii="Calibri" w:hAnsi="Calibri"/>
                <w:b w:val="0"/>
                <w:i w:val="0"/>
                <w:sz w:val="20"/>
              </w:rPr>
              <w:t>Suma acumulada 4 semanas</w:t>
            </w:r>
          </w:p>
        </w:tc>
      </w:tr>
      <w:tr>
        <w:tc>
          <w:tcPr>
            <w:tcW w:type="dxa" w:w="1872"/>
          </w:tcPr>
          <w:p>
            <w:pPr>
              <w:jc w:val="center"/>
            </w:pPr>
            <w:r>
              <w:rPr>
                <w:rFonts w:ascii="Calibri" w:hAnsi="Calibri"/>
                <w:b w:val="0"/>
                <w:i w:val="0"/>
                <w:sz w:val="20"/>
              </w:rPr>
              <w:t>Temperatura LST</w:t>
            </w:r>
          </w:p>
        </w:tc>
        <w:tc>
          <w:tcPr>
            <w:tcW w:type="dxa" w:w="3024"/>
          </w:tcPr>
          <w:p>
            <w:pPr>
              <w:jc w:val="center"/>
            </w:pPr>
            <w:r>
              <w:rPr>
                <w:rFonts w:ascii="Calibri" w:hAnsi="Calibri"/>
                <w:b w:val="0"/>
                <w:i w:val="0"/>
                <w:sz w:val="20"/>
              </w:rPr>
              <w:t>lst_media, lst_lag_1/2/4</w:t>
            </w:r>
          </w:p>
        </w:tc>
        <w:tc>
          <w:tcPr>
            <w:tcW w:type="dxa" w:w="3888"/>
          </w:tcPr>
          <w:p>
            <w:pPr>
              <w:jc w:val="center"/>
            </w:pPr>
            <w:r>
              <w:rPr>
                <w:rFonts w:ascii="Calibri" w:hAnsi="Calibri"/>
                <w:b w:val="0"/>
                <w:i w:val="0"/>
                <w:sz w:val="20"/>
              </w:rPr>
              <w:t>Temperatura superficial MODIS (Celsius)</w:t>
            </w:r>
          </w:p>
        </w:tc>
      </w:tr>
      <w:tr>
        <w:tc>
          <w:tcPr>
            <w:tcW w:type="dxa" w:w="1872"/>
          </w:tcPr>
          <w:p>
            <w:pPr>
              <w:jc w:val="center"/>
            </w:pPr>
            <w:r>
              <w:rPr>
                <w:rFonts w:ascii="Calibri" w:hAnsi="Calibri"/>
                <w:b w:val="0"/>
                <w:i w:val="0"/>
                <w:sz w:val="20"/>
              </w:rPr>
              <w:t>Canal endemico</w:t>
            </w:r>
          </w:p>
        </w:tc>
        <w:tc>
          <w:tcPr>
            <w:tcW w:type="dxa" w:w="3024"/>
          </w:tcPr>
          <w:p>
            <w:pPr>
              <w:jc w:val="center"/>
            </w:pPr>
            <w:r>
              <w:rPr>
                <w:rFonts w:ascii="Calibri" w:hAnsi="Calibri"/>
                <w:b w:val="0"/>
                <w:i w:val="0"/>
                <w:sz w:val="20"/>
              </w:rPr>
              <w:t>es_endemico, zona_canal_lag1, p25, p75, sir_lag1</w:t>
            </w:r>
          </w:p>
        </w:tc>
        <w:tc>
          <w:tcPr>
            <w:tcW w:type="dxa" w:w="3888"/>
          </w:tcPr>
          <w:p>
            <w:pPr>
              <w:jc w:val="center"/>
            </w:pPr>
            <w:r>
              <w:rPr>
                <w:rFonts w:ascii="Calibri" w:hAnsi="Calibri"/>
                <w:b w:val="0"/>
                <w:i w:val="0"/>
                <w:sz w:val="20"/>
              </w:rPr>
              <w:t>Indicadores Bortman 1999 + SIR</w:t>
            </w:r>
          </w:p>
        </w:tc>
      </w:tr>
      <w:tr>
        <w:tc>
          <w:tcPr>
            <w:tcW w:type="dxa" w:w="1872"/>
          </w:tcPr>
          <w:p>
            <w:pPr>
              <w:jc w:val="center"/>
            </w:pPr>
            <w:r>
              <w:rPr>
                <w:rFonts w:ascii="Calibri" w:hAnsi="Calibri"/>
                <w:b w:val="0"/>
                <w:i w:val="0"/>
                <w:sz w:val="20"/>
              </w:rPr>
              <w:t>Temporales</w:t>
            </w:r>
          </w:p>
        </w:tc>
        <w:tc>
          <w:tcPr>
            <w:tcW w:type="dxa" w:w="3024"/>
          </w:tcPr>
          <w:p>
            <w:pPr>
              <w:jc w:val="center"/>
            </w:pPr>
            <w:r>
              <w:rPr>
                <w:rFonts w:ascii="Calibri" w:hAnsi="Calibri"/>
                <w:b w:val="0"/>
                <w:i w:val="0"/>
                <w:sz w:val="20"/>
              </w:rPr>
              <w:t>semana_sin, semana_cos, anio_epidemia, ANO, SEMANA</w:t>
            </w:r>
          </w:p>
        </w:tc>
        <w:tc>
          <w:tcPr>
            <w:tcW w:type="dxa" w:w="3888"/>
          </w:tcPr>
          <w:p>
            <w:pPr>
              <w:jc w:val="center"/>
            </w:pPr>
            <w:r>
              <w:rPr>
                <w:rFonts w:ascii="Calibri" w:hAnsi="Calibri"/>
                <w:b w:val="0"/>
                <w:i w:val="0"/>
                <w:sz w:val="20"/>
              </w:rPr>
              <w:t>Estacionalidad y tendencia</w:t>
            </w:r>
          </w:p>
        </w:tc>
      </w:tr>
    </w:tbl>
    <w:p/>
    <w:p>
      <w:pPr>
        <w:spacing w:after="120"/>
        <w:jc w:val="both"/>
      </w:pPr>
      <w:r>
        <w:rPr>
          <w:rFonts w:ascii="Calibri" w:hAnsi="Calibri"/>
          <w:b w:val="0"/>
          <w:i w:val="0"/>
          <w:sz w:val="22"/>
        </w:rPr>
        <w:t>La variable objetivo se binarizo como grave_bin = (grave &gt; 0), resultando en un desbalance de clases del 90% negativos / 10% positivos en el conjunto de entrenamiento.</w:t>
      </w:r>
    </w:p>
    <w:p>
      <w:pPr>
        <w:pStyle w:val="Heading2"/>
        <w:jc w:val="left"/>
      </w:pPr>
      <w:r>
        <w:rPr>
          <w:rFonts w:ascii="Calibri" w:hAnsi="Calibri"/>
          <w:b/>
          <w:color w:val="1155CC"/>
          <w:sz w:val="24"/>
        </w:rPr>
        <w:t>2.2 Particion temporal</w:t>
      </w:r>
    </w:p>
    <w:tbl>
      <w:tblPr>
        <w:tblStyle w:val="TableGrid"/>
        <w:tblW w:type="auto" w:w="0"/>
        <w:tblLook w:firstColumn="1" w:firstRow="1" w:lastColumn="0" w:lastRow="0" w:noHBand="0" w:noVBand="1" w:val="04A0"/>
      </w:tblPr>
      <w:tblGrid>
        <w:gridCol w:w="2280"/>
        <w:gridCol w:w="2280"/>
        <w:gridCol w:w="2280"/>
        <w:gridCol w:w="2280"/>
      </w:tblGrid>
      <w:tr>
        <w:tc>
          <w:tcPr>
            <w:tcW w:type="dxa" w:w="1872"/>
            <w:shd w:val="clear" w:color="auto" w:fill="1F497D"/>
          </w:tcPr>
          <w:p>
            <w:pPr>
              <w:jc w:val="center"/>
            </w:pPr>
            <w:r>
              <w:rPr>
                <w:rFonts w:ascii="Calibri" w:hAnsi="Calibri"/>
                <w:b/>
                <w:i w:val="0"/>
                <w:color w:val="FFFFFF"/>
                <w:sz w:val="20"/>
              </w:rPr>
              <w:t>Conjunto</w:t>
            </w:r>
          </w:p>
        </w:tc>
        <w:tc>
          <w:tcPr>
            <w:tcW w:type="dxa" w:w="1872"/>
            <w:shd w:val="clear" w:color="auto" w:fill="1F497D"/>
          </w:tcPr>
          <w:p>
            <w:pPr>
              <w:jc w:val="center"/>
            </w:pPr>
            <w:r>
              <w:rPr>
                <w:rFonts w:ascii="Calibri" w:hAnsi="Calibri"/>
                <w:b/>
                <w:i w:val="0"/>
                <w:color w:val="FFFFFF"/>
                <w:sz w:val="20"/>
              </w:rPr>
              <w:t>Periodo</w:t>
            </w:r>
          </w:p>
        </w:tc>
        <w:tc>
          <w:tcPr>
            <w:tcW w:type="dxa" w:w="1728"/>
            <w:shd w:val="clear" w:color="auto" w:fill="1F497D"/>
          </w:tcPr>
          <w:p>
            <w:pPr>
              <w:jc w:val="center"/>
            </w:pPr>
            <w:r>
              <w:rPr>
                <w:rFonts w:ascii="Calibri" w:hAnsi="Calibri"/>
                <w:b/>
                <w:i w:val="0"/>
                <w:color w:val="FFFFFF"/>
                <w:sz w:val="20"/>
              </w:rPr>
              <w:t>Filas</w:t>
            </w:r>
          </w:p>
        </w:tc>
        <w:tc>
          <w:tcPr>
            <w:tcW w:type="dxa" w:w="2592"/>
            <w:shd w:val="clear" w:color="auto" w:fill="1F497D"/>
          </w:tcPr>
          <w:p>
            <w:pPr>
              <w:jc w:val="center"/>
            </w:pPr>
            <w:r>
              <w:rPr>
                <w:rFonts w:ascii="Calibri" w:hAnsi="Calibri"/>
                <w:b/>
                <w:i w:val="0"/>
                <w:color w:val="FFFFFF"/>
                <w:sz w:val="20"/>
              </w:rPr>
              <w:t>Prevalencia positivos</w:t>
            </w:r>
          </w:p>
        </w:tc>
      </w:tr>
      <w:tr>
        <w:tc>
          <w:tcPr>
            <w:tcW w:type="dxa" w:w="1872"/>
          </w:tcPr>
          <w:p>
            <w:pPr>
              <w:jc w:val="center"/>
            </w:pPr>
            <w:r>
              <w:rPr>
                <w:rFonts w:ascii="Calibri" w:hAnsi="Calibri"/>
                <w:b w:val="0"/>
                <w:i w:val="0"/>
                <w:sz w:val="20"/>
              </w:rPr>
              <w:t>Entrenamiento</w:t>
            </w:r>
          </w:p>
        </w:tc>
        <w:tc>
          <w:tcPr>
            <w:tcW w:type="dxa" w:w="1872"/>
          </w:tcPr>
          <w:p>
            <w:pPr>
              <w:jc w:val="center"/>
            </w:pPr>
            <w:r>
              <w:rPr>
                <w:rFonts w:ascii="Calibri" w:hAnsi="Calibri"/>
                <w:b w:val="0"/>
                <w:i w:val="0"/>
                <w:sz w:val="20"/>
              </w:rPr>
              <w:t>2007-2021</w:t>
            </w:r>
          </w:p>
        </w:tc>
        <w:tc>
          <w:tcPr>
            <w:tcW w:type="dxa" w:w="1728"/>
          </w:tcPr>
          <w:p>
            <w:pPr>
              <w:jc w:val="center"/>
            </w:pPr>
            <w:r>
              <w:rPr>
                <w:rFonts w:ascii="Calibri" w:hAnsi="Calibri"/>
                <w:b w:val="0"/>
                <w:i w:val="0"/>
                <w:sz w:val="20"/>
              </w:rPr>
              <w:t>190,934</w:t>
            </w:r>
          </w:p>
        </w:tc>
        <w:tc>
          <w:tcPr>
            <w:tcW w:type="dxa" w:w="2592"/>
          </w:tcPr>
          <w:p>
            <w:pPr>
              <w:jc w:val="center"/>
            </w:pPr>
            <w:r>
              <w:rPr>
                <w:rFonts w:ascii="Calibri" w:hAnsi="Calibri"/>
                <w:b w:val="0"/>
                <w:i w:val="0"/>
                <w:sz w:val="20"/>
              </w:rPr>
              <w:t>10.7%</w:t>
            </w:r>
          </w:p>
        </w:tc>
      </w:tr>
      <w:tr>
        <w:tc>
          <w:tcPr>
            <w:tcW w:type="dxa" w:w="1872"/>
          </w:tcPr>
          <w:p>
            <w:pPr>
              <w:jc w:val="center"/>
            </w:pPr>
            <w:r>
              <w:rPr>
                <w:rFonts w:ascii="Calibri" w:hAnsi="Calibri"/>
                <w:b w:val="0"/>
                <w:i w:val="0"/>
                <w:sz w:val="20"/>
              </w:rPr>
              <w:t>Validacion</w:t>
            </w:r>
          </w:p>
        </w:tc>
        <w:tc>
          <w:tcPr>
            <w:tcW w:type="dxa" w:w="1872"/>
          </w:tcPr>
          <w:p>
            <w:pPr>
              <w:jc w:val="center"/>
            </w:pPr>
            <w:r>
              <w:rPr>
                <w:rFonts w:ascii="Calibri" w:hAnsi="Calibri"/>
                <w:b w:val="0"/>
                <w:i w:val="0"/>
                <w:sz w:val="20"/>
              </w:rPr>
              <w:t>2022</w:t>
            </w:r>
          </w:p>
        </w:tc>
        <w:tc>
          <w:tcPr>
            <w:tcW w:type="dxa" w:w="1728"/>
          </w:tcPr>
          <w:p>
            <w:pPr>
              <w:jc w:val="center"/>
            </w:pPr>
            <w:r>
              <w:rPr>
                <w:rFonts w:ascii="Calibri" w:hAnsi="Calibri"/>
                <w:b w:val="0"/>
                <w:i w:val="0"/>
                <w:sz w:val="20"/>
              </w:rPr>
              <w:t>12,625</w:t>
            </w:r>
          </w:p>
        </w:tc>
        <w:tc>
          <w:tcPr>
            <w:tcW w:type="dxa" w:w="2592"/>
          </w:tcPr>
          <w:p>
            <w:pPr>
              <w:jc w:val="center"/>
            </w:pPr>
            <w:r>
              <w:rPr>
                <w:rFonts w:ascii="Calibri" w:hAnsi="Calibri"/>
                <w:b w:val="0"/>
                <w:i w:val="0"/>
                <w:sz w:val="20"/>
              </w:rPr>
              <w:t>7.8%</w:t>
            </w:r>
          </w:p>
        </w:tc>
      </w:tr>
      <w:tr>
        <w:tc>
          <w:tcPr>
            <w:tcW w:type="dxa" w:w="1872"/>
          </w:tcPr>
          <w:p>
            <w:pPr>
              <w:jc w:val="center"/>
            </w:pPr>
            <w:r>
              <w:rPr>
                <w:rFonts w:ascii="Calibri" w:hAnsi="Calibri"/>
                <w:b w:val="0"/>
                <w:i w:val="0"/>
                <w:sz w:val="20"/>
              </w:rPr>
              <w:t>Prueba</w:t>
            </w:r>
          </w:p>
        </w:tc>
        <w:tc>
          <w:tcPr>
            <w:tcW w:type="dxa" w:w="1872"/>
          </w:tcPr>
          <w:p>
            <w:pPr>
              <w:jc w:val="center"/>
            </w:pPr>
            <w:r>
              <w:rPr>
                <w:rFonts w:ascii="Calibri" w:hAnsi="Calibri"/>
                <w:b w:val="0"/>
                <w:i w:val="0"/>
                <w:sz w:val="20"/>
              </w:rPr>
              <w:t>2023-2024</w:t>
            </w:r>
          </w:p>
        </w:tc>
        <w:tc>
          <w:tcPr>
            <w:tcW w:type="dxa" w:w="1728"/>
          </w:tcPr>
          <w:p>
            <w:pPr>
              <w:jc w:val="center"/>
            </w:pPr>
            <w:r>
              <w:rPr>
                <w:rFonts w:ascii="Calibri" w:hAnsi="Calibri"/>
                <w:b w:val="0"/>
                <w:i w:val="0"/>
                <w:sz w:val="20"/>
              </w:rPr>
              <w:t>44,207</w:t>
            </w:r>
          </w:p>
        </w:tc>
        <w:tc>
          <w:tcPr>
            <w:tcW w:type="dxa" w:w="2592"/>
          </w:tcPr>
          <w:p>
            <w:pPr>
              <w:jc w:val="center"/>
            </w:pPr>
            <w:r>
              <w:rPr>
                <w:rFonts w:ascii="Calibri" w:hAnsi="Calibri"/>
                <w:b w:val="0"/>
                <w:i w:val="0"/>
                <w:sz w:val="20"/>
              </w:rPr>
              <w:t>7.4%</w:t>
            </w:r>
          </w:p>
        </w:tc>
      </w:tr>
    </w:tbl>
    <w:p/>
    <w:p>
      <w:pPr>
        <w:spacing w:after="120"/>
        <w:jc w:val="both"/>
      </w:pPr>
      <w:r>
        <w:rPr>
          <w:rFonts w:ascii="Calibri" w:hAnsi="Calibri"/>
          <w:b w:val="0"/>
          <w:i w:val="0"/>
          <w:sz w:val="22"/>
        </w:rPr>
        <w:t>La particion es estrictamente temporal para evitar data leakage: el modelo nunca accede a datos del futuro durante el entrenamiento.</w:t>
      </w:r>
    </w:p>
    <w:p>
      <w:pPr>
        <w:pStyle w:val="Heading2"/>
        <w:jc w:val="left"/>
      </w:pPr>
      <w:r>
        <w:rPr>
          <w:rFonts w:ascii="Calibri" w:hAnsi="Calibri"/>
          <w:b/>
          <w:color w:val="1155CC"/>
          <w:sz w:val="24"/>
        </w:rPr>
        <w:t>2.3 Modelo baseline</w:t>
      </w:r>
    </w:p>
    <w:p>
      <w:pPr>
        <w:spacing w:after="120"/>
        <w:jc w:val="both"/>
      </w:pPr>
      <w:r>
        <w:rPr>
          <w:rFonts w:ascii="Calibri" w:hAnsi="Calibri"/>
          <w:b w:val="0"/>
          <w:i w:val="0"/>
          <w:sz w:val="22"/>
        </w:rPr>
        <w:t>Se entrenó un clasificador aleatorio estratificado (DummyClassifier) como piso de referencia. Este modelo predice la clase positiva con la misma frecuencia que en el entrenamiento, sin aprender ningun patron. Sus resultados en validacion son: AUROC = 0.503, Avg Precision = 0.078, F1 = 0.094.</w:t>
      </w:r>
    </w:p>
    <w:p>
      <w:pPr>
        <w:pStyle w:val="Heading2"/>
        <w:jc w:val="left"/>
      </w:pPr>
      <w:r>
        <w:rPr>
          <w:rFonts w:ascii="Calibri" w:hAnsi="Calibri"/>
          <w:b/>
          <w:color w:val="1155CC"/>
          <w:sz w:val="24"/>
        </w:rPr>
        <w:t>2.4 XGBoost con manejo de desbalance</w:t>
      </w:r>
    </w:p>
    <w:p>
      <w:pPr>
        <w:spacing w:after="120"/>
        <w:jc w:val="both"/>
      </w:pPr>
      <w:r>
        <w:rPr>
          <w:rFonts w:ascii="Calibri" w:hAnsi="Calibri"/>
          <w:b w:val="0"/>
          <w:i w:val="0"/>
          <w:sz w:val="22"/>
        </w:rPr>
        <w:t>Se entreno un clasificador XGBoost binario con los siguientes hiperparametros:</w:t>
      </w:r>
    </w:p>
    <w:tbl>
      <w:tblPr>
        <w:tblStyle w:val="TableGrid"/>
        <w:tblW w:type="auto" w:w="0"/>
        <w:tblLook w:firstColumn="1" w:firstRow="1" w:lastColumn="0" w:lastRow="0" w:noHBand="0" w:noVBand="1" w:val="04A0"/>
      </w:tblPr>
      <w:tblGrid>
        <w:gridCol w:w="3041"/>
        <w:gridCol w:w="3041"/>
        <w:gridCol w:w="3041"/>
      </w:tblGrid>
      <w:tr>
        <w:tc>
          <w:tcPr>
            <w:tcW w:type="dxa" w:w="2592"/>
            <w:shd w:val="clear" w:color="auto" w:fill="1F497D"/>
          </w:tcPr>
          <w:p>
            <w:pPr>
              <w:jc w:val="center"/>
            </w:pPr>
            <w:r>
              <w:rPr>
                <w:rFonts w:ascii="Calibri" w:hAnsi="Calibri"/>
                <w:b/>
                <w:i w:val="0"/>
                <w:color w:val="FFFFFF"/>
                <w:sz w:val="20"/>
              </w:rPr>
              <w:t>Hiperparametro</w:t>
            </w:r>
          </w:p>
        </w:tc>
        <w:tc>
          <w:tcPr>
            <w:tcW w:type="dxa" w:w="1296"/>
            <w:shd w:val="clear" w:color="auto" w:fill="1F497D"/>
          </w:tcPr>
          <w:p>
            <w:pPr>
              <w:jc w:val="center"/>
            </w:pPr>
            <w:r>
              <w:rPr>
                <w:rFonts w:ascii="Calibri" w:hAnsi="Calibri"/>
                <w:b/>
                <w:i w:val="0"/>
                <w:color w:val="FFFFFF"/>
                <w:sz w:val="20"/>
              </w:rPr>
              <w:t>Valor</w:t>
            </w:r>
          </w:p>
        </w:tc>
        <w:tc>
          <w:tcPr>
            <w:tcW w:type="dxa" w:w="4896"/>
            <w:shd w:val="clear" w:color="auto" w:fill="1F497D"/>
          </w:tcPr>
          <w:p>
            <w:pPr>
              <w:jc w:val="center"/>
            </w:pPr>
            <w:r>
              <w:rPr>
                <w:rFonts w:ascii="Calibri" w:hAnsi="Calibri"/>
                <w:b/>
                <w:i w:val="0"/>
                <w:color w:val="FFFFFF"/>
                <w:sz w:val="20"/>
              </w:rPr>
              <w:t>Justificacion</w:t>
            </w:r>
          </w:p>
        </w:tc>
      </w:tr>
      <w:tr>
        <w:tc>
          <w:tcPr>
            <w:tcW w:type="dxa" w:w="2592"/>
          </w:tcPr>
          <w:p>
            <w:pPr>
              <w:jc w:val="center"/>
            </w:pPr>
            <w:r>
              <w:rPr>
                <w:rFonts w:ascii="Calibri" w:hAnsi="Calibri"/>
                <w:b w:val="0"/>
                <w:i w:val="0"/>
                <w:sz w:val="20"/>
              </w:rPr>
              <w:t>n_estimators</w:t>
            </w:r>
          </w:p>
        </w:tc>
        <w:tc>
          <w:tcPr>
            <w:tcW w:type="dxa" w:w="1296"/>
          </w:tcPr>
          <w:p>
            <w:pPr>
              <w:jc w:val="center"/>
            </w:pPr>
            <w:r>
              <w:rPr>
                <w:rFonts w:ascii="Calibri" w:hAnsi="Calibri"/>
                <w:b w:val="0"/>
                <w:i w:val="0"/>
                <w:sz w:val="20"/>
              </w:rPr>
              <w:t>500</w:t>
            </w:r>
          </w:p>
        </w:tc>
        <w:tc>
          <w:tcPr>
            <w:tcW w:type="dxa" w:w="4896"/>
          </w:tcPr>
          <w:p>
            <w:pPr>
              <w:jc w:val="center"/>
            </w:pPr>
            <w:r>
              <w:rPr>
                <w:rFonts w:ascii="Calibri" w:hAnsi="Calibri"/>
                <w:b w:val="0"/>
                <w:i w:val="0"/>
                <w:sz w:val="20"/>
              </w:rPr>
              <w:t>Con early stopping; mejor iteracion: 124</w:t>
            </w:r>
          </w:p>
        </w:tc>
      </w:tr>
      <w:tr>
        <w:tc>
          <w:tcPr>
            <w:tcW w:type="dxa" w:w="2592"/>
          </w:tcPr>
          <w:p>
            <w:pPr>
              <w:jc w:val="center"/>
            </w:pPr>
            <w:r>
              <w:rPr>
                <w:rFonts w:ascii="Calibri" w:hAnsi="Calibri"/>
                <w:b w:val="0"/>
                <w:i w:val="0"/>
                <w:sz w:val="20"/>
              </w:rPr>
              <w:t>max_depth</w:t>
            </w:r>
          </w:p>
        </w:tc>
        <w:tc>
          <w:tcPr>
            <w:tcW w:type="dxa" w:w="1296"/>
          </w:tcPr>
          <w:p>
            <w:pPr>
              <w:jc w:val="center"/>
            </w:pPr>
            <w:r>
              <w:rPr>
                <w:rFonts w:ascii="Calibri" w:hAnsi="Calibri"/>
                <w:b w:val="0"/>
                <w:i w:val="0"/>
                <w:sz w:val="20"/>
              </w:rPr>
              <w:t>6</w:t>
            </w:r>
          </w:p>
        </w:tc>
        <w:tc>
          <w:tcPr>
            <w:tcW w:type="dxa" w:w="4896"/>
          </w:tcPr>
          <w:p>
            <w:pPr>
              <w:jc w:val="center"/>
            </w:pPr>
            <w:r>
              <w:rPr>
                <w:rFonts w:ascii="Calibri" w:hAnsi="Calibri"/>
                <w:b w:val="0"/>
                <w:i w:val="0"/>
                <w:sz w:val="20"/>
              </w:rPr>
              <w:t>Balance entre complejidad y generalizacion</w:t>
            </w:r>
          </w:p>
        </w:tc>
      </w:tr>
      <w:tr>
        <w:tc>
          <w:tcPr>
            <w:tcW w:type="dxa" w:w="2592"/>
          </w:tcPr>
          <w:p>
            <w:pPr>
              <w:jc w:val="center"/>
            </w:pPr>
            <w:r>
              <w:rPr>
                <w:rFonts w:ascii="Calibri" w:hAnsi="Calibri"/>
                <w:b w:val="0"/>
                <w:i w:val="0"/>
                <w:sz w:val="20"/>
              </w:rPr>
              <w:t>learning_rate</w:t>
            </w:r>
          </w:p>
        </w:tc>
        <w:tc>
          <w:tcPr>
            <w:tcW w:type="dxa" w:w="1296"/>
          </w:tcPr>
          <w:p>
            <w:pPr>
              <w:jc w:val="center"/>
            </w:pPr>
            <w:r>
              <w:rPr>
                <w:rFonts w:ascii="Calibri" w:hAnsi="Calibri"/>
                <w:b w:val="0"/>
                <w:i w:val="0"/>
                <w:sz w:val="20"/>
              </w:rPr>
              <w:t>0.05</w:t>
            </w:r>
          </w:p>
        </w:tc>
        <w:tc>
          <w:tcPr>
            <w:tcW w:type="dxa" w:w="4896"/>
          </w:tcPr>
          <w:p>
            <w:pPr>
              <w:jc w:val="center"/>
            </w:pPr>
            <w:r>
              <w:rPr>
                <w:rFonts w:ascii="Calibri" w:hAnsi="Calibri"/>
                <w:b w:val="0"/>
                <w:i w:val="0"/>
                <w:sz w:val="20"/>
              </w:rPr>
              <w:t>Tasa conservadora; reduce sobreajuste</w:t>
            </w:r>
          </w:p>
        </w:tc>
      </w:tr>
      <w:tr>
        <w:tc>
          <w:tcPr>
            <w:tcW w:type="dxa" w:w="2592"/>
          </w:tcPr>
          <w:p>
            <w:pPr>
              <w:jc w:val="center"/>
            </w:pPr>
            <w:r>
              <w:rPr>
                <w:rFonts w:ascii="Calibri" w:hAnsi="Calibri"/>
                <w:b w:val="0"/>
                <w:i w:val="0"/>
                <w:sz w:val="20"/>
              </w:rPr>
              <w:t>subsample</w:t>
            </w:r>
          </w:p>
        </w:tc>
        <w:tc>
          <w:tcPr>
            <w:tcW w:type="dxa" w:w="1296"/>
          </w:tcPr>
          <w:p>
            <w:pPr>
              <w:jc w:val="center"/>
            </w:pPr>
            <w:r>
              <w:rPr>
                <w:rFonts w:ascii="Calibri" w:hAnsi="Calibri"/>
                <w:b w:val="0"/>
                <w:i w:val="0"/>
                <w:sz w:val="20"/>
              </w:rPr>
              <w:t>0.8</w:t>
            </w:r>
          </w:p>
        </w:tc>
        <w:tc>
          <w:tcPr>
            <w:tcW w:type="dxa" w:w="4896"/>
          </w:tcPr>
          <w:p>
            <w:pPr>
              <w:jc w:val="center"/>
            </w:pPr>
            <w:r>
              <w:rPr>
                <w:rFonts w:ascii="Calibri" w:hAnsi="Calibri"/>
                <w:b w:val="0"/>
                <w:i w:val="0"/>
                <w:sz w:val="20"/>
              </w:rPr>
              <w:t>Submuestreo de filas por arbol</w:t>
            </w:r>
          </w:p>
        </w:tc>
      </w:tr>
      <w:tr>
        <w:tc>
          <w:tcPr>
            <w:tcW w:type="dxa" w:w="2592"/>
          </w:tcPr>
          <w:p>
            <w:pPr>
              <w:jc w:val="center"/>
            </w:pPr>
            <w:r>
              <w:rPr>
                <w:rFonts w:ascii="Calibri" w:hAnsi="Calibri"/>
                <w:b w:val="0"/>
                <w:i w:val="0"/>
                <w:sz w:val="20"/>
              </w:rPr>
              <w:t>colsample_bytree</w:t>
            </w:r>
          </w:p>
        </w:tc>
        <w:tc>
          <w:tcPr>
            <w:tcW w:type="dxa" w:w="1296"/>
          </w:tcPr>
          <w:p>
            <w:pPr>
              <w:jc w:val="center"/>
            </w:pPr>
            <w:r>
              <w:rPr>
                <w:rFonts w:ascii="Calibri" w:hAnsi="Calibri"/>
                <w:b w:val="0"/>
                <w:i w:val="0"/>
                <w:sz w:val="20"/>
              </w:rPr>
              <w:t>0.8</w:t>
            </w:r>
          </w:p>
        </w:tc>
        <w:tc>
          <w:tcPr>
            <w:tcW w:type="dxa" w:w="4896"/>
          </w:tcPr>
          <w:p>
            <w:pPr>
              <w:jc w:val="center"/>
            </w:pPr>
            <w:r>
              <w:rPr>
                <w:rFonts w:ascii="Calibri" w:hAnsi="Calibri"/>
                <w:b w:val="0"/>
                <w:i w:val="0"/>
                <w:sz w:val="20"/>
              </w:rPr>
              <w:t>Submuestreo de features por arbol</w:t>
            </w:r>
          </w:p>
        </w:tc>
      </w:tr>
      <w:tr>
        <w:tc>
          <w:tcPr>
            <w:tcW w:type="dxa" w:w="2592"/>
          </w:tcPr>
          <w:p>
            <w:pPr>
              <w:jc w:val="center"/>
            </w:pPr>
            <w:r>
              <w:rPr>
                <w:rFonts w:ascii="Calibri" w:hAnsi="Calibri"/>
                <w:b w:val="0"/>
                <w:i w:val="0"/>
                <w:sz w:val="20"/>
              </w:rPr>
              <w:t>scale_pos_weight</w:t>
            </w:r>
          </w:p>
        </w:tc>
        <w:tc>
          <w:tcPr>
            <w:tcW w:type="dxa" w:w="1296"/>
          </w:tcPr>
          <w:p>
            <w:pPr>
              <w:jc w:val="center"/>
            </w:pPr>
            <w:r>
              <w:rPr>
                <w:rFonts w:ascii="Calibri" w:hAnsi="Calibri"/>
                <w:b w:val="0"/>
                <w:i w:val="0"/>
                <w:sz w:val="20"/>
              </w:rPr>
              <w:t>8.4</w:t>
            </w:r>
          </w:p>
        </w:tc>
        <w:tc>
          <w:tcPr>
            <w:tcW w:type="dxa" w:w="4896"/>
          </w:tcPr>
          <w:p>
            <w:pPr>
              <w:jc w:val="center"/>
            </w:pPr>
            <w:r>
              <w:rPr>
                <w:rFonts w:ascii="Calibri" w:hAnsi="Calibri"/>
                <w:b w:val="0"/>
                <w:i w:val="0"/>
                <w:sz w:val="20"/>
              </w:rPr>
              <w:t>Compensa desbalance 90/10 (neg/pos en train)</w:t>
            </w:r>
          </w:p>
        </w:tc>
      </w:tr>
      <w:tr>
        <w:tc>
          <w:tcPr>
            <w:tcW w:type="dxa" w:w="2592"/>
          </w:tcPr>
          <w:p>
            <w:pPr>
              <w:jc w:val="center"/>
            </w:pPr>
            <w:r>
              <w:rPr>
                <w:rFonts w:ascii="Calibri" w:hAnsi="Calibri"/>
                <w:b w:val="0"/>
                <w:i w:val="0"/>
                <w:sz w:val="20"/>
              </w:rPr>
              <w:t>eval_metric</w:t>
            </w:r>
          </w:p>
        </w:tc>
        <w:tc>
          <w:tcPr>
            <w:tcW w:type="dxa" w:w="1296"/>
          </w:tcPr>
          <w:p>
            <w:pPr>
              <w:jc w:val="center"/>
            </w:pPr>
            <w:r>
              <w:rPr>
                <w:rFonts w:ascii="Calibri" w:hAnsi="Calibri"/>
                <w:b w:val="0"/>
                <w:i w:val="0"/>
                <w:sz w:val="20"/>
              </w:rPr>
              <w:t>aucpr</w:t>
            </w:r>
          </w:p>
        </w:tc>
        <w:tc>
          <w:tcPr>
            <w:tcW w:type="dxa" w:w="4896"/>
          </w:tcPr>
          <w:p>
            <w:pPr>
              <w:jc w:val="center"/>
            </w:pPr>
            <w:r>
              <w:rPr>
                <w:rFonts w:ascii="Calibri" w:hAnsi="Calibri"/>
                <w:b w:val="0"/>
                <w:i w:val="0"/>
                <w:sz w:val="20"/>
              </w:rPr>
              <w:t>Metrica de early stopping; adecuada para desbalance</w:t>
            </w:r>
          </w:p>
        </w:tc>
      </w:tr>
      <w:tr>
        <w:tc>
          <w:tcPr>
            <w:tcW w:type="dxa" w:w="2592"/>
          </w:tcPr>
          <w:p>
            <w:pPr>
              <w:jc w:val="center"/>
            </w:pPr>
            <w:r>
              <w:rPr>
                <w:rFonts w:ascii="Calibri" w:hAnsi="Calibri"/>
                <w:b w:val="0"/>
                <w:i w:val="0"/>
                <w:sz w:val="20"/>
              </w:rPr>
              <w:t>tree_method</w:t>
            </w:r>
          </w:p>
        </w:tc>
        <w:tc>
          <w:tcPr>
            <w:tcW w:type="dxa" w:w="1296"/>
          </w:tcPr>
          <w:p>
            <w:pPr>
              <w:jc w:val="center"/>
            </w:pPr>
            <w:r>
              <w:rPr>
                <w:rFonts w:ascii="Calibri" w:hAnsi="Calibri"/>
                <w:b w:val="0"/>
                <w:i w:val="0"/>
                <w:sz w:val="20"/>
              </w:rPr>
              <w:t>hist</w:t>
            </w:r>
          </w:p>
        </w:tc>
        <w:tc>
          <w:tcPr>
            <w:tcW w:type="dxa" w:w="4896"/>
          </w:tcPr>
          <w:p>
            <w:pPr>
              <w:jc w:val="center"/>
            </w:pPr>
            <w:r>
              <w:rPr>
                <w:rFonts w:ascii="Calibri" w:hAnsi="Calibri"/>
                <w:b w:val="0"/>
                <w:i w:val="0"/>
                <w:sz w:val="20"/>
              </w:rPr>
              <w:t>Algoritmo rapido para datasets medianos/grandes</w:t>
            </w:r>
          </w:p>
        </w:tc>
      </w:tr>
    </w:tbl>
    <w:p/>
    <w:p>
      <w:pPr>
        <w:spacing w:after="120"/>
        <w:jc w:val="both"/>
      </w:pPr>
      <w:r>
        <w:rPr>
          <w:rFonts w:ascii="Calibri" w:hAnsi="Calibri"/>
          <w:b w:val="0"/>
          <w:i w:val="0"/>
          <w:sz w:val="22"/>
        </w:rPr>
        <w:t>El parametro scale_pos_weight = 8.4 hace que el modelo penalice ocho veces mas los falsos negativos (casos graves no detectados) que los falsos positivos, lo que resulta esencial dado el desbalance de clases. El early stopping se configuro con paciencia de 30 rondas monitoreando aucpr en el conjunto de validacion; el modelo convergió en la iteracion 124.</w:t>
      </w:r>
    </w:p>
    <w:p>
      <w:pPr>
        <w:pStyle w:val="Heading2"/>
        <w:jc w:val="left"/>
      </w:pPr>
      <w:r>
        <w:rPr>
          <w:rFonts w:ascii="Calibri" w:hAnsi="Calibri"/>
          <w:b/>
          <w:color w:val="1155CC"/>
          <w:sz w:val="24"/>
        </w:rPr>
        <w:t>2.5 Experimentos en MLflow</w:t>
      </w:r>
    </w:p>
    <w:p>
      <w:pPr>
        <w:spacing w:after="120"/>
        <w:jc w:val="both"/>
      </w:pPr>
      <w:r>
        <w:rPr>
          <w:rFonts w:ascii="Calibri" w:hAnsi="Calibri"/>
          <w:b w:val="0"/>
          <w:i w:val="0"/>
          <w:sz w:val="22"/>
        </w:rPr>
        <w:t>Los experimentos se registraron en un servidor MLflow sobre AWS EC2. Se registraron dos corridas en el experimento dengue-grave-xgboost: baseline-stratified y xgboost-v1. Para cada corrida se registraron parametros, metricas en validacion y prueba, importancia de features y artefactos (figuras y modelo serializado).</w:t>
      </w:r>
    </w:p>
    <w:p>
      <w:pPr>
        <w:spacing w:after="120"/>
        <w:jc w:val="both"/>
      </w:pPr>
      <w:r>
        <w:rPr>
          <w:rFonts w:ascii="Calibri" w:hAnsi="Calibri"/>
          <w:b/>
          <w:i w:val="0"/>
          <w:sz w:val="22"/>
        </w:rPr>
        <w:t xml:space="preserve">Instrucciones de reproduccion: </w:t>
      </w:r>
      <w:r>
        <w:rPr>
          <w:rFonts w:ascii="Calibri" w:hAnsi="Calibri"/>
          <w:b w:val="0"/>
          <w:i w:val="0"/>
          <w:sz w:val="22"/>
        </w:rPr>
        <w:t>ver docs/setup_ec2_mlflow.md en el repositorio.</w:t>
      </w:r>
    </w:p>
    <w:p>
      <w:r>
        <w:br w:type="page"/>
      </w:r>
    </w:p>
    <w:p>
      <w:pPr>
        <w:pStyle w:val="Heading1"/>
        <w:jc w:val="left"/>
      </w:pPr>
      <w:r>
        <w:rPr>
          <w:rFonts w:ascii="Calibri" w:hAnsi="Calibri"/>
          <w:b/>
          <w:color w:val="1F497D"/>
          <w:sz w:val="28"/>
        </w:rPr>
        <w:t>3. Evaluacion y resultados</w:t>
      </w:r>
    </w:p>
    <w:p>
      <w:pPr>
        <w:pStyle w:val="Heading2"/>
        <w:jc w:val="left"/>
      </w:pPr>
      <w:r>
        <w:rPr>
          <w:rFonts w:ascii="Calibri" w:hAnsi="Calibri"/>
          <w:b/>
          <w:color w:val="1155CC"/>
          <w:sz w:val="24"/>
        </w:rPr>
        <w:t>3.1 Metricas comparativas</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584"/>
            <w:shd w:val="clear" w:color="auto" w:fill="1F497D"/>
          </w:tcPr>
          <w:p>
            <w:pPr>
              <w:jc w:val="center"/>
            </w:pPr>
            <w:r>
              <w:rPr>
                <w:rFonts w:ascii="Calibri" w:hAnsi="Calibri"/>
                <w:b/>
                <w:i w:val="0"/>
                <w:color w:val="FFFFFF"/>
                <w:sz w:val="20"/>
              </w:rPr>
              <w:t>Modelo</w:t>
            </w:r>
          </w:p>
        </w:tc>
        <w:tc>
          <w:tcPr>
            <w:tcW w:type="dxa" w:w="1872"/>
            <w:shd w:val="clear" w:color="auto" w:fill="1F497D"/>
          </w:tcPr>
          <w:p>
            <w:pPr>
              <w:jc w:val="center"/>
            </w:pPr>
            <w:r>
              <w:rPr>
                <w:rFonts w:ascii="Calibri" w:hAnsi="Calibri"/>
                <w:b/>
                <w:i w:val="0"/>
                <w:color w:val="FFFFFF"/>
                <w:sz w:val="20"/>
              </w:rPr>
              <w:t>Conjunto</w:t>
            </w:r>
          </w:p>
        </w:tc>
        <w:tc>
          <w:tcPr>
            <w:tcW w:type="dxa" w:w="1080"/>
            <w:shd w:val="clear" w:color="auto" w:fill="1F497D"/>
          </w:tcPr>
          <w:p>
            <w:pPr>
              <w:jc w:val="center"/>
            </w:pPr>
            <w:r>
              <w:rPr>
                <w:rFonts w:ascii="Calibri" w:hAnsi="Calibri"/>
                <w:b/>
                <w:i w:val="0"/>
                <w:color w:val="FFFFFF"/>
                <w:sz w:val="20"/>
              </w:rPr>
              <w:t>AUROC</w:t>
            </w:r>
          </w:p>
        </w:tc>
        <w:tc>
          <w:tcPr>
            <w:tcW w:type="dxa" w:w="1584"/>
            <w:shd w:val="clear" w:color="auto" w:fill="1F497D"/>
          </w:tcPr>
          <w:p>
            <w:pPr>
              <w:jc w:val="center"/>
            </w:pPr>
            <w:r>
              <w:rPr>
                <w:rFonts w:ascii="Calibri" w:hAnsi="Calibri"/>
                <w:b/>
                <w:i w:val="0"/>
                <w:color w:val="FFFFFF"/>
                <w:sz w:val="20"/>
              </w:rPr>
              <w:t>Avg Precision</w:t>
            </w:r>
          </w:p>
        </w:tc>
        <w:tc>
          <w:tcPr>
            <w:tcW w:type="dxa" w:w="1584"/>
            <w:shd w:val="clear" w:color="auto" w:fill="1F497D"/>
          </w:tcPr>
          <w:p>
            <w:pPr>
              <w:jc w:val="center"/>
            </w:pPr>
            <w:r>
              <w:rPr>
                <w:rFonts w:ascii="Calibri" w:hAnsi="Calibri"/>
                <w:b/>
                <w:i w:val="0"/>
                <w:color w:val="FFFFFF"/>
                <w:sz w:val="20"/>
              </w:rPr>
              <w:t>F1 (thr=0.53)</w:t>
            </w:r>
          </w:p>
        </w:tc>
        <w:tc>
          <w:tcPr>
            <w:tcW w:type="dxa" w:w="1152"/>
            <w:shd w:val="clear" w:color="auto" w:fill="1F497D"/>
          </w:tcPr>
          <w:p>
            <w:pPr>
              <w:jc w:val="center"/>
            </w:pPr>
            <w:r>
              <w:rPr>
                <w:rFonts w:ascii="Calibri" w:hAnsi="Calibri"/>
                <w:b/>
                <w:i w:val="0"/>
                <w:color w:val="FFFFFF"/>
                <w:sz w:val="20"/>
              </w:rPr>
              <w:t>Recall</w:t>
            </w:r>
          </w:p>
        </w:tc>
        <w:tc>
          <w:tcPr>
            <w:tcW w:type="dxa" w:w="1368"/>
            <w:shd w:val="clear" w:color="auto" w:fill="1F497D"/>
          </w:tcPr>
          <w:p>
            <w:pPr>
              <w:jc w:val="center"/>
            </w:pPr>
            <w:r>
              <w:rPr>
                <w:rFonts w:ascii="Calibri" w:hAnsi="Calibri"/>
                <w:b/>
                <w:i w:val="0"/>
                <w:color w:val="FFFFFF"/>
                <w:sz w:val="20"/>
              </w:rPr>
              <w:t>Precision</w:t>
            </w:r>
          </w:p>
        </w:tc>
      </w:tr>
      <w:tr>
        <w:tc>
          <w:tcPr>
            <w:tcW w:type="dxa" w:w="1584"/>
          </w:tcPr>
          <w:p>
            <w:pPr>
              <w:jc w:val="center"/>
            </w:pPr>
            <w:r>
              <w:rPr>
                <w:rFonts w:ascii="Calibri" w:hAnsi="Calibri"/>
                <w:b w:val="0"/>
                <w:i w:val="0"/>
                <w:sz w:val="20"/>
              </w:rPr>
              <w:t>Baseline</w:t>
            </w:r>
          </w:p>
        </w:tc>
        <w:tc>
          <w:tcPr>
            <w:tcW w:type="dxa" w:w="1872"/>
          </w:tcPr>
          <w:p>
            <w:pPr>
              <w:jc w:val="center"/>
            </w:pPr>
            <w:r>
              <w:rPr>
                <w:rFonts w:ascii="Calibri" w:hAnsi="Calibri"/>
                <w:b w:val="0"/>
                <w:i w:val="0"/>
                <w:sz w:val="20"/>
              </w:rPr>
              <w:t>Validacion 2022</w:t>
            </w:r>
          </w:p>
        </w:tc>
        <w:tc>
          <w:tcPr>
            <w:tcW w:type="dxa" w:w="1080"/>
          </w:tcPr>
          <w:p>
            <w:pPr>
              <w:jc w:val="center"/>
            </w:pPr>
            <w:r>
              <w:rPr>
                <w:rFonts w:ascii="Calibri" w:hAnsi="Calibri"/>
                <w:b w:val="0"/>
                <w:i w:val="0"/>
                <w:sz w:val="20"/>
              </w:rPr>
              <w:t>0.503</w:t>
            </w:r>
          </w:p>
        </w:tc>
        <w:tc>
          <w:tcPr>
            <w:tcW w:type="dxa" w:w="1584"/>
          </w:tcPr>
          <w:p>
            <w:pPr>
              <w:jc w:val="center"/>
            </w:pPr>
            <w:r>
              <w:rPr>
                <w:rFonts w:ascii="Calibri" w:hAnsi="Calibri"/>
                <w:b w:val="0"/>
                <w:i w:val="0"/>
                <w:sz w:val="20"/>
              </w:rPr>
              <w:t>0.078</w:t>
            </w:r>
          </w:p>
        </w:tc>
        <w:tc>
          <w:tcPr>
            <w:tcW w:type="dxa" w:w="1584"/>
          </w:tcPr>
          <w:p>
            <w:pPr>
              <w:jc w:val="center"/>
            </w:pPr>
            <w:r>
              <w:rPr>
                <w:rFonts w:ascii="Calibri" w:hAnsi="Calibri"/>
                <w:b w:val="0"/>
                <w:i w:val="0"/>
                <w:sz w:val="20"/>
              </w:rPr>
              <w:t>0.094</w:t>
            </w:r>
          </w:p>
        </w:tc>
        <w:tc>
          <w:tcPr>
            <w:tcW w:type="dxa" w:w="1152"/>
          </w:tcPr>
          <w:p>
            <w:pPr>
              <w:jc w:val="center"/>
            </w:pPr>
            <w:r>
              <w:rPr>
                <w:rFonts w:ascii="Calibri" w:hAnsi="Calibri"/>
                <w:b w:val="0"/>
                <w:i w:val="0"/>
                <w:sz w:val="20"/>
              </w:rPr>
              <w:t>0.110</w:t>
            </w:r>
          </w:p>
        </w:tc>
        <w:tc>
          <w:tcPr>
            <w:tcW w:type="dxa" w:w="1368"/>
          </w:tcPr>
          <w:p>
            <w:pPr>
              <w:jc w:val="center"/>
            </w:pPr>
            <w:r>
              <w:rPr>
                <w:rFonts w:ascii="Calibri" w:hAnsi="Calibri"/>
                <w:b w:val="0"/>
                <w:i w:val="0"/>
                <w:sz w:val="20"/>
              </w:rPr>
              <w:t>0.082</w:t>
            </w:r>
          </w:p>
        </w:tc>
      </w:tr>
      <w:tr>
        <w:tc>
          <w:tcPr>
            <w:tcW w:type="dxa" w:w="1584"/>
          </w:tcPr>
          <w:p>
            <w:pPr>
              <w:jc w:val="center"/>
            </w:pPr>
            <w:r>
              <w:rPr>
                <w:rFonts w:ascii="Calibri" w:hAnsi="Calibri"/>
                <w:b w:val="0"/>
                <w:i w:val="0"/>
                <w:sz w:val="20"/>
              </w:rPr>
              <w:t>Baseline</w:t>
            </w:r>
          </w:p>
        </w:tc>
        <w:tc>
          <w:tcPr>
            <w:tcW w:type="dxa" w:w="1872"/>
          </w:tcPr>
          <w:p>
            <w:pPr>
              <w:jc w:val="center"/>
            </w:pPr>
            <w:r>
              <w:rPr>
                <w:rFonts w:ascii="Calibri" w:hAnsi="Calibri"/>
                <w:b w:val="0"/>
                <w:i w:val="0"/>
                <w:sz w:val="20"/>
              </w:rPr>
              <w:t>Prueba 2023-24</w:t>
            </w:r>
          </w:p>
        </w:tc>
        <w:tc>
          <w:tcPr>
            <w:tcW w:type="dxa" w:w="1080"/>
          </w:tcPr>
          <w:p>
            <w:pPr>
              <w:jc w:val="center"/>
            </w:pPr>
            <w:r>
              <w:rPr>
                <w:rFonts w:ascii="Calibri" w:hAnsi="Calibri"/>
                <w:b w:val="0"/>
                <w:i w:val="0"/>
                <w:sz w:val="20"/>
              </w:rPr>
              <w:t>0.500</w:t>
            </w:r>
          </w:p>
        </w:tc>
        <w:tc>
          <w:tcPr>
            <w:tcW w:type="dxa" w:w="1584"/>
          </w:tcPr>
          <w:p>
            <w:pPr>
              <w:jc w:val="center"/>
            </w:pPr>
            <w:r>
              <w:rPr>
                <w:rFonts w:ascii="Calibri" w:hAnsi="Calibri"/>
                <w:b w:val="0"/>
                <w:i w:val="0"/>
                <w:sz w:val="20"/>
              </w:rPr>
              <w:t>0.074</w:t>
            </w:r>
          </w:p>
        </w:tc>
        <w:tc>
          <w:tcPr>
            <w:tcW w:type="dxa" w:w="1584"/>
          </w:tcPr>
          <w:p>
            <w:pPr>
              <w:jc w:val="center"/>
            </w:pPr>
            <w:r>
              <w:rPr>
                <w:rFonts w:ascii="Calibri" w:hAnsi="Calibri"/>
                <w:b w:val="0"/>
                <w:i w:val="0"/>
                <w:sz w:val="20"/>
              </w:rPr>
              <w:t>0.087</w:t>
            </w:r>
          </w:p>
        </w:tc>
        <w:tc>
          <w:tcPr>
            <w:tcW w:type="dxa" w:w="1152"/>
          </w:tcPr>
          <w:p>
            <w:pPr>
              <w:jc w:val="center"/>
            </w:pPr>
            <w:r>
              <w:rPr>
                <w:rFonts w:ascii="Calibri" w:hAnsi="Calibri"/>
                <w:b w:val="0"/>
                <w:i w:val="0"/>
                <w:sz w:val="20"/>
              </w:rPr>
              <w:t>0.106</w:t>
            </w:r>
          </w:p>
        </w:tc>
        <w:tc>
          <w:tcPr>
            <w:tcW w:type="dxa" w:w="1368"/>
          </w:tcPr>
          <w:p>
            <w:pPr>
              <w:jc w:val="center"/>
            </w:pPr>
            <w:r>
              <w:rPr>
                <w:rFonts w:ascii="Calibri" w:hAnsi="Calibri"/>
                <w:b w:val="0"/>
                <w:i w:val="0"/>
                <w:sz w:val="20"/>
              </w:rPr>
              <w:t>0.074</w:t>
            </w:r>
          </w:p>
        </w:tc>
      </w:tr>
      <w:tr>
        <w:tc>
          <w:tcPr>
            <w:tcW w:type="dxa" w:w="1584"/>
          </w:tcPr>
          <w:p>
            <w:pPr>
              <w:jc w:val="center"/>
            </w:pPr>
            <w:r>
              <w:rPr>
                <w:rFonts w:ascii="Calibri" w:hAnsi="Calibri"/>
                <w:b w:val="0"/>
                <w:i w:val="0"/>
                <w:sz w:val="20"/>
              </w:rPr>
              <w:t>XGBoost v1</w:t>
            </w:r>
          </w:p>
        </w:tc>
        <w:tc>
          <w:tcPr>
            <w:tcW w:type="dxa" w:w="1872"/>
          </w:tcPr>
          <w:p>
            <w:pPr>
              <w:jc w:val="center"/>
            </w:pPr>
            <w:r>
              <w:rPr>
                <w:rFonts w:ascii="Calibri" w:hAnsi="Calibri"/>
                <w:b w:val="0"/>
                <w:i w:val="0"/>
                <w:sz w:val="20"/>
              </w:rPr>
              <w:t>Validacion 2022</w:t>
            </w:r>
          </w:p>
        </w:tc>
        <w:tc>
          <w:tcPr>
            <w:tcW w:type="dxa" w:w="1080"/>
          </w:tcPr>
          <w:p>
            <w:pPr>
              <w:jc w:val="center"/>
            </w:pPr>
            <w:r>
              <w:rPr>
                <w:rFonts w:ascii="Calibri" w:hAnsi="Calibri"/>
                <w:b w:val="0"/>
                <w:i w:val="0"/>
                <w:sz w:val="20"/>
              </w:rPr>
              <w:t>0.838</w:t>
            </w:r>
          </w:p>
        </w:tc>
        <w:tc>
          <w:tcPr>
            <w:tcW w:type="dxa" w:w="1584"/>
          </w:tcPr>
          <w:p>
            <w:pPr>
              <w:jc w:val="center"/>
            </w:pPr>
            <w:r>
              <w:rPr>
                <w:rFonts w:ascii="Calibri" w:hAnsi="Calibri"/>
                <w:b w:val="0"/>
                <w:i w:val="0"/>
                <w:sz w:val="20"/>
              </w:rPr>
              <w:t>0.322</w:t>
            </w:r>
          </w:p>
        </w:tc>
        <w:tc>
          <w:tcPr>
            <w:tcW w:type="dxa" w:w="1584"/>
          </w:tcPr>
          <w:p>
            <w:pPr>
              <w:jc w:val="center"/>
            </w:pPr>
            <w:r>
              <w:rPr>
                <w:rFonts w:ascii="Calibri" w:hAnsi="Calibri"/>
                <w:b w:val="0"/>
                <w:i w:val="0"/>
                <w:sz w:val="20"/>
              </w:rPr>
              <w:t>0.347</w:t>
            </w:r>
          </w:p>
        </w:tc>
        <w:tc>
          <w:tcPr>
            <w:tcW w:type="dxa" w:w="1152"/>
          </w:tcPr>
          <w:p>
            <w:pPr>
              <w:jc w:val="center"/>
            </w:pPr>
            <w:r>
              <w:rPr>
                <w:rFonts w:ascii="Calibri" w:hAnsi="Calibri"/>
                <w:b w:val="0"/>
                <w:i w:val="0"/>
                <w:sz w:val="20"/>
              </w:rPr>
              <w:t>0.544</w:t>
            </w:r>
          </w:p>
        </w:tc>
        <w:tc>
          <w:tcPr>
            <w:tcW w:type="dxa" w:w="1368"/>
          </w:tcPr>
          <w:p>
            <w:pPr>
              <w:jc w:val="center"/>
            </w:pPr>
            <w:r>
              <w:rPr>
                <w:rFonts w:ascii="Calibri" w:hAnsi="Calibri"/>
                <w:b w:val="0"/>
                <w:i w:val="0"/>
                <w:sz w:val="20"/>
              </w:rPr>
              <w:t>0.254</w:t>
            </w:r>
          </w:p>
        </w:tc>
      </w:tr>
      <w:tr>
        <w:tc>
          <w:tcPr>
            <w:tcW w:type="dxa" w:w="1584"/>
          </w:tcPr>
          <w:p>
            <w:pPr>
              <w:jc w:val="center"/>
            </w:pPr>
            <w:r>
              <w:rPr>
                <w:rFonts w:ascii="Calibri" w:hAnsi="Calibri"/>
                <w:b w:val="0"/>
                <w:i w:val="0"/>
                <w:sz w:val="20"/>
              </w:rPr>
              <w:t>XGBoost v1</w:t>
            </w:r>
          </w:p>
        </w:tc>
        <w:tc>
          <w:tcPr>
            <w:tcW w:type="dxa" w:w="1872"/>
          </w:tcPr>
          <w:p>
            <w:pPr>
              <w:jc w:val="center"/>
            </w:pPr>
            <w:r>
              <w:rPr>
                <w:rFonts w:ascii="Calibri" w:hAnsi="Calibri"/>
                <w:b w:val="0"/>
                <w:i w:val="0"/>
                <w:sz w:val="20"/>
              </w:rPr>
              <w:t>Prueba 2023-24</w:t>
            </w:r>
          </w:p>
        </w:tc>
        <w:tc>
          <w:tcPr>
            <w:tcW w:type="dxa" w:w="1080"/>
          </w:tcPr>
          <w:p>
            <w:pPr>
              <w:jc w:val="center"/>
            </w:pPr>
            <w:r>
              <w:rPr>
                <w:rFonts w:ascii="Calibri" w:hAnsi="Calibri"/>
                <w:b w:val="0"/>
                <w:i w:val="0"/>
                <w:sz w:val="20"/>
              </w:rPr>
              <w:t>0.719</w:t>
            </w:r>
          </w:p>
        </w:tc>
        <w:tc>
          <w:tcPr>
            <w:tcW w:type="dxa" w:w="1584"/>
          </w:tcPr>
          <w:p>
            <w:pPr>
              <w:jc w:val="center"/>
            </w:pPr>
            <w:r>
              <w:rPr>
                <w:rFonts w:ascii="Calibri" w:hAnsi="Calibri"/>
                <w:b w:val="0"/>
                <w:i w:val="0"/>
                <w:sz w:val="20"/>
              </w:rPr>
              <w:t>0.208</w:t>
            </w:r>
          </w:p>
        </w:tc>
        <w:tc>
          <w:tcPr>
            <w:tcW w:type="dxa" w:w="1584"/>
          </w:tcPr>
          <w:p>
            <w:pPr>
              <w:jc w:val="center"/>
            </w:pPr>
            <w:r>
              <w:rPr>
                <w:rFonts w:ascii="Calibri" w:hAnsi="Calibri"/>
                <w:b w:val="0"/>
                <w:i w:val="0"/>
                <w:sz w:val="20"/>
              </w:rPr>
              <w:t>0.290</w:t>
            </w:r>
          </w:p>
        </w:tc>
        <w:tc>
          <w:tcPr>
            <w:tcW w:type="dxa" w:w="1152"/>
          </w:tcPr>
          <w:p>
            <w:pPr>
              <w:jc w:val="center"/>
            </w:pPr>
            <w:r>
              <w:rPr>
                <w:rFonts w:ascii="Calibri" w:hAnsi="Calibri"/>
                <w:b w:val="0"/>
                <w:i w:val="0"/>
                <w:sz w:val="20"/>
              </w:rPr>
              <w:t>0.448</w:t>
            </w:r>
          </w:p>
        </w:tc>
        <w:tc>
          <w:tcPr>
            <w:tcW w:type="dxa" w:w="1368"/>
          </w:tcPr>
          <w:p>
            <w:pPr>
              <w:jc w:val="center"/>
            </w:pPr>
            <w:r>
              <w:rPr>
                <w:rFonts w:ascii="Calibri" w:hAnsi="Calibri"/>
                <w:b w:val="0"/>
                <w:i w:val="0"/>
                <w:sz w:val="20"/>
              </w:rPr>
              <w:t>0.216</w:t>
            </w:r>
          </w:p>
        </w:tc>
      </w:tr>
    </w:tbl>
    <w:p/>
    <w:p>
      <w:pPr>
        <w:spacing w:after="120"/>
        <w:jc w:val="both"/>
      </w:pPr>
      <w:r>
        <w:rPr>
          <w:rFonts w:ascii="Calibri" w:hAnsi="Calibri"/>
          <w:b w:val="0"/>
          <w:i w:val="0"/>
          <w:sz w:val="22"/>
        </w:rPr>
        <w:t>El umbral optimo de 0.53 se determino maximizando el F1 en el conjunto de validacion. Con el umbral por defecto (0.50) el F1 es 0.347 en validacion, marginalmente inferior.</w:t>
      </w:r>
    </w:p>
    <w:p>
      <w:pPr>
        <w:pStyle w:val="Heading2"/>
        <w:jc w:val="left"/>
      </w:pPr>
      <w:r>
        <w:rPr>
          <w:rFonts w:ascii="Calibri" w:hAnsi="Calibri"/>
          <w:b/>
          <w:color w:val="1155CC"/>
          <w:sz w:val="24"/>
        </w:rPr>
        <w:t>3.2 Importancia de features</w:t>
      </w:r>
    </w:p>
    <w:p>
      <w:pPr>
        <w:spacing w:after="120"/>
        <w:jc w:val="both"/>
      </w:pPr>
      <w:r>
        <w:rPr>
          <w:rFonts w:ascii="Calibri" w:hAnsi="Calibri"/>
          <w:b w:val="0"/>
          <w:i w:val="0"/>
          <w:sz w:val="22"/>
        </w:rPr>
        <w:t>La figura 1 muestra las 20 features mas importantes segun el gain acumulado de XGBoost. El SIR (Razon de Incidencia Estandarizada) resultó ser la feature dominante con el 46% del gain total, seguido de la suma movil de casos graves (12%) y el percentil 75 del canal endemico (11%).</w:t>
      </w:r>
    </w:p>
    <w:p>
      <w:pPr>
        <w:jc w:val="center"/>
      </w:pPr>
      <w:r>
        <w:drawing>
          <wp:inline xmlns:a="http://schemas.openxmlformats.org/drawingml/2006/main" xmlns:pic="http://schemas.openxmlformats.org/drawingml/2006/picture">
            <wp:extent cx="4572000" cy="4000500"/>
            <wp:docPr id="1" name="Picture 1"/>
            <wp:cNvGraphicFramePr>
              <a:graphicFrameLocks noChangeAspect="1"/>
            </wp:cNvGraphicFramePr>
            <a:graphic>
              <a:graphicData uri="http://schemas.openxmlformats.org/drawingml/2006/picture">
                <pic:pic>
                  <pic:nvPicPr>
                    <pic:cNvPr id="0" name="12_feature_importance.png"/>
                    <pic:cNvPicPr/>
                  </pic:nvPicPr>
                  <pic:blipFill>
                    <a:blip r:embed="rId9"/>
                    <a:stretch>
                      <a:fillRect/>
                    </a:stretch>
                  </pic:blipFill>
                  <pic:spPr>
                    <a:xfrm>
                      <a:off x="0" y="0"/>
                      <a:ext cx="4572000" cy="4000500"/>
                    </a:xfrm>
                    <a:prstGeom prst="rect"/>
                  </pic:spPr>
                </pic:pic>
              </a:graphicData>
            </a:graphic>
          </wp:inline>
        </w:drawing>
      </w:r>
    </w:p>
    <w:p>
      <w:pPr>
        <w:spacing w:after="200"/>
        <w:jc w:val="center"/>
      </w:pPr>
      <w:r>
        <w:rPr>
          <w:rFonts w:ascii="Calibri" w:hAnsi="Calibri"/>
          <w:b w:val="0"/>
          <w:i/>
          <w:sz w:val="18"/>
        </w:rPr>
        <w:t>Figura 1. Importancia de features por gain acumulado (XGBoost v1).</w:t>
      </w:r>
    </w:p>
    <w:p>
      <w:pPr>
        <w:pStyle w:val="Heading2"/>
        <w:jc w:val="left"/>
      </w:pPr>
      <w:r>
        <w:rPr>
          <w:rFonts w:ascii="Calibri" w:hAnsi="Calibri"/>
          <w:b/>
          <w:color w:val="1155CC"/>
          <w:sz w:val="24"/>
        </w:rPr>
        <w:t>3.3 Curvas ROC y Precision-Recall</w:t>
      </w:r>
    </w:p>
    <w:p>
      <w:pPr>
        <w:spacing w:after="120"/>
        <w:jc w:val="both"/>
      </w:pPr>
      <w:r>
        <w:rPr>
          <w:rFonts w:ascii="Calibri" w:hAnsi="Calibri"/>
          <w:b w:val="0"/>
          <w:i w:val="0"/>
          <w:sz w:val="22"/>
        </w:rPr>
        <w:t>La figura 2 compara XGBoost contra el baseline en el conjunto de validacion. El area bajo la curva ROC (AUROC = 0.838) y el average precision (AP = 0.322) superan ampliamente al baseline (AUROC = 0.503, AP = 0.078), confirmando que el modelo aprende patrones predictivos reales.</w:t>
      </w:r>
    </w:p>
    <w:p>
      <w:pPr>
        <w:jc w:val="center"/>
      </w:pPr>
      <w:r>
        <w:drawing>
          <wp:inline xmlns:a="http://schemas.openxmlformats.org/drawingml/2006/main" xmlns:pic="http://schemas.openxmlformats.org/drawingml/2006/picture">
            <wp:extent cx="5486400" cy="2286000"/>
            <wp:docPr id="2" name="Picture 2"/>
            <wp:cNvGraphicFramePr>
              <a:graphicFrameLocks noChangeAspect="1"/>
            </wp:cNvGraphicFramePr>
            <a:graphic>
              <a:graphicData uri="http://schemas.openxmlformats.org/drawingml/2006/picture">
                <pic:pic>
                  <pic:nvPicPr>
                    <pic:cNvPr id="0" name="13_curvas_roc_pr.png"/>
                    <pic:cNvPicPr/>
                  </pic:nvPicPr>
                  <pic:blipFill>
                    <a:blip r:embed="rId10"/>
                    <a:stretch>
                      <a:fillRect/>
                    </a:stretch>
                  </pic:blipFill>
                  <pic:spPr>
                    <a:xfrm>
                      <a:off x="0" y="0"/>
                      <a:ext cx="5486400" cy="2286000"/>
                    </a:xfrm>
                    <a:prstGeom prst="rect"/>
                  </pic:spPr>
                </pic:pic>
              </a:graphicData>
            </a:graphic>
          </wp:inline>
        </w:drawing>
      </w:r>
    </w:p>
    <w:p>
      <w:pPr>
        <w:spacing w:after="200"/>
        <w:jc w:val="center"/>
      </w:pPr>
      <w:r>
        <w:rPr>
          <w:rFonts w:ascii="Calibri" w:hAnsi="Calibri"/>
          <w:b w:val="0"/>
          <w:i/>
          <w:sz w:val="18"/>
        </w:rPr>
        <w:t>Figura 2. Curvas ROC y Precision-Recall en validacion 2022.</w:t>
      </w:r>
    </w:p>
    <w:p>
      <w:pPr>
        <w:pStyle w:val="Heading2"/>
        <w:jc w:val="left"/>
      </w:pPr>
      <w:r>
        <w:rPr>
          <w:rFonts w:ascii="Calibri" w:hAnsi="Calibri"/>
          <w:b/>
          <w:color w:val="1155CC"/>
          <w:sz w:val="24"/>
        </w:rPr>
        <w:t>3.4 Seleccion de umbral</w:t>
      </w:r>
    </w:p>
    <w:p>
      <w:pPr>
        <w:spacing w:after="120"/>
        <w:jc w:val="both"/>
      </w:pPr>
      <w:r>
        <w:rPr>
          <w:rFonts w:ascii="Calibri" w:hAnsi="Calibri"/>
          <w:b w:val="0"/>
          <w:i w:val="0"/>
          <w:sz w:val="22"/>
        </w:rPr>
        <w:t>La figura 3 muestra el F1 en funcion del umbral de clasificacion. El maximo se alcanza en thr = 0.53, con F1 = 0.352 en validacion. Este umbral se aplica en la evaluacion final del conjunto de prueba.</w:t>
      </w:r>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14_umbral_optimo.png"/>
                    <pic:cNvPicPr/>
                  </pic:nvPicPr>
                  <pic:blipFill>
                    <a:blip r:embed="rId11"/>
                    <a:stretch>
                      <a:fillRect/>
                    </a:stretch>
                  </pic:blipFill>
                  <pic:spPr>
                    <a:xfrm>
                      <a:off x="0" y="0"/>
                      <a:ext cx="4572000" cy="2286000"/>
                    </a:xfrm>
                    <a:prstGeom prst="rect"/>
                  </pic:spPr>
                </pic:pic>
              </a:graphicData>
            </a:graphic>
          </wp:inline>
        </w:drawing>
      </w:r>
    </w:p>
    <w:p>
      <w:pPr>
        <w:spacing w:after="200"/>
        <w:jc w:val="center"/>
      </w:pPr>
      <w:r>
        <w:rPr>
          <w:rFonts w:ascii="Calibri" w:hAnsi="Calibri"/>
          <w:b w:val="0"/>
          <w:i/>
          <w:sz w:val="18"/>
        </w:rPr>
        <w:t>Figura 3. F1 vs umbral de clasificacion en validacion 2022.</w:t>
      </w:r>
    </w:p>
    <w:p>
      <w:pPr>
        <w:pStyle w:val="Heading2"/>
        <w:jc w:val="left"/>
      </w:pPr>
      <w:r>
        <w:rPr>
          <w:rFonts w:ascii="Calibri" w:hAnsi="Calibri"/>
          <w:b/>
          <w:color w:val="1155CC"/>
          <w:sz w:val="24"/>
        </w:rPr>
        <w:t>3.5 Matriz de confusion en prueba (2023-2024)</w:t>
      </w:r>
    </w:p>
    <w:tbl>
      <w:tblPr>
        <w:tblStyle w:val="TableGrid"/>
        <w:tblW w:type="auto" w:w="0"/>
        <w:tblLook w:firstColumn="1" w:firstRow="1" w:lastColumn="0" w:lastRow="0" w:noHBand="0" w:noVBand="1" w:val="04A0"/>
      </w:tblPr>
      <w:tblGrid>
        <w:gridCol w:w="3041"/>
        <w:gridCol w:w="3041"/>
        <w:gridCol w:w="3041"/>
      </w:tblGrid>
      <w:tr>
        <w:tc>
          <w:tcPr>
            <w:tcW w:type="dxa" w:w="2592"/>
            <w:shd w:val="clear" w:color="auto" w:fill="1F497D"/>
          </w:tcPr>
          <w:p>
            <w:pPr>
              <w:jc w:val="center"/>
            </w:pPr>
            <w:r>
              <w:rPr>
                <w:rFonts w:ascii="Calibri" w:hAnsi="Calibri"/>
                <w:b/>
                <w:i w:val="0"/>
                <w:color w:val="FFFFFF"/>
                <w:sz w:val="20"/>
              </w:rPr>
            </w:r>
          </w:p>
        </w:tc>
        <w:tc>
          <w:tcPr>
            <w:tcW w:type="dxa" w:w="2880"/>
            <w:shd w:val="clear" w:color="auto" w:fill="1F497D"/>
          </w:tcPr>
          <w:p>
            <w:pPr>
              <w:jc w:val="center"/>
            </w:pPr>
            <w:r>
              <w:rPr>
                <w:rFonts w:ascii="Calibri" w:hAnsi="Calibri"/>
                <w:b/>
                <w:i w:val="0"/>
                <w:color w:val="FFFFFF"/>
                <w:sz w:val="20"/>
              </w:rPr>
              <w:t>Predicho: no grave</w:t>
            </w:r>
          </w:p>
        </w:tc>
        <w:tc>
          <w:tcPr>
            <w:tcW w:type="dxa" w:w="2592"/>
            <w:shd w:val="clear" w:color="auto" w:fill="1F497D"/>
          </w:tcPr>
          <w:p>
            <w:pPr>
              <w:jc w:val="center"/>
            </w:pPr>
            <w:r>
              <w:rPr>
                <w:rFonts w:ascii="Calibri" w:hAnsi="Calibri"/>
                <w:b/>
                <w:i w:val="0"/>
                <w:color w:val="FFFFFF"/>
                <w:sz w:val="20"/>
              </w:rPr>
              <w:t>Predicho: grave</w:t>
            </w:r>
          </w:p>
        </w:tc>
      </w:tr>
      <w:tr>
        <w:tc>
          <w:tcPr>
            <w:tcW w:type="dxa" w:w="2592"/>
          </w:tcPr>
          <w:p>
            <w:pPr>
              <w:jc w:val="center"/>
            </w:pPr>
            <w:r>
              <w:rPr>
                <w:rFonts w:ascii="Calibri" w:hAnsi="Calibri"/>
                <w:b w:val="0"/>
                <w:i w:val="0"/>
                <w:sz w:val="20"/>
              </w:rPr>
              <w:t>Real: no grave</w:t>
            </w:r>
          </w:p>
        </w:tc>
        <w:tc>
          <w:tcPr>
            <w:tcW w:type="dxa" w:w="2880"/>
          </w:tcPr>
          <w:p>
            <w:pPr>
              <w:jc w:val="center"/>
            </w:pPr>
            <w:r>
              <w:rPr>
                <w:rFonts w:ascii="Calibri" w:hAnsi="Calibri"/>
                <w:b w:val="0"/>
                <w:i w:val="0"/>
                <w:sz w:val="20"/>
              </w:rPr>
              <w:t>35,542 (TN)</w:t>
            </w:r>
          </w:p>
        </w:tc>
        <w:tc>
          <w:tcPr>
            <w:tcW w:type="dxa" w:w="2592"/>
          </w:tcPr>
          <w:p>
            <w:pPr>
              <w:jc w:val="center"/>
            </w:pPr>
            <w:r>
              <w:rPr>
                <w:rFonts w:ascii="Calibri" w:hAnsi="Calibri"/>
                <w:b w:val="0"/>
                <w:i w:val="0"/>
                <w:sz w:val="20"/>
              </w:rPr>
              <w:t>5,377 (FP)</w:t>
            </w:r>
          </w:p>
        </w:tc>
      </w:tr>
      <w:tr>
        <w:tc>
          <w:tcPr>
            <w:tcW w:type="dxa" w:w="2592"/>
          </w:tcPr>
          <w:p>
            <w:pPr>
              <w:jc w:val="center"/>
            </w:pPr>
            <w:r>
              <w:rPr>
                <w:rFonts w:ascii="Calibri" w:hAnsi="Calibri"/>
                <w:b w:val="0"/>
                <w:i w:val="0"/>
                <w:sz w:val="20"/>
              </w:rPr>
              <w:t>Real: grave</w:t>
            </w:r>
          </w:p>
        </w:tc>
        <w:tc>
          <w:tcPr>
            <w:tcW w:type="dxa" w:w="2880"/>
          </w:tcPr>
          <w:p>
            <w:pPr>
              <w:jc w:val="center"/>
            </w:pPr>
            <w:r>
              <w:rPr>
                <w:rFonts w:ascii="Calibri" w:hAnsi="Calibri"/>
                <w:b w:val="0"/>
                <w:i w:val="0"/>
                <w:sz w:val="20"/>
              </w:rPr>
              <w:t>1,815 (FN)</w:t>
            </w:r>
          </w:p>
        </w:tc>
        <w:tc>
          <w:tcPr>
            <w:tcW w:type="dxa" w:w="2592"/>
          </w:tcPr>
          <w:p>
            <w:pPr>
              <w:jc w:val="center"/>
            </w:pPr>
            <w:r>
              <w:rPr>
                <w:rFonts w:ascii="Calibri" w:hAnsi="Calibri"/>
                <w:b w:val="0"/>
                <w:i w:val="0"/>
                <w:sz w:val="20"/>
              </w:rPr>
              <w:t>1,473 (TP)</w:t>
            </w:r>
          </w:p>
        </w:tc>
      </w:tr>
    </w:tbl>
    <w:p/>
    <w:p>
      <w:pPr>
        <w:spacing w:after="120"/>
        <w:jc w:val="both"/>
      </w:pPr>
      <w:r>
        <w:rPr>
          <w:rFonts w:ascii="Calibri" w:hAnsi="Calibri"/>
          <w:b w:val="0"/>
          <w:i w:val="0"/>
          <w:sz w:val="22"/>
        </w:rPr>
        <w:t>El modelo detecta 1,473 de 3,288 semanas con casos graves en prueba (recall = 44.8%). Los 5,377 falsos positivos generan alertas en semanas sin casos, lo que puede ser aceptable en un sistema de vigilancia epidemiologica donde el costo de no detectar un brote supera al de una alerta falsa.</w:t>
      </w:r>
    </w:p>
    <w:p>
      <w:r>
        <w:br w:type="page"/>
      </w:r>
    </w:p>
    <w:p>
      <w:pPr>
        <w:pStyle w:val="Heading1"/>
        <w:jc w:val="left"/>
      </w:pPr>
      <w:r>
        <w:rPr>
          <w:rFonts w:ascii="Calibri" w:hAnsi="Calibri"/>
          <w:b/>
          <w:color w:val="1F497D"/>
          <w:sz w:val="28"/>
        </w:rPr>
        <w:t>4. Observaciones y conclusiones sobre los modelos</w:t>
      </w:r>
    </w:p>
    <w:p>
      <w:pPr>
        <w:pStyle w:val="ListBullet"/>
        <w:spacing w:after="60"/>
        <w:jc w:val="both"/>
      </w:pPr>
      <w:r>
        <w:rPr>
          <w:rFonts w:ascii="Calibri" w:hAnsi="Calibri"/>
          <w:b/>
          <w:i w:val="0"/>
          <w:sz w:val="22"/>
        </w:rPr>
        <w:t xml:space="preserve">Dominancia del SIR. </w:t>
      </w:r>
      <w:r>
        <w:rPr>
          <w:rFonts w:ascii="Calibri" w:hAnsi="Calibri"/>
          <w:b w:val="0"/>
          <w:i w:val="0"/>
          <w:sz w:val="22"/>
        </w:rPr>
        <w:t>El SIR (grave_lag_1 / media historica) captura el estado epidemiologico relativo del municipio y resulto ser la feature mas informativa (46% del gain). Esto sugiere que la historia local de dengue grave es el predictor mas fuerte, por encima de variables climaticas o temporales.</w:t>
      </w:r>
    </w:p>
    <w:p>
      <w:pPr>
        <w:pStyle w:val="ListBullet"/>
        <w:spacing w:after="60"/>
        <w:jc w:val="both"/>
      </w:pPr>
      <w:r>
        <w:rPr>
          <w:rFonts w:ascii="Calibri" w:hAnsi="Calibri"/>
          <w:b/>
          <w:i w:val="0"/>
          <w:sz w:val="22"/>
        </w:rPr>
        <w:t xml:space="preserve">Deriva temporal. </w:t>
      </w:r>
      <w:r>
        <w:rPr>
          <w:rFonts w:ascii="Calibri" w:hAnsi="Calibri"/>
          <w:b w:val="0"/>
          <w:i w:val="0"/>
          <w:sz w:val="22"/>
        </w:rPr>
        <w:t>La caida en AUROC de 0.838 (validacion 2022) a 0.719 (prueba 2023-2024) puede indicar deriva temporal: los patrones epidemiologicos de 2023-2024 difieren de los del periodo de entrenamiento. El periodo 2023-2024 coincide con cambios post-COVID en comportamiento de notificacion.</w:t>
      </w:r>
    </w:p>
    <w:p>
      <w:pPr>
        <w:pStyle w:val="ListBullet"/>
        <w:spacing w:after="60"/>
        <w:jc w:val="both"/>
      </w:pPr>
      <w:r>
        <w:rPr>
          <w:rFonts w:ascii="Calibri" w:hAnsi="Calibri"/>
          <w:b/>
          <w:i w:val="0"/>
          <w:sz w:val="22"/>
        </w:rPr>
        <w:t xml:space="preserve">Ganancia sobre baseline. </w:t>
      </w:r>
      <w:r>
        <w:rPr>
          <w:rFonts w:ascii="Calibri" w:hAnsi="Calibri"/>
          <w:b w:val="0"/>
          <w:i w:val="0"/>
          <w:sz w:val="22"/>
        </w:rPr>
        <w:t>El Avg Precision de 0.322 en validacion supera cuatro veces al del baseline (0.078), lo que confirma que el modelo aprende senales reales y no es resultado del azar.</w:t>
      </w:r>
    </w:p>
    <w:p>
      <w:pPr>
        <w:pStyle w:val="ListBullet"/>
        <w:spacing w:after="60"/>
        <w:jc w:val="both"/>
      </w:pPr>
      <w:r>
        <w:rPr>
          <w:rFonts w:ascii="Calibri" w:hAnsi="Calibri"/>
          <w:b/>
          <w:i w:val="0"/>
          <w:sz w:val="22"/>
        </w:rPr>
        <w:t xml:space="preserve">Robustez a nulos. </w:t>
      </w:r>
      <w:r>
        <w:rPr>
          <w:rFonts w:ascii="Calibri" w:hAnsi="Calibri"/>
          <w:b w:val="0"/>
          <w:i w:val="0"/>
          <w:sz w:val="22"/>
        </w:rPr>
        <w:t>El modelo XGBoost maneja nativamente los nulos de LST (16% de filas) y del SIR (38% de filas), sin necesidad de imputacion. Esto es una ventaja operacional importante para datos de vigilancia epidemiologica.</w:t>
      </w:r>
    </w:p>
    <w:p>
      <w:pPr>
        <w:pStyle w:val="ListBullet"/>
        <w:spacing w:after="60"/>
        <w:jc w:val="both"/>
      </w:pPr>
      <w:r>
        <w:rPr>
          <w:rFonts w:ascii="Calibri" w:hAnsi="Calibri"/>
          <w:b/>
          <w:i w:val="0"/>
          <w:sz w:val="22"/>
        </w:rPr>
        <w:t xml:space="preserve">Interpretacion epidemiologica. </w:t>
      </w:r>
      <w:r>
        <w:rPr>
          <w:rFonts w:ascii="Calibri" w:hAnsi="Calibri"/>
          <w:b w:val="0"/>
          <w:i w:val="0"/>
          <w:sz w:val="22"/>
        </w:rPr>
        <w:t>En el contexto de alerta temprana, un recall de 44.8% en prueba implica que el modelo detecta casi la mitad de las semanas con casos graves con una semana de anticipacion. La precision del 21.6% genera alertas falsas, pero la asimetria del costo favorece detectar brotes sobre evitar alertas.</w:t>
      </w:r>
    </w:p>
    <w:p>
      <w:pPr>
        <w:pStyle w:val="ListBullet"/>
        <w:spacing w:after="60"/>
        <w:jc w:val="both"/>
      </w:pPr>
      <w:r>
        <w:rPr>
          <w:rFonts w:ascii="Calibri" w:hAnsi="Calibri"/>
          <w:b/>
          <w:i w:val="0"/>
          <w:sz w:val="22"/>
        </w:rPr>
        <w:t xml:space="preserve">Proximos pasos. </w:t>
      </w:r>
      <w:r>
        <w:rPr>
          <w:rFonts w:ascii="Calibri" w:hAnsi="Calibri"/>
          <w:b w:val="0"/>
          <w:i w:val="0"/>
          <w:sz w:val="22"/>
        </w:rPr>
        <w:t>Las variables climaticas ERA5/CHIRPS (precipitacion, temperatura del aire, humedad) estan documentadas en el diccionario de datos pero los CSV no estan disponibles aun. Su inclusion en Entrega 3 podria mejorar significativamente el recall en periodos de alta humedad.</w:t>
      </w:r>
    </w:p>
    <w:p>
      <w:r>
        <w:br w:type="page"/>
      </w:r>
    </w:p>
    <w:p>
      <w:pPr>
        <w:pStyle w:val="Heading1"/>
        <w:jc w:val="left"/>
      </w:pPr>
      <w:r>
        <w:rPr>
          <w:rFonts w:ascii="Calibri" w:hAnsi="Calibri"/>
          <w:b/>
          <w:color w:val="1F497D"/>
          <w:sz w:val="28"/>
        </w:rPr>
        <w:t>5. Tablero desarrollado</w:t>
      </w:r>
    </w:p>
    <w:p>
      <w:pPr>
        <w:pStyle w:val="Heading2"/>
        <w:jc w:val="left"/>
      </w:pPr>
      <w:r>
        <w:rPr>
          <w:rFonts w:ascii="Calibri" w:hAnsi="Calibri"/>
          <w:b/>
          <w:color w:val="1155CC"/>
          <w:sz w:val="24"/>
        </w:rPr>
        <w:t>5.1 Arquitectura general</w:t>
      </w:r>
    </w:p>
    <w:p>
      <w:pPr>
        <w:spacing w:after="120"/>
        <w:jc w:val="both"/>
      </w:pPr>
      <w:r>
        <w:rPr>
          <w:rFonts w:ascii="Calibri" w:hAnsi="Calibri"/>
          <w:b w:val="0"/>
          <w:i w:val="0"/>
          <w:sz w:val="22"/>
        </w:rPr>
        <w:t>La solucion se compone de tres capas: (1) el modelo XGBoost serializado, (2) una API REST construida con FastAPI que expone endpoints de prediccion, y (3) un tablero interactivo en Streamlit que consume la API. Los tres componentes estan contenidos en imagenes Docker independientes, orquestadas con docker-compose.</w:t>
      </w:r>
    </w:p>
    <w:tbl>
      <w:tblPr>
        <w:tblStyle w:val="TableGrid"/>
        <w:tblW w:type="auto" w:w="0"/>
        <w:tblLook w:firstColumn="1" w:firstRow="1" w:lastColumn="0" w:lastRow="0" w:noHBand="0" w:noVBand="1" w:val="04A0"/>
      </w:tblPr>
      <w:tblGrid>
        <w:gridCol w:w="2280"/>
        <w:gridCol w:w="2280"/>
        <w:gridCol w:w="2280"/>
        <w:gridCol w:w="2280"/>
      </w:tblGrid>
      <w:tr>
        <w:tc>
          <w:tcPr>
            <w:tcW w:type="dxa" w:w="1728"/>
            <w:shd w:val="clear" w:color="auto" w:fill="1F497D"/>
          </w:tcPr>
          <w:p>
            <w:pPr>
              <w:jc w:val="center"/>
            </w:pPr>
            <w:r>
              <w:rPr>
                <w:rFonts w:ascii="Calibri" w:hAnsi="Calibri"/>
                <w:b/>
                <w:i w:val="0"/>
                <w:color w:val="FFFFFF"/>
                <w:sz w:val="20"/>
              </w:rPr>
              <w:t>Componente</w:t>
            </w:r>
          </w:p>
        </w:tc>
        <w:tc>
          <w:tcPr>
            <w:tcW w:type="dxa" w:w="2160"/>
            <w:shd w:val="clear" w:color="auto" w:fill="1F497D"/>
          </w:tcPr>
          <w:p>
            <w:pPr>
              <w:jc w:val="center"/>
            </w:pPr>
            <w:r>
              <w:rPr>
                <w:rFonts w:ascii="Calibri" w:hAnsi="Calibri"/>
                <w:b/>
                <w:i w:val="0"/>
                <w:color w:val="FFFFFF"/>
                <w:sz w:val="20"/>
              </w:rPr>
              <w:t>Tecnologia</w:t>
            </w:r>
          </w:p>
        </w:tc>
        <w:tc>
          <w:tcPr>
            <w:tcW w:type="dxa" w:w="1008"/>
            <w:shd w:val="clear" w:color="auto" w:fill="1F497D"/>
          </w:tcPr>
          <w:p>
            <w:pPr>
              <w:jc w:val="center"/>
            </w:pPr>
            <w:r>
              <w:rPr>
                <w:rFonts w:ascii="Calibri" w:hAnsi="Calibri"/>
                <w:b/>
                <w:i w:val="0"/>
                <w:color w:val="FFFFFF"/>
                <w:sz w:val="20"/>
              </w:rPr>
              <w:t>Puerto</w:t>
            </w:r>
          </w:p>
        </w:tc>
        <w:tc>
          <w:tcPr>
            <w:tcW w:type="dxa" w:w="4320"/>
            <w:shd w:val="clear" w:color="auto" w:fill="1F497D"/>
          </w:tcPr>
          <w:p>
            <w:pPr>
              <w:jc w:val="center"/>
            </w:pPr>
            <w:r>
              <w:rPr>
                <w:rFonts w:ascii="Calibri" w:hAnsi="Calibri"/>
                <w:b/>
                <w:i w:val="0"/>
                <w:color w:val="FFFFFF"/>
                <w:sz w:val="20"/>
              </w:rPr>
              <w:t>Funcion</w:t>
            </w:r>
          </w:p>
        </w:tc>
      </w:tr>
      <w:tr>
        <w:tc>
          <w:tcPr>
            <w:tcW w:type="dxa" w:w="1728"/>
          </w:tcPr>
          <w:p>
            <w:pPr>
              <w:jc w:val="center"/>
            </w:pPr>
            <w:r>
              <w:rPr>
                <w:rFonts w:ascii="Calibri" w:hAnsi="Calibri"/>
                <w:b w:val="0"/>
                <w:i w:val="0"/>
                <w:sz w:val="20"/>
              </w:rPr>
              <w:t>Modelo</w:t>
            </w:r>
          </w:p>
        </w:tc>
        <w:tc>
          <w:tcPr>
            <w:tcW w:type="dxa" w:w="2160"/>
          </w:tcPr>
          <w:p>
            <w:pPr>
              <w:jc w:val="center"/>
            </w:pPr>
            <w:r>
              <w:rPr>
                <w:rFonts w:ascii="Calibri" w:hAnsi="Calibri"/>
                <w:b w:val="0"/>
                <w:i w:val="0"/>
                <w:sz w:val="20"/>
              </w:rPr>
              <w:t>XGBoost + pickle</w:t>
            </w:r>
          </w:p>
        </w:tc>
        <w:tc>
          <w:tcPr>
            <w:tcW w:type="dxa" w:w="1008"/>
          </w:tcPr>
          <w:p>
            <w:pPr>
              <w:jc w:val="center"/>
            </w:pPr>
            <w:r>
              <w:rPr>
                <w:rFonts w:ascii="Calibri" w:hAnsi="Calibri"/>
                <w:b w:val="0"/>
                <w:i w:val="0"/>
                <w:sz w:val="20"/>
              </w:rPr>
              <w:t>-</w:t>
            </w:r>
          </w:p>
        </w:tc>
        <w:tc>
          <w:tcPr>
            <w:tcW w:type="dxa" w:w="4320"/>
          </w:tcPr>
          <w:p>
            <w:pPr>
              <w:jc w:val="center"/>
            </w:pPr>
            <w:r>
              <w:rPr>
                <w:rFonts w:ascii="Calibri" w:hAnsi="Calibri"/>
                <w:b w:val="0"/>
                <w:i w:val="0"/>
                <w:sz w:val="20"/>
              </w:rPr>
              <w:t>Clasificacion binaria de semanas con dengue grave</w:t>
            </w:r>
          </w:p>
        </w:tc>
      </w:tr>
      <w:tr>
        <w:tc>
          <w:tcPr>
            <w:tcW w:type="dxa" w:w="1728"/>
          </w:tcPr>
          <w:p>
            <w:pPr>
              <w:jc w:val="center"/>
            </w:pPr>
            <w:r>
              <w:rPr>
                <w:rFonts w:ascii="Calibri" w:hAnsi="Calibri"/>
                <w:b w:val="0"/>
                <w:i w:val="0"/>
                <w:sz w:val="20"/>
              </w:rPr>
              <w:t>API REST</w:t>
            </w:r>
          </w:p>
        </w:tc>
        <w:tc>
          <w:tcPr>
            <w:tcW w:type="dxa" w:w="2160"/>
          </w:tcPr>
          <w:p>
            <w:pPr>
              <w:jc w:val="center"/>
            </w:pPr>
            <w:r>
              <w:rPr>
                <w:rFonts w:ascii="Calibri" w:hAnsi="Calibri"/>
                <w:b w:val="0"/>
                <w:i w:val="0"/>
                <w:sz w:val="20"/>
              </w:rPr>
              <w:t>FastAPI + uvicorn</w:t>
            </w:r>
          </w:p>
        </w:tc>
        <w:tc>
          <w:tcPr>
            <w:tcW w:type="dxa" w:w="1008"/>
          </w:tcPr>
          <w:p>
            <w:pPr>
              <w:jc w:val="center"/>
            </w:pPr>
            <w:r>
              <w:rPr>
                <w:rFonts w:ascii="Calibri" w:hAnsi="Calibri"/>
                <w:b w:val="0"/>
                <w:i w:val="0"/>
                <w:sz w:val="20"/>
              </w:rPr>
              <w:t>8000</w:t>
            </w:r>
          </w:p>
        </w:tc>
        <w:tc>
          <w:tcPr>
            <w:tcW w:type="dxa" w:w="4320"/>
          </w:tcPr>
          <w:p>
            <w:pPr>
              <w:jc w:val="center"/>
            </w:pPr>
            <w:r>
              <w:rPr>
                <w:rFonts w:ascii="Calibri" w:hAnsi="Calibri"/>
                <w:b w:val="0"/>
                <w:i w:val="0"/>
                <w:sz w:val="20"/>
              </w:rPr>
              <w:t>Serve inferencias; endpoints /predict y /predict-batch</w:t>
            </w:r>
          </w:p>
        </w:tc>
      </w:tr>
      <w:tr>
        <w:tc>
          <w:tcPr>
            <w:tcW w:type="dxa" w:w="1728"/>
          </w:tcPr>
          <w:p>
            <w:pPr>
              <w:jc w:val="center"/>
            </w:pPr>
            <w:r>
              <w:rPr>
                <w:rFonts w:ascii="Calibri" w:hAnsi="Calibri"/>
                <w:b w:val="0"/>
                <w:i w:val="0"/>
                <w:sz w:val="20"/>
              </w:rPr>
              <w:t>Dashboard</w:t>
            </w:r>
          </w:p>
        </w:tc>
        <w:tc>
          <w:tcPr>
            <w:tcW w:type="dxa" w:w="2160"/>
          </w:tcPr>
          <w:p>
            <w:pPr>
              <w:jc w:val="center"/>
            </w:pPr>
            <w:r>
              <w:rPr>
                <w:rFonts w:ascii="Calibri" w:hAnsi="Calibri"/>
                <w:b w:val="0"/>
                <w:i w:val="0"/>
                <w:sz w:val="20"/>
              </w:rPr>
              <w:t>Streamlit</w:t>
            </w:r>
          </w:p>
        </w:tc>
        <w:tc>
          <w:tcPr>
            <w:tcW w:type="dxa" w:w="1008"/>
          </w:tcPr>
          <w:p>
            <w:pPr>
              <w:jc w:val="center"/>
            </w:pPr>
            <w:r>
              <w:rPr>
                <w:rFonts w:ascii="Calibri" w:hAnsi="Calibri"/>
                <w:b w:val="0"/>
                <w:i w:val="0"/>
                <w:sz w:val="20"/>
              </w:rPr>
              <w:t>8501</w:t>
            </w:r>
          </w:p>
        </w:tc>
        <w:tc>
          <w:tcPr>
            <w:tcW w:type="dxa" w:w="4320"/>
          </w:tcPr>
          <w:p>
            <w:pPr>
              <w:jc w:val="center"/>
            </w:pPr>
            <w:r>
              <w:rPr>
                <w:rFonts w:ascii="Calibri" w:hAnsi="Calibri"/>
                <w:b w:val="0"/>
                <w:i w:val="0"/>
                <w:sz w:val="20"/>
              </w:rPr>
              <w:t>Interfaz de usuario para prediccion individual y por lote</w:t>
            </w:r>
          </w:p>
        </w:tc>
      </w:tr>
    </w:tbl>
    <w:p/>
    <w:p>
      <w:pPr>
        <w:pStyle w:val="Heading2"/>
        <w:jc w:val="left"/>
      </w:pPr>
      <w:r>
        <w:rPr>
          <w:rFonts w:ascii="Calibri" w:hAnsi="Calibri"/>
          <w:b/>
          <w:color w:val="1155CC"/>
          <w:sz w:val="24"/>
        </w:rPr>
        <w:t>5.2 API REST</w:t>
      </w:r>
    </w:p>
    <w:p>
      <w:pPr>
        <w:spacing w:after="120"/>
        <w:jc w:val="both"/>
      </w:pPr>
      <w:r>
        <w:rPr>
          <w:rFonts w:ascii="Calibri" w:hAnsi="Calibri"/>
          <w:b w:val="0"/>
          <w:i w:val="0"/>
          <w:sz w:val="22"/>
        </w:rPr>
        <w:t>La API expone tres endpoints:</w:t>
      </w:r>
    </w:p>
    <w:p>
      <w:pPr>
        <w:pStyle w:val="ListBullet"/>
        <w:spacing w:after="60"/>
        <w:jc w:val="both"/>
      </w:pPr>
      <w:r>
        <w:rPr>
          <w:rFonts w:ascii="Calibri" w:hAnsi="Calibri"/>
          <w:b w:val="0"/>
          <w:i w:val="0"/>
          <w:sz w:val="22"/>
        </w:rPr>
        <w:t>GET /health: verifica que el servicio esta activo.</w:t>
      </w:r>
    </w:p>
    <w:p>
      <w:pPr>
        <w:pStyle w:val="ListBullet"/>
        <w:spacing w:after="60"/>
        <w:jc w:val="both"/>
      </w:pPr>
      <w:r>
        <w:rPr>
          <w:rFonts w:ascii="Calibri" w:hAnsi="Calibri"/>
          <w:b w:val="0"/>
          <w:i w:val="0"/>
          <w:sz w:val="22"/>
        </w:rPr>
        <w:t>POST /predict: recibe los datos de un municipio y semana (JSON) y devuelve probabilidad de dengue grave, prediccion binaria y umbral utilizado.</w:t>
      </w:r>
    </w:p>
    <w:p>
      <w:pPr>
        <w:pStyle w:val="ListBullet"/>
        <w:spacing w:after="60"/>
        <w:jc w:val="both"/>
      </w:pPr>
      <w:r>
        <w:rPr>
          <w:rFonts w:ascii="Calibri" w:hAnsi="Calibri"/>
          <w:b w:val="0"/>
          <w:i w:val="0"/>
          <w:sz w:val="22"/>
        </w:rPr>
        <w:t>POST /predict-batch: procesa hasta 500 filas en un solo request, devuelve lista de resultados en JSON descargable.</w:t>
      </w:r>
    </w:p>
    <w:p>
      <w:pPr>
        <w:spacing w:after="120"/>
        <w:jc w:val="both"/>
      </w:pPr>
      <w:r>
        <w:rPr>
          <w:rFonts w:ascii="Calibri" w:hAnsi="Calibri"/>
          <w:b w:val="0"/>
          <w:i w:val="0"/>
          <w:sz w:val="22"/>
        </w:rPr>
        <w:t>El modelo se carga desde MLflow (via MLFLOW_RUN_ID) o desde un archivo local .pkl como fallback. El umbral optimo (0.53) se lee del archivo model/model_meta.json generado durante el entrenamiento.</w:t>
      </w:r>
    </w:p>
    <w:p>
      <w:pPr>
        <w:pStyle w:val="Heading2"/>
        <w:jc w:val="left"/>
      </w:pPr>
      <w:r>
        <w:rPr>
          <w:rFonts w:ascii="Calibri" w:hAnsi="Calibri"/>
          <w:b/>
          <w:color w:val="1155CC"/>
          <w:sz w:val="24"/>
        </w:rPr>
        <w:t>5.3 Dashboard Streamlit</w:t>
      </w:r>
    </w:p>
    <w:p>
      <w:pPr>
        <w:spacing w:after="120"/>
        <w:jc w:val="both"/>
      </w:pPr>
      <w:r>
        <w:rPr>
          <w:rFonts w:ascii="Calibri" w:hAnsi="Calibri"/>
          <w:b w:val="0"/>
          <w:i w:val="0"/>
          <w:sz w:val="22"/>
        </w:rPr>
        <w:t>El tablero tiene tres paginas:</w:t>
      </w:r>
    </w:p>
    <w:p>
      <w:pPr>
        <w:pStyle w:val="ListBullet"/>
        <w:spacing w:after="60"/>
        <w:jc w:val="both"/>
      </w:pPr>
      <w:r>
        <w:rPr>
          <w:rFonts w:ascii="Calibri" w:hAnsi="Calibri"/>
          <w:b/>
          <w:i w:val="0"/>
          <w:sz w:val="22"/>
        </w:rPr>
        <w:t xml:space="preserve">Prediccion individual: </w:t>
      </w:r>
      <w:r>
        <w:rPr>
          <w:rFonts w:ascii="Calibri" w:hAnsi="Calibri"/>
          <w:b w:val="0"/>
          <w:i w:val="0"/>
          <w:sz w:val="22"/>
        </w:rPr>
        <w:t>el usuario ingresa codigo de municipio, ano, semana y los valores de rezago disponibles. El sistema llama a la API y muestra la probabilidad como barra de progreso con etiqueta de alerta (verde/rojo) y recomendacion de accion.</w:t>
      </w:r>
    </w:p>
    <w:p>
      <w:pPr>
        <w:pStyle w:val="ListBullet"/>
        <w:spacing w:after="60"/>
        <w:jc w:val="both"/>
      </w:pPr>
      <w:r>
        <w:rPr>
          <w:rFonts w:ascii="Calibri" w:hAnsi="Calibri"/>
          <w:b/>
          <w:i w:val="0"/>
          <w:sz w:val="22"/>
        </w:rPr>
        <w:t xml:space="preserve">Prediccion por lote: </w:t>
      </w:r>
      <w:r>
        <w:rPr>
          <w:rFonts w:ascii="Calibri" w:hAnsi="Calibri"/>
          <w:b w:val="0"/>
          <w:i w:val="0"/>
          <w:sz w:val="22"/>
        </w:rPr>
        <w:t>el usuario sube un CSV con multiples filas, el sistema las envia en batch a la API y devuelve un CSV descargable con las probabilidades predichas.</w:t>
      </w:r>
    </w:p>
    <w:p>
      <w:pPr>
        <w:pStyle w:val="ListBullet"/>
        <w:spacing w:after="60"/>
        <w:jc w:val="both"/>
      </w:pPr>
      <w:r>
        <w:rPr>
          <w:rFonts w:ascii="Calibri" w:hAnsi="Calibri"/>
          <w:b/>
          <w:i w:val="0"/>
          <w:sz w:val="22"/>
        </w:rPr>
        <w:t xml:space="preserve">Acerca del modelo: </w:t>
      </w:r>
      <w:r>
        <w:rPr>
          <w:rFonts w:ascii="Calibri" w:hAnsi="Calibri"/>
          <w:b w:val="0"/>
          <w:i w:val="0"/>
          <w:sz w:val="22"/>
        </w:rPr>
        <w:t>resume el modelo, los datos, la particion temporal y las features utilizadas.</w:t>
      </w:r>
    </w:p>
    <w:p>
      <w:pPr>
        <w:pStyle w:val="Heading2"/>
        <w:jc w:val="left"/>
      </w:pPr>
      <w:r>
        <w:rPr>
          <w:rFonts w:ascii="Calibri" w:hAnsi="Calibri"/>
          <w:b/>
          <w:color w:val="1155CC"/>
          <w:sz w:val="24"/>
        </w:rPr>
        <w:t>5.4 Docker</w:t>
      </w:r>
    </w:p>
    <w:p>
      <w:pPr>
        <w:spacing w:after="120"/>
        <w:jc w:val="both"/>
      </w:pPr>
      <w:r>
        <w:rPr>
          <w:rFonts w:ascii="Calibri" w:hAnsi="Calibri"/>
          <w:b w:val="0"/>
          <w:i w:val="0"/>
          <w:sz w:val="22"/>
        </w:rPr>
        <w:t>Se proveen Dockerfile.api, Dockerfile.dashboard y docker-compose.yml en el directorio docker/. Para correr el sistema completo:</w:t>
      </w:r>
    </w:p>
    <w:p>
      <w:pPr>
        <w:ind w:left="720"/>
      </w:pPr>
      <w:r>
        <w:rPr>
          <w:rFonts w:ascii="Courier New" w:hAnsi="Courier New"/>
          <w:sz w:val="20"/>
        </w:rPr>
        <w:t>cd docker &amp;&amp; docker-compose up --build</w:t>
      </w:r>
    </w:p>
    <w:p>
      <w:r>
        <w:br w:type="page"/>
      </w:r>
    </w:p>
    <w:p>
      <w:pPr>
        <w:pStyle w:val="Heading1"/>
        <w:jc w:val="left"/>
      </w:pPr>
      <w:r>
        <w:rPr>
          <w:rFonts w:ascii="Calibri" w:hAnsi="Calibri"/>
          <w:b/>
          <w:color w:val="1F497D"/>
          <w:sz w:val="28"/>
        </w:rPr>
        <w:t>6. Repositorio de codigo</w:t>
      </w:r>
    </w:p>
    <w:p>
      <w:pPr>
        <w:spacing w:after="120"/>
        <w:jc w:val="both"/>
      </w:pPr>
      <w:r>
        <w:rPr>
          <w:rFonts w:ascii="Calibri" w:hAnsi="Calibri"/>
          <w:b w:val="0"/>
          <w:i w:val="0"/>
          <w:sz w:val="22"/>
        </w:rPr>
        <w:t>Repositorio: https://github.com/j-mauro-r/microproyecto-tema3</w:t>
      </w:r>
    </w:p>
    <w:p>
      <w:pPr>
        <w:spacing w:after="120"/>
        <w:jc w:val="both"/>
      </w:pPr>
      <w:r>
        <w:rPr>
          <w:rFonts w:ascii="Calibri" w:hAnsi="Calibri"/>
          <w:b w:val="0"/>
          <w:i w:val="0"/>
          <w:sz w:val="22"/>
        </w:rPr>
        <w:t>Estructura principal:</w:t>
      </w:r>
    </w:p>
    <w:tbl>
      <w:tblPr>
        <w:tblStyle w:val="TableGrid"/>
        <w:tblW w:type="auto" w:w="0"/>
        <w:tblLook w:firstColumn="1" w:firstRow="1" w:lastColumn="0" w:lastRow="0" w:noHBand="0" w:noVBand="1" w:val="04A0"/>
      </w:tblPr>
      <w:tblGrid>
        <w:gridCol w:w="4561"/>
        <w:gridCol w:w="4561"/>
      </w:tblGrid>
      <w:tr>
        <w:tc>
          <w:tcPr>
            <w:tcW w:type="dxa" w:w="4032"/>
            <w:shd w:val="clear" w:color="auto" w:fill="1F497D"/>
          </w:tcPr>
          <w:p>
            <w:pPr>
              <w:jc w:val="center"/>
            </w:pPr>
            <w:r>
              <w:rPr>
                <w:rFonts w:ascii="Calibri" w:hAnsi="Calibri"/>
                <w:b/>
                <w:i w:val="0"/>
                <w:color w:val="FFFFFF"/>
                <w:sz w:val="20"/>
              </w:rPr>
              <w:t>Directorio/Archivo</w:t>
            </w:r>
          </w:p>
        </w:tc>
        <w:tc>
          <w:tcPr>
            <w:tcW w:type="dxa" w:w="4896"/>
            <w:shd w:val="clear" w:color="auto" w:fill="1F497D"/>
          </w:tcPr>
          <w:p>
            <w:pPr>
              <w:jc w:val="center"/>
            </w:pPr>
            <w:r>
              <w:rPr>
                <w:rFonts w:ascii="Calibri" w:hAnsi="Calibri"/>
                <w:b/>
                <w:i w:val="0"/>
                <w:color w:val="FFFFFF"/>
                <w:sz w:val="20"/>
              </w:rPr>
              <w:t>Contenido</w:t>
            </w:r>
          </w:p>
        </w:tc>
      </w:tr>
      <w:tr>
        <w:tc>
          <w:tcPr>
            <w:tcW w:type="dxa" w:w="4032"/>
          </w:tcPr>
          <w:p>
            <w:pPr>
              <w:jc w:val="center"/>
            </w:pPr>
            <w:r>
              <w:rPr>
                <w:rFonts w:ascii="Calibri" w:hAnsi="Calibri"/>
                <w:b w:val="0"/>
                <w:i w:val="0"/>
                <w:sz w:val="20"/>
              </w:rPr>
              <w:t>notebooks/01-08</w:t>
            </w:r>
          </w:p>
        </w:tc>
        <w:tc>
          <w:tcPr>
            <w:tcW w:type="dxa" w:w="4896"/>
          </w:tcPr>
          <w:p>
            <w:pPr>
              <w:jc w:val="center"/>
            </w:pPr>
            <w:r>
              <w:rPr>
                <w:rFonts w:ascii="Calibri" w:hAnsi="Calibri"/>
                <w:b w:val="0"/>
                <w:i w:val="0"/>
                <w:sz w:val="20"/>
              </w:rPr>
              <w:t>EDA y preparacion de datos (Entrega 1)</w:t>
            </w:r>
          </w:p>
        </w:tc>
      </w:tr>
      <w:tr>
        <w:tc>
          <w:tcPr>
            <w:tcW w:type="dxa" w:w="4032"/>
          </w:tcPr>
          <w:p>
            <w:pPr>
              <w:jc w:val="center"/>
            </w:pPr>
            <w:r>
              <w:rPr>
                <w:rFonts w:ascii="Calibri" w:hAnsi="Calibri"/>
                <w:b w:val="0"/>
                <w:i w:val="0"/>
                <w:sz w:val="20"/>
              </w:rPr>
              <w:t>notebooks/09_Analisis_Features.ipynb</w:t>
            </w:r>
          </w:p>
        </w:tc>
        <w:tc>
          <w:tcPr>
            <w:tcW w:type="dxa" w:w="4896"/>
          </w:tcPr>
          <w:p>
            <w:pPr>
              <w:jc w:val="center"/>
            </w:pPr>
            <w:r>
              <w:rPr>
                <w:rFonts w:ascii="Calibri" w:hAnsi="Calibri"/>
                <w:b w:val="0"/>
                <w:i w:val="0"/>
                <w:sz w:val="20"/>
              </w:rPr>
              <w:t>Feature engineering: 26 features, SIR, canal endemico</w:t>
            </w:r>
          </w:p>
        </w:tc>
      </w:tr>
      <w:tr>
        <w:tc>
          <w:tcPr>
            <w:tcW w:type="dxa" w:w="4032"/>
          </w:tcPr>
          <w:p>
            <w:pPr>
              <w:jc w:val="center"/>
            </w:pPr>
            <w:r>
              <w:rPr>
                <w:rFonts w:ascii="Calibri" w:hAnsi="Calibri"/>
                <w:b w:val="0"/>
                <w:i w:val="0"/>
                <w:sz w:val="20"/>
              </w:rPr>
              <w:t>notebooks/10_Modelo_XGBoost.ipynb</w:t>
            </w:r>
          </w:p>
        </w:tc>
        <w:tc>
          <w:tcPr>
            <w:tcW w:type="dxa" w:w="4896"/>
          </w:tcPr>
          <w:p>
            <w:pPr>
              <w:jc w:val="center"/>
            </w:pPr>
            <w:r>
              <w:rPr>
                <w:rFonts w:ascii="Calibri" w:hAnsi="Calibri"/>
                <w:b w:val="0"/>
                <w:i w:val="0"/>
                <w:sz w:val="20"/>
              </w:rPr>
              <w:t>Entrenamiento XGBoost + MLflow</w:t>
            </w:r>
          </w:p>
        </w:tc>
      </w:tr>
      <w:tr>
        <w:tc>
          <w:tcPr>
            <w:tcW w:type="dxa" w:w="4032"/>
          </w:tcPr>
          <w:p>
            <w:pPr>
              <w:jc w:val="center"/>
            </w:pPr>
            <w:r>
              <w:rPr>
                <w:rFonts w:ascii="Calibri" w:hAnsi="Calibri"/>
                <w:b w:val="0"/>
                <w:i w:val="0"/>
                <w:sz w:val="20"/>
              </w:rPr>
              <w:t>api/</w:t>
            </w:r>
          </w:p>
        </w:tc>
        <w:tc>
          <w:tcPr>
            <w:tcW w:type="dxa" w:w="4896"/>
          </w:tcPr>
          <w:p>
            <w:pPr>
              <w:jc w:val="center"/>
            </w:pPr>
            <w:r>
              <w:rPr>
                <w:rFonts w:ascii="Calibri" w:hAnsi="Calibri"/>
                <w:b w:val="0"/>
                <w:i w:val="0"/>
                <w:sz w:val="20"/>
              </w:rPr>
              <w:t>FastAPI: main.py, routes.py, schemas.py, model_loader.py</w:t>
            </w:r>
          </w:p>
        </w:tc>
      </w:tr>
      <w:tr>
        <w:tc>
          <w:tcPr>
            <w:tcW w:type="dxa" w:w="4032"/>
          </w:tcPr>
          <w:p>
            <w:pPr>
              <w:jc w:val="center"/>
            </w:pPr>
            <w:r>
              <w:rPr>
                <w:rFonts w:ascii="Calibri" w:hAnsi="Calibri"/>
                <w:b w:val="0"/>
                <w:i w:val="0"/>
                <w:sz w:val="20"/>
              </w:rPr>
              <w:t>dashboard/app.py</w:t>
            </w:r>
          </w:p>
        </w:tc>
        <w:tc>
          <w:tcPr>
            <w:tcW w:type="dxa" w:w="4896"/>
          </w:tcPr>
          <w:p>
            <w:pPr>
              <w:jc w:val="center"/>
            </w:pPr>
            <w:r>
              <w:rPr>
                <w:rFonts w:ascii="Calibri" w:hAnsi="Calibri"/>
                <w:b w:val="0"/>
                <w:i w:val="0"/>
                <w:sz w:val="20"/>
              </w:rPr>
              <w:t>Streamlit: prediccion individual, batch y documentacion</w:t>
            </w:r>
          </w:p>
        </w:tc>
      </w:tr>
      <w:tr>
        <w:tc>
          <w:tcPr>
            <w:tcW w:type="dxa" w:w="4032"/>
          </w:tcPr>
          <w:p>
            <w:pPr>
              <w:jc w:val="center"/>
            </w:pPr>
            <w:r>
              <w:rPr>
                <w:rFonts w:ascii="Calibri" w:hAnsi="Calibri"/>
                <w:b w:val="0"/>
                <w:i w:val="0"/>
                <w:sz w:val="20"/>
              </w:rPr>
              <w:t>docker/</w:t>
            </w:r>
          </w:p>
        </w:tc>
        <w:tc>
          <w:tcPr>
            <w:tcW w:type="dxa" w:w="4896"/>
          </w:tcPr>
          <w:p>
            <w:pPr>
              <w:jc w:val="center"/>
            </w:pPr>
            <w:r>
              <w:rPr>
                <w:rFonts w:ascii="Calibri" w:hAnsi="Calibri"/>
                <w:b w:val="0"/>
                <w:i w:val="0"/>
                <w:sz w:val="20"/>
              </w:rPr>
              <w:t>Dockerfile.api, Dockerfile.dashboard, docker-compose.yml</w:t>
            </w:r>
          </w:p>
        </w:tc>
      </w:tr>
      <w:tr>
        <w:tc>
          <w:tcPr>
            <w:tcW w:type="dxa" w:w="4032"/>
          </w:tcPr>
          <w:p>
            <w:pPr>
              <w:jc w:val="center"/>
            </w:pPr>
            <w:r>
              <w:rPr>
                <w:rFonts w:ascii="Calibri" w:hAnsi="Calibri"/>
                <w:b w:val="0"/>
                <w:i w:val="0"/>
                <w:sz w:val="20"/>
              </w:rPr>
              <w:t>data/processed/dengue_features_modelado.csv</w:t>
            </w:r>
          </w:p>
        </w:tc>
        <w:tc>
          <w:tcPr>
            <w:tcW w:type="dxa" w:w="4896"/>
          </w:tcPr>
          <w:p>
            <w:pPr>
              <w:jc w:val="center"/>
            </w:pPr>
            <w:r>
              <w:rPr>
                <w:rFonts w:ascii="Calibri" w:hAnsi="Calibri"/>
                <w:b w:val="0"/>
                <w:i w:val="0"/>
                <w:sz w:val="20"/>
              </w:rPr>
              <w:t>247,766 filas x 30 columnas (5 ids + target + 26 features)</w:t>
            </w:r>
          </w:p>
        </w:tc>
      </w:tr>
      <w:tr>
        <w:tc>
          <w:tcPr>
            <w:tcW w:type="dxa" w:w="4032"/>
          </w:tcPr>
          <w:p>
            <w:pPr>
              <w:jc w:val="center"/>
            </w:pPr>
            <w:r>
              <w:rPr>
                <w:rFonts w:ascii="Calibri" w:hAnsi="Calibri"/>
                <w:b w:val="0"/>
                <w:i w:val="0"/>
                <w:sz w:val="20"/>
              </w:rPr>
              <w:t>model/xgb_model.pkl</w:t>
            </w:r>
          </w:p>
        </w:tc>
        <w:tc>
          <w:tcPr>
            <w:tcW w:type="dxa" w:w="4896"/>
          </w:tcPr>
          <w:p>
            <w:pPr>
              <w:jc w:val="center"/>
            </w:pPr>
            <w:r>
              <w:rPr>
                <w:rFonts w:ascii="Calibri" w:hAnsi="Calibri"/>
                <w:b w:val="0"/>
                <w:i w:val="0"/>
                <w:sz w:val="20"/>
              </w:rPr>
              <w:t>Modelo serializado (generado por notebook 10)</w:t>
            </w:r>
          </w:p>
        </w:tc>
      </w:tr>
      <w:tr>
        <w:tc>
          <w:tcPr>
            <w:tcW w:type="dxa" w:w="4032"/>
          </w:tcPr>
          <w:p>
            <w:pPr>
              <w:jc w:val="center"/>
            </w:pPr>
            <w:r>
              <w:rPr>
                <w:rFonts w:ascii="Calibri" w:hAnsi="Calibri"/>
                <w:b w:val="0"/>
                <w:i w:val="0"/>
                <w:sz w:val="20"/>
              </w:rPr>
              <w:t>model/model_meta.json</w:t>
            </w:r>
          </w:p>
        </w:tc>
        <w:tc>
          <w:tcPr>
            <w:tcW w:type="dxa" w:w="4896"/>
          </w:tcPr>
          <w:p>
            <w:pPr>
              <w:jc w:val="center"/>
            </w:pPr>
            <w:r>
              <w:rPr>
                <w:rFonts w:ascii="Calibri" w:hAnsi="Calibri"/>
                <w:b w:val="0"/>
                <w:i w:val="0"/>
                <w:sz w:val="20"/>
              </w:rPr>
              <w:t>Umbral optimo, AUROC y lista de features</w:t>
            </w:r>
          </w:p>
        </w:tc>
      </w:tr>
      <w:tr>
        <w:tc>
          <w:tcPr>
            <w:tcW w:type="dxa" w:w="4032"/>
          </w:tcPr>
          <w:p>
            <w:pPr>
              <w:jc w:val="center"/>
            </w:pPr>
            <w:r>
              <w:rPr>
                <w:rFonts w:ascii="Calibri" w:hAnsi="Calibri"/>
                <w:b w:val="0"/>
                <w:i w:val="0"/>
                <w:sz w:val="20"/>
              </w:rPr>
              <w:t>docs/setup_ec2_mlflow.md</w:t>
            </w:r>
          </w:p>
        </w:tc>
        <w:tc>
          <w:tcPr>
            <w:tcW w:type="dxa" w:w="4896"/>
          </w:tcPr>
          <w:p>
            <w:pPr>
              <w:jc w:val="center"/>
            </w:pPr>
            <w:r>
              <w:rPr>
                <w:rFonts w:ascii="Calibri" w:hAnsi="Calibri"/>
                <w:b w:val="0"/>
                <w:i w:val="0"/>
                <w:sz w:val="20"/>
              </w:rPr>
              <w:t>Instrucciones de configuracion MLflow en EC2</w:t>
            </w:r>
          </w:p>
        </w:tc>
      </w:tr>
      <w:tr>
        <w:tc>
          <w:tcPr>
            <w:tcW w:type="dxa" w:w="4032"/>
          </w:tcPr>
          <w:p>
            <w:pPr>
              <w:jc w:val="center"/>
            </w:pPr>
            <w:r>
              <w:rPr>
                <w:rFonts w:ascii="Calibri" w:hAnsi="Calibri"/>
                <w:b w:val="0"/>
                <w:i w:val="0"/>
                <w:sz w:val="20"/>
              </w:rPr>
              <w:t>requirements.txt</w:t>
            </w:r>
          </w:p>
        </w:tc>
        <w:tc>
          <w:tcPr>
            <w:tcW w:type="dxa" w:w="4896"/>
          </w:tcPr>
          <w:p>
            <w:pPr>
              <w:jc w:val="center"/>
            </w:pPr>
            <w:r>
              <w:rPr>
                <w:rFonts w:ascii="Calibri" w:hAnsi="Calibri"/>
                <w:b w:val="0"/>
                <w:i w:val="0"/>
                <w:sz w:val="20"/>
              </w:rPr>
              <w:t>Dependencias del proyecto</w:t>
            </w:r>
          </w:p>
        </w:tc>
      </w:tr>
    </w:tbl>
    <w:p/>
    <w:p>
      <w:pPr>
        <w:pStyle w:val="Heading1"/>
        <w:jc w:val="left"/>
      </w:pPr>
      <w:r>
        <w:rPr>
          <w:rFonts w:ascii="Calibri" w:hAnsi="Calibri"/>
          <w:b/>
          <w:color w:val="1F497D"/>
          <w:sz w:val="28"/>
        </w:rPr>
        <w:t>7. Reporte de trabajo en equipo</w:t>
      </w:r>
    </w:p>
    <w:tbl>
      <w:tblPr>
        <w:tblStyle w:val="TableGrid"/>
        <w:tblW w:type="auto" w:w="0"/>
        <w:tblLook w:firstColumn="1" w:firstRow="1" w:lastColumn="0" w:lastRow="0" w:noHBand="0" w:noVBand="1" w:val="04A0"/>
      </w:tblPr>
      <w:tblGrid>
        <w:gridCol w:w="4561"/>
        <w:gridCol w:w="4561"/>
      </w:tblGrid>
      <w:tr>
        <w:tc>
          <w:tcPr>
            <w:tcW w:type="dxa" w:w="5040"/>
            <w:shd w:val="clear" w:color="auto" w:fill="1F497D"/>
          </w:tcPr>
          <w:p>
            <w:pPr>
              <w:jc w:val="center"/>
            </w:pPr>
            <w:r>
              <w:rPr>
                <w:rFonts w:ascii="Calibri" w:hAnsi="Calibri"/>
                <w:b/>
                <w:i w:val="0"/>
                <w:color w:val="FFFFFF"/>
                <w:sz w:val="20"/>
              </w:rPr>
              <w:t>Actividad</w:t>
            </w:r>
          </w:p>
        </w:tc>
        <w:tc>
          <w:tcPr>
            <w:tcW w:type="dxa" w:w="3888"/>
            <w:shd w:val="clear" w:color="auto" w:fill="1F497D"/>
          </w:tcPr>
          <w:p>
            <w:pPr>
              <w:jc w:val="center"/>
            </w:pPr>
            <w:r>
              <w:rPr>
                <w:rFonts w:ascii="Calibri" w:hAnsi="Calibri"/>
                <w:b/>
                <w:i w:val="0"/>
                <w:color w:val="FFFFFF"/>
                <w:sz w:val="20"/>
              </w:rPr>
              <w:t>Desarrollado por</w:t>
            </w:r>
          </w:p>
        </w:tc>
      </w:tr>
      <w:tr>
        <w:tc>
          <w:tcPr>
            <w:tcW w:type="dxa" w:w="5040"/>
          </w:tcPr>
          <w:p>
            <w:pPr>
              <w:jc w:val="center"/>
            </w:pPr>
            <w:r>
              <w:rPr>
                <w:rFonts w:ascii="Calibri" w:hAnsi="Calibri"/>
                <w:b w:val="0"/>
                <w:i w:val="0"/>
                <w:sz w:val="20"/>
              </w:rPr>
              <w:t>Problema, contexto y alcance</w:t>
            </w:r>
          </w:p>
        </w:tc>
        <w:tc>
          <w:tcPr>
            <w:tcW w:type="dxa" w:w="3888"/>
          </w:tcPr>
          <w:p>
            <w:pPr>
              <w:jc w:val="center"/>
            </w:pPr>
            <w:r>
              <w:rPr>
                <w:rFonts w:ascii="Calibri" w:hAnsi="Calibri"/>
                <w:b w:val="0"/>
                <w:i w:val="0"/>
                <w:sz w:val="20"/>
              </w:rPr>
              <w:t>Todos</w:t>
            </w:r>
          </w:p>
        </w:tc>
      </w:tr>
      <w:tr>
        <w:tc>
          <w:tcPr>
            <w:tcW w:type="dxa" w:w="5040"/>
          </w:tcPr>
          <w:p>
            <w:pPr>
              <w:jc w:val="center"/>
            </w:pPr>
            <w:r>
              <w:rPr>
                <w:rFonts w:ascii="Calibri" w:hAnsi="Calibri"/>
                <w:b w:val="0"/>
                <w:i w:val="0"/>
                <w:sz w:val="20"/>
              </w:rPr>
              <w:t>Feature engineering: rezagos, canal endemico, SIR (notebook 09)</w:t>
            </w:r>
          </w:p>
        </w:tc>
        <w:tc>
          <w:tcPr>
            <w:tcW w:type="dxa" w:w="3888"/>
          </w:tcPr>
          <w:p>
            <w:pPr>
              <w:jc w:val="center"/>
            </w:pPr>
            <w:r>
              <w:rPr>
                <w:rFonts w:ascii="Calibri" w:hAnsi="Calibri"/>
                <w:b w:val="0"/>
                <w:i w:val="0"/>
                <w:sz w:val="20"/>
              </w:rPr>
              <w:t>Nicolas Lara</w:t>
            </w:r>
          </w:p>
        </w:tc>
      </w:tr>
      <w:tr>
        <w:tc>
          <w:tcPr>
            <w:tcW w:type="dxa" w:w="5040"/>
          </w:tcPr>
          <w:p>
            <w:pPr>
              <w:jc w:val="center"/>
            </w:pPr>
            <w:r>
              <w:rPr>
                <w:rFonts w:ascii="Calibri" w:hAnsi="Calibri"/>
                <w:b w:val="0"/>
                <w:i w:val="0"/>
                <w:sz w:val="20"/>
              </w:rPr>
              <w:t>Modelo XGBoost + experimentos MLflow (notebook 10)</w:t>
            </w:r>
          </w:p>
        </w:tc>
        <w:tc>
          <w:tcPr>
            <w:tcW w:type="dxa" w:w="3888"/>
          </w:tcPr>
          <w:p>
            <w:pPr>
              <w:jc w:val="center"/>
            </w:pPr>
            <w:r>
              <w:rPr>
                <w:rFonts w:ascii="Calibri" w:hAnsi="Calibri"/>
                <w:b w:val="0"/>
                <w:i w:val="0"/>
                <w:sz w:val="20"/>
              </w:rPr>
              <w:t>Nicolas Lara</w:t>
            </w:r>
          </w:p>
        </w:tc>
      </w:tr>
      <w:tr>
        <w:tc>
          <w:tcPr>
            <w:tcW w:type="dxa" w:w="5040"/>
          </w:tcPr>
          <w:p>
            <w:pPr>
              <w:jc w:val="center"/>
            </w:pPr>
            <w:r>
              <w:rPr>
                <w:rFonts w:ascii="Calibri" w:hAnsi="Calibri"/>
                <w:b w:val="0"/>
                <w:i w:val="0"/>
                <w:sz w:val="20"/>
              </w:rPr>
              <w:t>API REST FastAPI (/predict, /predict-batch)</w:t>
            </w:r>
          </w:p>
        </w:tc>
        <w:tc>
          <w:tcPr>
            <w:tcW w:type="dxa" w:w="3888"/>
          </w:tcPr>
          <w:p>
            <w:pPr>
              <w:jc w:val="center"/>
            </w:pPr>
            <w:r>
              <w:rPr>
                <w:rFonts w:ascii="Calibri" w:hAnsi="Calibri"/>
                <w:b w:val="0"/>
                <w:i w:val="0"/>
                <w:sz w:val="20"/>
              </w:rPr>
              <w:t>Nicolas Lara</w:t>
            </w:r>
          </w:p>
        </w:tc>
      </w:tr>
      <w:tr>
        <w:tc>
          <w:tcPr>
            <w:tcW w:type="dxa" w:w="5040"/>
          </w:tcPr>
          <w:p>
            <w:pPr>
              <w:jc w:val="center"/>
            </w:pPr>
            <w:r>
              <w:rPr>
                <w:rFonts w:ascii="Calibri" w:hAnsi="Calibri"/>
                <w:b w:val="0"/>
                <w:i w:val="0"/>
                <w:sz w:val="20"/>
              </w:rPr>
              <w:t>Dashboard Streamlit + integracion API</w:t>
            </w:r>
          </w:p>
        </w:tc>
        <w:tc>
          <w:tcPr>
            <w:tcW w:type="dxa" w:w="3888"/>
          </w:tcPr>
          <w:p>
            <w:pPr>
              <w:jc w:val="center"/>
            </w:pPr>
            <w:r>
              <w:rPr>
                <w:rFonts w:ascii="Calibri" w:hAnsi="Calibri"/>
                <w:b w:val="0"/>
                <w:i w:val="0"/>
                <w:sz w:val="20"/>
              </w:rPr>
              <w:t>Nicolas Lara</w:t>
            </w:r>
          </w:p>
        </w:tc>
      </w:tr>
      <w:tr>
        <w:tc>
          <w:tcPr>
            <w:tcW w:type="dxa" w:w="5040"/>
          </w:tcPr>
          <w:p>
            <w:pPr>
              <w:jc w:val="center"/>
            </w:pPr>
            <w:r>
              <w:rPr>
                <w:rFonts w:ascii="Calibri" w:hAnsi="Calibri"/>
                <w:b w:val="0"/>
                <w:i w:val="0"/>
                <w:sz w:val="20"/>
              </w:rPr>
              <w:t>Configuracion EC2 y servidor MLflow</w:t>
            </w:r>
          </w:p>
        </w:tc>
        <w:tc>
          <w:tcPr>
            <w:tcW w:type="dxa" w:w="3888"/>
          </w:tcPr>
          <w:p>
            <w:pPr>
              <w:jc w:val="center"/>
            </w:pPr>
            <w:r>
              <w:rPr>
                <w:rFonts w:ascii="Calibri" w:hAnsi="Calibri"/>
                <w:b w:val="0"/>
                <w:i w:val="0"/>
                <w:sz w:val="20"/>
              </w:rPr>
              <w:t>Sergio Ballesteros / Mauricio Rodriguez</w:t>
            </w:r>
          </w:p>
        </w:tc>
      </w:tr>
      <w:tr>
        <w:tc>
          <w:tcPr>
            <w:tcW w:type="dxa" w:w="5040"/>
          </w:tcPr>
          <w:p>
            <w:pPr>
              <w:jc w:val="center"/>
            </w:pPr>
            <w:r>
              <w:rPr>
                <w:rFonts w:ascii="Calibri" w:hAnsi="Calibri"/>
                <w:b w:val="0"/>
                <w:i w:val="0"/>
                <w:sz w:val="20"/>
              </w:rPr>
              <w:t>Docker (Dockerfile.api, dashboard, compose)</w:t>
            </w:r>
          </w:p>
        </w:tc>
        <w:tc>
          <w:tcPr>
            <w:tcW w:type="dxa" w:w="3888"/>
          </w:tcPr>
          <w:p>
            <w:pPr>
              <w:jc w:val="center"/>
            </w:pPr>
            <w:r>
              <w:rPr>
                <w:rFonts w:ascii="Calibri" w:hAnsi="Calibri"/>
                <w:b w:val="0"/>
                <w:i w:val="0"/>
                <w:sz w:val="20"/>
              </w:rPr>
              <w:t>Nicolas Lara</w:t>
            </w:r>
          </w:p>
        </w:tc>
      </w:tr>
      <w:tr>
        <w:tc>
          <w:tcPr>
            <w:tcW w:type="dxa" w:w="5040"/>
          </w:tcPr>
          <w:p>
            <w:pPr>
              <w:jc w:val="center"/>
            </w:pPr>
            <w:r>
              <w:rPr>
                <w:rFonts w:ascii="Calibri" w:hAnsi="Calibri"/>
                <w:b w:val="0"/>
                <w:i w:val="0"/>
                <w:sz w:val="20"/>
              </w:rPr>
              <w:t>Documentacion y reporte</w:t>
            </w:r>
          </w:p>
        </w:tc>
        <w:tc>
          <w:tcPr>
            <w:tcW w:type="dxa" w:w="3888"/>
          </w:tcPr>
          <w:p>
            <w:pPr>
              <w:jc w:val="center"/>
            </w:pPr>
            <w:r>
              <w:rPr>
                <w:rFonts w:ascii="Calibri" w:hAnsi="Calibri"/>
                <w:b w:val="0"/>
                <w:i w:val="0"/>
                <w:sz w:val="20"/>
              </w:rPr>
              <w:t>Todos</w:t>
            </w:r>
          </w:p>
        </w:tc>
      </w:tr>
    </w:tbl>
    <w:p/>
    <w:p>
      <w:pPr>
        <w:spacing w:after="120"/>
        <w:jc w:val="both"/>
      </w:pPr>
      <w:r>
        <w:rPr>
          <w:rFonts w:ascii="Calibri" w:hAnsi="Calibri"/>
          <w:b w:val="0"/>
          <w:i w:val="0"/>
          <w:sz w:val="22"/>
        </w:rPr>
        <w:t>Historial de commits en: https://github.com/j-mauro-r/microproyecto-tema3/commits/main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