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Manual de Usuario - Tablero SAT-Dengue</w:t>
      </w:r>
    </w:p>
    <w:p>
      <w:pPr>
        <w:jc w:val="center"/>
      </w:pPr>
      <w:r>
        <w:t>Sistema de Alerta Temprana de Dengue · Bucaramanga y Cali</w:t>
        <w:br/>
        <w:t>Grupo 11 - MAIA PDS · Universidad de los Andes · 2026</w:t>
      </w:r>
    </w:p>
    <w:p/>
    <w:p>
      <w:pPr>
        <w:pStyle w:val="Heading1"/>
      </w:pPr>
      <w:r>
        <w:t>1. Descripción general</w:t>
      </w:r>
    </w:p>
    <w:p>
      <w:r>
        <w:t>El tablero SAT-Dengue permite a funcionarios de salud pública monitorear el riesgo mensual de brote de dengue en Bucaramanga y Cali. Combina datos históricos del SIVIGILA (2007–2025) con un modelo de aprendizaje automático (XGBoost) que estima la probabilidad de que el próximo mes supere el umbral de brote según el canal endémico.</w:t>
      </w:r>
    </w:p>
    <w:p>
      <w:pPr>
        <w:pStyle w:val="Heading2"/>
      </w:pPr>
      <w:r>
        <w:t>¿Qué muestra el tablero?</w:t>
      </w:r>
    </w:p>
    <w:p>
      <w:pPr>
        <w:pStyle w:val="ListBullet"/>
      </w:pPr>
      <w:r>
        <w:t>El historial de casos de dengue clásico por mes para cada ciudad.</w:t>
      </w:r>
    </w:p>
    <w:p>
      <w:pPr>
        <w:pStyle w:val="ListBullet"/>
      </w:pPr>
      <w:r>
        <w:t>Una señal de alerta basada en el canal endémico (franjas de riesgo epidemiológico).</w:t>
      </w:r>
    </w:p>
    <w:p>
      <w:pPr>
        <w:pStyle w:val="ListBullet"/>
      </w:pPr>
      <w:r>
        <w:t>La probabilidad estimada de brote para el próximo mes.</w:t>
      </w:r>
    </w:p>
    <w:p>
      <w:pPr>
        <w:pStyle w:val="Heading2"/>
      </w:pPr>
      <w:r>
        <w:t>¿Qué NO hace el tablero?</w:t>
      </w:r>
    </w:p>
    <w:p>
      <w:pPr>
        <w:pStyle w:val="ListBullet"/>
      </w:pPr>
      <w:r>
        <w:t>No reemplaza el criterio clínico ni el reporte oficial SIVIGILA.</w:t>
      </w:r>
    </w:p>
    <w:p>
      <w:pPr>
        <w:pStyle w:val="ListBullet"/>
      </w:pPr>
      <w:r>
        <w:t>No predice casos individuales ni brotes en municipios distintos a Bucaramanga y Cali.</w:t>
      </w:r>
    </w:p>
    <w:p>
      <w:pPr>
        <w:pStyle w:val="Heading1"/>
      </w:pPr>
      <w:r>
        <w:t>2. Interfaz principal</w:t>
      </w:r>
    </w:p>
    <w:p>
      <w:r>
        <w:t>Al abrir el tablero verá una barra superior con el nombre SAT-Dengue · Bucaramanga &amp; Cali y tres pestañas: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rPr>
              <w:t>Pestaña</w:t>
            </w:r>
          </w:p>
        </w:tc>
        <w:tc>
          <w:tcPr>
            <w:tcW w:type="dxa" w:w="4320"/>
            <w:shd w:val="clear" w:color="auto" w:fill="D9E1F2"/>
          </w:tcPr>
          <w:p>
            <w:r>
              <w:rPr>
                <w:b/>
              </w:rPr>
              <w:t>Contenido</w:t>
            </w:r>
          </w:p>
        </w:tc>
      </w:tr>
      <w:tr>
        <w:tc>
          <w:tcPr>
            <w:tcW w:type="dxa" w:w="4320"/>
          </w:tcPr>
          <w:p>
            <w:r>
              <w:t>Bucaramanga</w:t>
            </w:r>
          </w:p>
        </w:tc>
        <w:tc>
          <w:tcPr>
            <w:tcW w:type="dxa" w:w="4320"/>
          </w:tcPr>
          <w:p>
            <w:r>
              <w:t>Análisis y predicción para Bucaramanga (divipola 68001)</w:t>
            </w:r>
          </w:p>
        </w:tc>
      </w:tr>
      <w:tr>
        <w:tc>
          <w:tcPr>
            <w:tcW w:type="dxa" w:w="4320"/>
          </w:tcPr>
          <w:p>
            <w:r>
              <w:t>Cali</w:t>
            </w:r>
          </w:p>
        </w:tc>
        <w:tc>
          <w:tcPr>
            <w:tcW w:type="dxa" w:w="4320"/>
          </w:tcPr>
          <w:p>
            <w:r>
              <w:t>Análisis y predicción para Cali (divipola 76001)</w:t>
            </w:r>
          </w:p>
        </w:tc>
      </w:tr>
      <w:tr>
        <w:tc>
          <w:tcPr>
            <w:tcW w:type="dxa" w:w="4320"/>
          </w:tcPr>
          <w:p>
            <w:r>
              <w:t>Comparación</w:t>
            </w:r>
          </w:p>
        </w:tc>
        <w:tc>
          <w:tcPr>
            <w:tcW w:type="dxa" w:w="4320"/>
          </w:tcPr>
          <w:p>
            <w:r>
              <w:t>Gráfico conjunto con ambas ciudades en la misma escala</w:t>
            </w:r>
          </w:p>
        </w:tc>
      </w:tr>
    </w:tbl>
    <w:p>
      <w:pPr>
        <w:pStyle w:val="Heading1"/>
      </w:pPr>
      <w:r>
        <w:t>3. Indicadores clave (KPIs)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rPr>
              <w:t>Indicador</w:t>
            </w:r>
          </w:p>
        </w:tc>
        <w:tc>
          <w:tcPr>
            <w:tcW w:type="dxa" w:w="4320"/>
            <w:shd w:val="clear" w:color="auto" w:fill="D9E1F2"/>
          </w:tcPr>
          <w:p>
            <w:r>
              <w:rPr>
                <w:b/>
              </w:rPr>
              <w:t>Significado</w:t>
            </w:r>
          </w:p>
        </w:tc>
      </w:tr>
      <w:tr>
        <w:tc>
          <w:tcPr>
            <w:tcW w:type="dxa" w:w="4320"/>
          </w:tcPr>
          <w:p>
            <w:r>
              <w:t>Meses totales</w:t>
            </w:r>
          </w:p>
        </w:tc>
        <w:tc>
          <w:tcPr>
            <w:tcW w:type="dxa" w:w="4320"/>
          </w:tcPr>
          <w:p>
            <w:r>
              <w:t>Número total de meses con datos disponibles</w:t>
            </w:r>
          </w:p>
        </w:tc>
      </w:tr>
      <w:tr>
        <w:tc>
          <w:tcPr>
            <w:tcW w:type="dxa" w:w="4320"/>
          </w:tcPr>
          <w:p>
            <w:r>
              <w:t>Meses en brote</w:t>
            </w:r>
          </w:p>
        </w:tc>
        <w:tc>
          <w:tcPr>
            <w:tcW w:type="dxa" w:w="4320"/>
          </w:tcPr>
          <w:p>
            <w:r>
              <w:t>Meses históricos con casos &gt; percentil 75 del canal endémico</w:t>
            </w:r>
          </w:p>
        </w:tc>
      </w:tr>
      <w:tr>
        <w:tc>
          <w:tcPr>
            <w:tcW w:type="dxa" w:w="4320"/>
          </w:tcPr>
          <w:p>
            <w:r>
              <w:t>Inicios de brote</w:t>
            </w:r>
          </w:p>
        </w:tc>
        <w:tc>
          <w:tcPr>
            <w:tcW w:type="dxa" w:w="4320"/>
          </w:tcPr>
          <w:p>
            <w:r>
              <w:t>Número de episodios distintos de brote iniciados</w:t>
            </w:r>
          </w:p>
        </w:tc>
      </w:tr>
      <w:tr>
        <w:tc>
          <w:tcPr>
            <w:tcW w:type="dxa" w:w="4320"/>
          </w:tcPr>
          <w:p>
            <w:r>
              <w:t>Pico máximo/mes</w:t>
            </w:r>
          </w:p>
        </w:tc>
        <w:tc>
          <w:tcPr>
            <w:tcW w:type="dxa" w:w="4320"/>
          </w:tcPr>
          <w:p>
            <w:r>
              <w:t>Mayor número de casos en un solo mes en el período histórico</w:t>
            </w:r>
          </w:p>
        </w:tc>
      </w:tr>
    </w:tbl>
    <w:p>
      <w:pPr>
        <w:pStyle w:val="Heading1"/>
      </w:pPr>
      <w:r>
        <w:t>4. Gráfico epidémico</w:t>
      </w:r>
    </w:p>
    <w:p>
      <w:pPr>
        <w:pStyle w:val="Heading2"/>
      </w:pPr>
      <w:r>
        <w:t>Barras de colores - Casos de dengue clásico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Color</w:t>
            </w:r>
          </w:p>
        </w:tc>
        <w:tc>
          <w:tcPr>
            <w:tcW w:type="dxa" w:w="2880"/>
            <w:shd w:val="clear" w:color="auto" w:fill="D9E1F2"/>
          </w:tcPr>
          <w:p>
            <w:r>
              <w:rPr>
                <w:b/>
              </w:rPr>
              <w:t>Zona</w:t>
            </w:r>
          </w:p>
        </w:tc>
        <w:tc>
          <w:tcPr>
            <w:tcW w:type="dxa" w:w="2880"/>
            <w:shd w:val="clear" w:color="auto" w:fill="D9E1F2"/>
          </w:tcPr>
          <w:p>
            <w:r>
              <w:rPr>
                <w:b/>
              </w:rPr>
              <w:t>Criterio</w:t>
            </w:r>
          </w:p>
        </w:tc>
      </w:tr>
      <w:tr>
        <w:tc>
          <w:tcPr>
            <w:tcW w:type="dxa" w:w="2880"/>
          </w:tcPr>
          <w:p>
            <w:r>
              <w:t>Verde</w:t>
            </w:r>
          </w:p>
        </w:tc>
        <w:tc>
          <w:tcPr>
            <w:tcW w:type="dxa" w:w="2880"/>
          </w:tcPr>
          <w:p>
            <w:r>
              <w:t>Normal</w:t>
            </w:r>
          </w:p>
        </w:tc>
        <w:tc>
          <w:tcPr>
            <w:tcW w:type="dxa" w:w="2880"/>
          </w:tcPr>
          <w:p>
            <w:r>
              <w:t>Casos por debajo del percentil 25 histórico</w:t>
            </w:r>
          </w:p>
        </w:tc>
      </w:tr>
      <w:tr>
        <w:tc>
          <w:tcPr>
            <w:tcW w:type="dxa" w:w="2880"/>
          </w:tcPr>
          <w:p>
            <w:r>
              <w:t>Amarillo</w:t>
            </w:r>
          </w:p>
        </w:tc>
        <w:tc>
          <w:tcPr>
            <w:tcW w:type="dxa" w:w="2880"/>
          </w:tcPr>
          <w:p>
            <w:r>
              <w:t>Alerta</w:t>
            </w:r>
          </w:p>
        </w:tc>
        <w:tc>
          <w:tcPr>
            <w:tcW w:type="dxa" w:w="2880"/>
          </w:tcPr>
          <w:p>
            <w:r>
              <w:t>Casos entre el percentil 25 y el percentil 75</w:t>
            </w:r>
          </w:p>
        </w:tc>
      </w:tr>
      <w:tr>
        <w:tc>
          <w:tcPr>
            <w:tcW w:type="dxa" w:w="2880"/>
          </w:tcPr>
          <w:p>
            <w:r>
              <w:t>Rojo</w:t>
            </w:r>
          </w:p>
        </w:tc>
        <w:tc>
          <w:tcPr>
            <w:tcW w:type="dxa" w:w="2880"/>
          </w:tcPr>
          <w:p>
            <w:r>
              <w:t>Exceso</w:t>
            </w:r>
          </w:p>
        </w:tc>
        <w:tc>
          <w:tcPr>
            <w:tcW w:type="dxa" w:w="2880"/>
          </w:tcPr>
          <w:p>
            <w:r>
              <w:t>Casos por encima del percentil 75 (brote)</w:t>
            </w:r>
          </w:p>
        </w:tc>
      </w:tr>
    </w:tbl>
    <w:p>
      <w:pPr>
        <w:pStyle w:val="Heading2"/>
      </w:pPr>
      <w:r>
        <w:t>Línea morada discontinua - Probabilidad de brote del modelo</w:t>
      </w:r>
    </w:p>
    <w:p>
      <w:r>
        <w:t>Muestra la probabilidad estimada (0–100 %) de que ese mes sea catalogado como brote. La línea punteada horizontal indica el umbral de decisión del modelo. Por encima del umbral el modelo clasifica el mes como probable brote; por debajo, como normal o en alerta. El gráfico tiene dos ejes Y: izquierdo para casos (barras) y derecho para probabilidad (línea).</w:t>
      </w:r>
    </w:p>
    <w:p>
      <w:pPr>
        <w:pStyle w:val="Heading1"/>
      </w:pPr>
      <w:r>
        <w:t>5. Tarjeta de predicción</w:t>
      </w:r>
    </w:p>
    <w:p>
      <w:pPr>
        <w:pStyle w:val="Heading2"/>
      </w:pPr>
      <w:r>
        <w:t>Gauge (velocímetro de riesgo)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rPr>
              <w:t>Color</w:t>
            </w:r>
          </w:p>
        </w:tc>
        <w:tc>
          <w:tcPr>
            <w:tcW w:type="dxa" w:w="2880"/>
            <w:shd w:val="clear" w:color="auto" w:fill="D9E1F2"/>
          </w:tcPr>
          <w:p>
            <w:r>
              <w:rPr>
                <w:b/>
              </w:rPr>
              <w:t>Zona</w:t>
            </w:r>
          </w:p>
        </w:tc>
        <w:tc>
          <w:tcPr>
            <w:tcW w:type="dxa" w:w="2880"/>
            <w:shd w:val="clear" w:color="auto" w:fill="D9E1F2"/>
          </w:tcPr>
          <w:p>
            <w:r>
              <w:rPr>
                <w:b/>
              </w:rPr>
              <w:t>Rango de probabilidad</w:t>
            </w:r>
          </w:p>
        </w:tc>
      </w:tr>
      <w:tr>
        <w:tc>
          <w:tcPr>
            <w:tcW w:type="dxa" w:w="2880"/>
          </w:tcPr>
          <w:p>
            <w:r>
              <w:t>Verde</w:t>
            </w:r>
          </w:p>
        </w:tc>
        <w:tc>
          <w:tcPr>
            <w:tcW w:type="dxa" w:w="2880"/>
          </w:tcPr>
          <w:p>
            <w:r>
              <w:t>Normal</w:t>
            </w:r>
          </w:p>
        </w:tc>
        <w:tc>
          <w:tcPr>
            <w:tcW w:type="dxa" w:w="2880"/>
          </w:tcPr>
          <w:p>
            <w:r>
              <w:t>Por debajo del umbral de decisión</w:t>
            </w:r>
          </w:p>
        </w:tc>
      </w:tr>
      <w:tr>
        <w:tc>
          <w:tcPr>
            <w:tcW w:type="dxa" w:w="2880"/>
          </w:tcPr>
          <w:p>
            <w:r>
              <w:t>Amarillo</w:t>
            </w:r>
          </w:p>
        </w:tc>
        <w:tc>
          <w:tcPr>
            <w:tcW w:type="dxa" w:w="2880"/>
          </w:tcPr>
          <w:p>
            <w:r>
              <w:t>Alerta</w:t>
            </w:r>
          </w:p>
        </w:tc>
        <w:tc>
          <w:tcPr>
            <w:tcW w:type="dxa" w:w="2880"/>
          </w:tcPr>
          <w:p>
            <w:r>
              <w:t>Entre el umbral y 75 %</w:t>
            </w:r>
          </w:p>
        </w:tc>
      </w:tr>
      <w:tr>
        <w:tc>
          <w:tcPr>
            <w:tcW w:type="dxa" w:w="2880"/>
          </w:tcPr>
          <w:p>
            <w:r>
              <w:t>Rojo</w:t>
            </w:r>
          </w:p>
        </w:tc>
        <w:tc>
          <w:tcPr>
            <w:tcW w:type="dxa" w:w="2880"/>
          </w:tcPr>
          <w:p>
            <w:r>
              <w:t>Exceso</w:t>
            </w:r>
          </w:p>
        </w:tc>
        <w:tc>
          <w:tcPr>
            <w:tcW w:type="dxa" w:w="2880"/>
          </w:tcPr>
          <w:p>
            <w:r>
              <w:t>Mayor al 75 %</w:t>
            </w:r>
          </w:p>
        </w:tc>
      </w:tr>
    </w:tbl>
    <w:p>
      <w:pPr>
        <w:pStyle w:val="Heading2"/>
      </w:pPr>
      <w:r>
        <w:t>Cómo interpretar la alerta</w:t>
      </w:r>
    </w:p>
    <w:p>
      <w:r>
        <w:rPr>
          <w:b/>
        </w:rPr>
        <w:t xml:space="preserve">Zona Normal (verde): </w:t>
      </w:r>
      <w:r>
        <w:t>Los indicadores sugieren que el próximo mes estará dentro de los niveles esperados. Se recomienda mantener la vigilancia rutinaria.</w:t>
      </w:r>
    </w:p>
    <w:p>
      <w:r>
        <w:rPr>
          <w:b/>
        </w:rPr>
        <w:t xml:space="preserve">Zona Alerta (amarillo): </w:t>
      </w:r>
      <w:r>
        <w:t>El modelo detecta condiciones que podrían favorecer un aumento de casos. Se recomienda reforzar la vigilancia entomológica y preparar acciones preventivas.</w:t>
      </w:r>
    </w:p>
    <w:p>
      <w:r>
        <w:rPr>
          <w:b/>
        </w:rPr>
        <w:t xml:space="preserve">Zona Exceso (rojo): </w:t>
      </w:r>
      <w:r>
        <w:t>Alta probabilidad de brote. Se recomienda activar protocolos de respuesta, intensificar el control vectorial y revisar la capacidad de atención en salud.</w:t>
      </w:r>
    </w:p>
    <w:p>
      <w:pPr>
        <w:pStyle w:val="Heading1"/>
      </w:pPr>
      <w:r>
        <w:t>6. Pestaña Comparación</w:t>
      </w:r>
    </w:p>
    <w:p>
      <w:r>
        <w:t>Muestra en un único gráfico las curvas de casos y probabilidad de brote de ambas ciudades. Líneas sólidas = casos; líneas discontinuas = probabilidad del modelo. Cada ciudad tiene un color propio para diferenciarse.</w:t>
      </w:r>
    </w:p>
    <w:p>
      <w:pPr>
        <w:pStyle w:val="Heading1"/>
      </w:pPr>
      <w:r>
        <w:t>7. Preguntas frecuentes</w:t>
      </w:r>
    </w:p>
    <w:p>
      <w:r>
        <w:rPr>
          <w:b/>
        </w:rPr>
        <w:t xml:space="preserve">¿Con qué frecuencia se actualizan los datos? </w:t>
      </w:r>
      <w:r>
        <w:t>Los datos se actualizan cuando el equipo técnico carga un nuevo archivo mensual. El tablero muestra siempre la información más reciente disponible.</w:t>
      </w:r>
    </w:p>
    <w:p>
      <w:r>
        <w:rPr>
          <w:b/>
        </w:rPr>
        <w:t xml:space="preserve">¿Por qué el modelo puede equivocarse? </w:t>
      </w:r>
      <w:r>
        <w:t>El modelo fue entrenado con datos históricos (2007–2022) y evaluado en 2023–2024. Su desempeño (AUROC 0.84 en validación) es bueno pero no perfecto. Situaciones no vistas en el entrenamiento pueden reducir su precisión.</w:t>
      </w:r>
    </w:p>
    <w:p>
      <w:r>
        <w:rPr>
          <w:b/>
        </w:rPr>
        <w:t xml:space="preserve">¿Qué significa AUROC? </w:t>
      </w:r>
      <w:r>
        <w:t>Es una medida de qué tan bien el modelo distingue meses de brote de meses normales. Un valor de 0.84 significa que en el 84 % de los casos el modelo asigna mayor probabilidad a un mes real de brote.</w:t>
      </w:r>
    </w:p>
    <w:p>
      <w:r>
        <w:rPr>
          <w:b/>
        </w:rPr>
        <w:t xml:space="preserve">¿El tablero funciona en tiempo real? </w:t>
      </w:r>
      <w:r>
        <w:t>No. La predicción se genera a partir del último mes de datos cargado; no procesa datos en tiempo real de forma automática.</w:t>
      </w:r>
    </w:p>
    <w:p>
      <w:r>
        <w:rPr>
          <w:b/>
        </w:rPr>
        <w:t xml:space="preserve">¿Qué hago si el tablero no carga? </w:t>
      </w:r>
      <w:r>
        <w:t>Contacte al equipo técnico responsable de la instalación y verifique que la dirección sea correcta (ejemplo: http://localhost:8050).</w:t>
      </w:r>
    </w:p>
    <w:p>
      <w:r>
        <w:rPr>
          <w:i/>
        </w:rPr>
        <w:t>SAT-Dengue · Grupo 11 · MAIA PDS · Universidad de los Andes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