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Reporte Entrega 3 - SAT-Dengue</w:t>
      </w:r>
    </w:p>
    <w:p>
      <w:pPr>
        <w:jc w:val="center"/>
      </w:pPr>
      <w:r>
        <w:t>Grupo 11 - MAIA PDS · Universidad de los Andes · Septiembre 2026</w:t>
      </w:r>
    </w:p>
    <w:p/>
    <w:p>
      <w:pPr>
        <w:pStyle w:val="Heading1"/>
      </w:pPr>
      <w:r>
        <w:t>1. Resumen del Problema</w:t>
      </w:r>
    </w:p>
    <w:p>
      <w:pPr>
        <w:pStyle w:val="Heading2"/>
      </w:pPr>
      <w:r>
        <w:t>Contexto y pregunta de negocio</w:t>
      </w:r>
    </w:p>
    <w:p>
      <w:r>
        <w:t>El dengue es una enfermedad de notificación obligatoria en Colombia, con ciclos epidémicos que sobrecargan los sistemas de salud locales. El Sistema de Alerta Temprana para Dengue (SAT-Dengue) busca responder a la pregunta: ¿es probable que el siguiente mes registre un brote de dengue clásico en Bucaramanga o Cali?</w:t>
        <w:br/>
        <w:t>Formalmente, se define brote como brote = 1 cuando casos_clásico &gt; P75 del canal endémico de Bortman (referencia 2007–2022). La predicción se realiza con horizonte T+1 (un mes) y T+2 (dos meses).</w:t>
      </w:r>
    </w:p>
    <w:p>
      <w:pPr>
        <w:pStyle w:val="Heading2"/>
      </w:pPr>
      <w:r>
        <w:t>Datos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Fuente</w:t>
            </w:r>
          </w:p>
        </w:tc>
        <w:tc>
          <w:tcPr>
            <w:tcW w:type="dxa" w:w="4320"/>
            <w:shd w:val="clear" w:color="auto" w:fill="D9E1F2"/>
          </w:tcPr>
          <w:p>
            <w:r>
              <w:rPr>
                <w:b/>
              </w:rPr>
              <w:t>Descripción</w:t>
            </w:r>
          </w:p>
        </w:tc>
      </w:tr>
      <w:tr>
        <w:tc>
          <w:tcPr>
            <w:tcW w:type="dxa" w:w="4320"/>
          </w:tcPr>
          <w:p>
            <w:r>
              <w:t>SIVIGILA dengue clásico (COD_EVE 210)</w:t>
            </w:r>
          </w:p>
        </w:tc>
        <w:tc>
          <w:tcPr>
            <w:tcW w:type="dxa" w:w="4320"/>
          </w:tcPr>
          <w:p>
            <w:r>
              <w:t>1 585 040 registros individuales, 2007–2024</w:t>
            </w:r>
          </w:p>
        </w:tc>
      </w:tr>
      <w:tr>
        <w:tc>
          <w:tcPr>
            <w:tcW w:type="dxa" w:w="4320"/>
          </w:tcPr>
          <w:p>
            <w:r>
              <w:t>SIVIGILA dengue grave (COD_EVE 220)</w:t>
            </w:r>
          </w:p>
        </w:tc>
        <w:tc>
          <w:tcPr>
            <w:tcW w:type="dxa" w:w="4320"/>
          </w:tcPr>
          <w:p>
            <w:r>
              <w:t>48 823 registros, 2007–2024</w:t>
            </w:r>
          </w:p>
        </w:tc>
      </w:tr>
      <w:tr>
        <w:tc>
          <w:tcPr>
            <w:tcW w:type="dxa" w:w="4320"/>
          </w:tcPr>
          <w:p>
            <w:r>
              <w:t>ERA5/CHIRPS (nuevo en E3)</w:t>
            </w:r>
          </w:p>
        </w:tc>
        <w:tc>
          <w:tcPr>
            <w:tcW w:type="dxa" w:w="4320"/>
          </w:tcPr>
          <w:p>
            <w:r>
              <w:t>9 variables climáticas mensuales por municipio vía Google Earth Engine</w:t>
            </w:r>
          </w:p>
        </w:tc>
      </w:tr>
      <w:tr>
        <w:tc>
          <w:tcPr>
            <w:tcW w:type="dxa" w:w="4320"/>
          </w:tcPr>
          <w:p>
            <w:r>
              <w:t>Ciudades piloto</w:t>
            </w:r>
          </w:p>
        </w:tc>
        <w:tc>
          <w:tcPr>
            <w:tcW w:type="dxa" w:w="4320"/>
          </w:tcPr>
          <w:p>
            <w:r>
              <w:t>Bucaramanga (68001) y Cali (76001)</w:t>
            </w:r>
          </w:p>
        </w:tc>
      </w:tr>
      <w:tr>
        <w:tc>
          <w:tcPr>
            <w:tcW w:type="dxa" w:w="4320"/>
          </w:tcPr>
          <w:p>
            <w:r>
              <w:t>Partición temporal</w:t>
            </w:r>
          </w:p>
        </w:tc>
        <w:tc>
          <w:tcPr>
            <w:tcW w:type="dxa" w:w="4320"/>
          </w:tcPr>
          <w:p>
            <w:r>
              <w:t>Entrenamiento ≤ 2022 | Validación 2022 | Prueba 2023–2025</w:t>
            </w:r>
          </w:p>
        </w:tc>
      </w:tr>
    </w:tbl>
    <w:p>
      <w:pPr>
        <w:pStyle w:val="Heading2"/>
      </w:pPr>
      <w:r>
        <w:t>Cambios principales respecto a Entrega 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Componente</w:t>
            </w:r>
          </w:p>
        </w:tc>
        <w:tc>
          <w:tcPr>
            <w:tcW w:type="dxa" w:w="2880"/>
            <w:shd w:val="clear" w:color="auto" w:fill="D9E1F2"/>
          </w:tcPr>
          <w:p>
            <w:r>
              <w:rPr>
                <w:b/>
              </w:rPr>
              <w:t>Entrega 2</w:t>
            </w:r>
          </w:p>
        </w:tc>
        <w:tc>
          <w:tcPr>
            <w:tcW w:type="dxa" w:w="2880"/>
            <w:shd w:val="clear" w:color="auto" w:fill="D9E1F2"/>
          </w:tcPr>
          <w:p>
            <w:r>
              <w:rPr>
                <w:b/>
              </w:rPr>
              <w:t>Entrega 3</w:t>
            </w:r>
          </w:p>
        </w:tc>
      </w:tr>
      <w:tr>
        <w:tc>
          <w:tcPr>
            <w:tcW w:type="dxa" w:w="2880"/>
          </w:tcPr>
          <w:p>
            <w:r>
              <w:t>Variables climáticas</w:t>
            </w:r>
          </w:p>
        </w:tc>
        <w:tc>
          <w:tcPr>
            <w:tcW w:type="dxa" w:w="2880"/>
          </w:tcPr>
          <w:p>
            <w:r>
              <w:t>GEE LST/MODIS (alta proporción de nulos)</w:t>
            </w:r>
          </w:p>
        </w:tc>
        <w:tc>
          <w:tcPr>
            <w:tcW w:type="dxa" w:w="2880"/>
          </w:tcPr>
          <w:p>
            <w:r>
              <w:t>ERA5+CHIRPS: 9 vars integradas, 3.7 % nulos</w:t>
            </w:r>
          </w:p>
        </w:tc>
      </w:tr>
      <w:tr>
        <w:tc>
          <w:tcPr>
            <w:tcW w:type="dxa" w:w="2880"/>
          </w:tcPr>
          <w:p>
            <w:r>
              <w:t>Matriz de features</w:t>
            </w:r>
          </w:p>
        </w:tc>
        <w:tc>
          <w:tcPr>
            <w:tcW w:type="dxa" w:w="2880"/>
          </w:tcPr>
          <w:p>
            <w:r>
              <w:t>~26 columnas</w:t>
            </w:r>
          </w:p>
        </w:tc>
        <w:tc>
          <w:tcPr>
            <w:tcW w:type="dxa" w:w="2880"/>
          </w:tcPr>
          <w:p>
            <w:r>
              <w:t>52 columnas (lags climáticos, canal endémico, lags de brote)</w:t>
            </w:r>
          </w:p>
        </w:tc>
      </w:tr>
      <w:tr>
        <w:tc>
          <w:tcPr>
            <w:tcW w:type="dxa" w:w="2880"/>
          </w:tcPr>
          <w:p>
            <w:r>
              <w:t>Dashboard</w:t>
            </w:r>
          </w:p>
        </w:tc>
        <w:tc>
          <w:tcPr>
            <w:tcW w:type="dxa" w:w="2880"/>
          </w:tcPr>
          <w:p>
            <w:r>
              <w:t>Prototipo React (Lovable)</w:t>
            </w:r>
          </w:p>
        </w:tc>
        <w:tc>
          <w:tcPr>
            <w:tcW w:type="dxa" w:w="2880"/>
          </w:tcPr>
          <w:p>
            <w:r>
              <w:t>Plotly Dash productivo (dashboard/app.py, 409 líneas)</w:t>
            </w:r>
          </w:p>
        </w:tc>
      </w:tr>
      <w:tr>
        <w:tc>
          <w:tcPr>
            <w:tcW w:type="dxa" w:w="2880"/>
          </w:tcPr>
          <w:p>
            <w:r>
              <w:t>SHAP</w:t>
            </w:r>
          </w:p>
        </w:tc>
        <w:tc>
          <w:tcPr>
            <w:tcW w:type="dxa" w:w="2880"/>
          </w:tcPr>
          <w:p>
            <w:r>
              <w:t>No incluido</w:t>
            </w:r>
          </w:p>
        </w:tc>
        <w:tc>
          <w:tcPr>
            <w:tcW w:type="dxa" w:w="2880"/>
          </w:tcPr>
          <w:p>
            <w:r>
              <w:t>Valores locales T+1 y T+2 generados (reports/shap_local_*.png)</w:t>
            </w:r>
          </w:p>
        </w:tc>
      </w:tr>
      <w:tr>
        <w:tc>
          <w:tcPr>
            <w:tcW w:type="dxa" w:w="2880"/>
          </w:tcPr>
          <w:p>
            <w:r>
              <w:t>Despliegue</w:t>
            </w:r>
          </w:p>
        </w:tc>
        <w:tc>
          <w:tcPr>
            <w:tcW w:type="dxa" w:w="2880"/>
          </w:tcPr>
          <w:p>
            <w:r>
              <w:t>Uvicorn local</w:t>
            </w:r>
          </w:p>
        </w:tc>
        <w:tc>
          <w:tcPr>
            <w:tcW w:type="dxa" w:w="2880"/>
          </w:tcPr>
          <w:p>
            <w:r>
              <w:t>Docker Compose (API + dashboard)</w:t>
            </w:r>
          </w:p>
        </w:tc>
      </w:tr>
    </w:tbl>
    <w:p>
      <w:pPr>
        <w:pStyle w:val="Heading1"/>
      </w:pPr>
      <w:r>
        <w:t>2. Modelos Desarrollados y Evaluación</w:t>
      </w:r>
    </w:p>
    <w:p>
      <w:r>
        <w:t>Se entrenaron seis configuraciones de modelo con calibración de probabilidades mediante Platt scaling (regresión logística sobre las salidas del clasificador base). La variable objetivo es brote (dengue clásico &gt; P75 canal endémico). La métrica principal es AUROC.</w:t>
      </w:r>
    </w:p>
    <w:p>
      <w:pPr>
        <w:pStyle w:val="Heading2"/>
      </w:pPr>
      <w:r>
        <w:t>Resultados comparativos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984"/>
            <w:shd w:val="clear" w:color="auto" w:fill="D9E1F2"/>
          </w:tcPr>
          <w:p>
            <w:r>
              <w:rPr>
                <w:b/>
              </w:rPr>
              <w:t>Modelo</w:t>
            </w:r>
          </w:p>
        </w:tc>
        <w:tc>
          <w:tcPr>
            <w:tcW w:type="dxa" w:w="1134"/>
            <w:shd w:val="clear" w:color="auto" w:fill="D9E1F2"/>
          </w:tcPr>
          <w:p>
            <w:r>
              <w:rPr>
                <w:b/>
              </w:rPr>
              <w:t>Horizonte</w:t>
            </w:r>
          </w:p>
        </w:tc>
        <w:tc>
          <w:tcPr>
            <w:tcW w:type="dxa" w:w="1417"/>
            <w:shd w:val="clear" w:color="auto" w:fill="D9E1F2"/>
          </w:tcPr>
          <w:p>
            <w:r>
              <w:rPr>
                <w:b/>
              </w:rPr>
              <w:t>AUROC Val</w:t>
            </w:r>
          </w:p>
        </w:tc>
        <w:tc>
          <w:tcPr>
            <w:tcW w:type="dxa" w:w="1417"/>
            <w:shd w:val="clear" w:color="auto" w:fill="D9E1F2"/>
          </w:tcPr>
          <w:p>
            <w:r>
              <w:rPr>
                <w:b/>
              </w:rPr>
              <w:t>AUROC Test</w:t>
            </w:r>
          </w:p>
        </w:tc>
        <w:tc>
          <w:tcPr>
            <w:tcW w:type="dxa" w:w="1701"/>
            <w:shd w:val="clear" w:color="auto" w:fill="D9E1F2"/>
          </w:tcPr>
          <w:p>
            <w:r>
              <w:rPr>
                <w:b/>
              </w:rPr>
              <w:t>Umbral (post-cal.)</w:t>
            </w:r>
          </w:p>
        </w:tc>
        <w:tc>
          <w:tcPr>
            <w:tcW w:type="dxa" w:w="1417"/>
            <w:shd w:val="clear" w:color="auto" w:fill="D9E1F2"/>
          </w:tcPr>
          <w:p>
            <w:r>
              <w:rPr>
                <w:b/>
              </w:rPr>
              <w:t>Brier antes</w:t>
            </w:r>
          </w:p>
        </w:tc>
        <w:tc>
          <w:tcPr>
            <w:tcW w:type="dxa" w:w="1417"/>
            <w:shd w:val="clear" w:color="auto" w:fill="D9E1F2"/>
          </w:tcPr>
          <w:p>
            <w:r>
              <w:rPr>
                <w:b/>
              </w:rPr>
              <w:t>Brier después</w:t>
            </w:r>
          </w:p>
        </w:tc>
      </w:tr>
      <w:tr>
        <w:tc>
          <w:tcPr>
            <w:tcW w:type="dxa" w:w="1984"/>
          </w:tcPr>
          <w:p>
            <w:r>
              <w:t>XGBoost (campeón)</w:t>
            </w:r>
          </w:p>
        </w:tc>
        <w:tc>
          <w:tcPr>
            <w:tcW w:type="dxa" w:w="1134"/>
          </w:tcPr>
          <w:p>
            <w:r>
              <w:t>T+1</w:t>
            </w:r>
          </w:p>
        </w:tc>
        <w:tc>
          <w:tcPr>
            <w:tcW w:type="dxa" w:w="1417"/>
          </w:tcPr>
          <w:p>
            <w:r>
              <w:t>0.8376</w:t>
            </w:r>
          </w:p>
        </w:tc>
        <w:tc>
          <w:tcPr>
            <w:tcW w:type="dxa" w:w="1417"/>
          </w:tcPr>
          <w:p>
            <w:r>
              <w:t>0.7191</w:t>
            </w:r>
          </w:p>
        </w:tc>
        <w:tc>
          <w:tcPr>
            <w:tcW w:type="dxa" w:w="1701"/>
          </w:tcPr>
          <w:p>
            <w:r>
              <w:t>0.34</w:t>
            </w:r>
          </w:p>
        </w:tc>
        <w:tc>
          <w:tcPr>
            <w:tcW w:type="dxa" w:w="1417"/>
          </w:tcPr>
          <w:p>
            <w:r>
              <w:t>0.1161</w:t>
            </w:r>
          </w:p>
        </w:tc>
        <w:tc>
          <w:tcPr>
            <w:tcW w:type="dxa" w:w="1417"/>
          </w:tcPr>
          <w:p>
            <w:r>
              <w:t>0.0717</w:t>
            </w:r>
          </w:p>
        </w:tc>
      </w:tr>
      <w:tr>
        <w:tc>
          <w:tcPr>
            <w:tcW w:type="dxa" w:w="1984"/>
          </w:tcPr>
          <w:p>
            <w:r>
              <w:t>XGBoost</w:t>
            </w:r>
          </w:p>
        </w:tc>
        <w:tc>
          <w:tcPr>
            <w:tcW w:type="dxa" w:w="1134"/>
          </w:tcPr>
          <w:p>
            <w:r>
              <w:t>T+2</w:t>
            </w:r>
          </w:p>
        </w:tc>
        <w:tc>
          <w:tcPr>
            <w:tcW w:type="dxa" w:w="1417"/>
          </w:tcPr>
          <w:p>
            <w:r>
              <w:t>[reemplazar con dato real del modelo (Nicolás)]</w:t>
            </w:r>
          </w:p>
        </w:tc>
        <w:tc>
          <w:tcPr>
            <w:tcW w:type="dxa" w:w="1417"/>
          </w:tcPr>
          <w:p>
            <w:r>
              <w:t>[reemplazar con dato real del modelo (Nicolás)]</w:t>
            </w:r>
          </w:p>
        </w:tc>
        <w:tc>
          <w:tcPr>
            <w:tcW w:type="dxa" w:w="1701"/>
          </w:tcPr>
          <w:p>
            <w:r>
              <w:t>0.27</w:t>
            </w:r>
          </w:p>
        </w:tc>
        <w:tc>
          <w:tcPr>
            <w:tcW w:type="dxa" w:w="1417"/>
          </w:tcPr>
          <w:p>
            <w:r>
              <w:t>0.1420</w:t>
            </w:r>
          </w:p>
        </w:tc>
        <w:tc>
          <w:tcPr>
            <w:tcW w:type="dxa" w:w="1417"/>
          </w:tcPr>
          <w:p>
            <w:r>
              <w:t>0.0838</w:t>
            </w:r>
          </w:p>
        </w:tc>
      </w:tr>
      <w:tr>
        <w:tc>
          <w:tcPr>
            <w:tcW w:type="dxa" w:w="1984"/>
          </w:tcPr>
          <w:p>
            <w:r>
              <w:t>LightGBM</w:t>
            </w:r>
          </w:p>
        </w:tc>
        <w:tc>
          <w:tcPr>
            <w:tcW w:type="dxa" w:w="1134"/>
          </w:tcPr>
          <w:p>
            <w:r>
              <w:t>T+1</w:t>
            </w:r>
          </w:p>
        </w:tc>
        <w:tc>
          <w:tcPr>
            <w:tcW w:type="dxa" w:w="1417"/>
          </w:tcPr>
          <w:p>
            <w:r>
              <w:t>[reemplazar con dato real del modelo (Nicolás)]</w:t>
            </w:r>
          </w:p>
        </w:tc>
        <w:tc>
          <w:tcPr>
            <w:tcW w:type="dxa" w:w="1417"/>
          </w:tcPr>
          <w:p>
            <w:r>
              <w:t>[reemplazar con dato real del modelo (Nicolás)]</w:t>
            </w:r>
          </w:p>
        </w:tc>
        <w:tc>
          <w:tcPr>
            <w:tcW w:type="dxa" w:w="1701"/>
          </w:tcPr>
          <w:p>
            <w:r>
              <w:t>0.31</w:t>
            </w:r>
          </w:p>
        </w:tc>
        <w:tc>
          <w:tcPr>
            <w:tcW w:type="dxa" w:w="1417"/>
          </w:tcPr>
          <w:p>
            <w:r>
              <w:t>0.0950</w:t>
            </w:r>
          </w:p>
        </w:tc>
        <w:tc>
          <w:tcPr>
            <w:tcW w:type="dxa" w:w="1417"/>
          </w:tcPr>
          <w:p>
            <w:r>
              <w:t>0.0725</w:t>
            </w:r>
          </w:p>
        </w:tc>
      </w:tr>
      <w:tr>
        <w:tc>
          <w:tcPr>
            <w:tcW w:type="dxa" w:w="1984"/>
          </w:tcPr>
          <w:p>
            <w:r>
              <w:t>LightGBM</w:t>
            </w:r>
          </w:p>
        </w:tc>
        <w:tc>
          <w:tcPr>
            <w:tcW w:type="dxa" w:w="1134"/>
          </w:tcPr>
          <w:p>
            <w:r>
              <w:t>T+2</w:t>
            </w:r>
          </w:p>
        </w:tc>
        <w:tc>
          <w:tcPr>
            <w:tcW w:type="dxa" w:w="1417"/>
          </w:tcPr>
          <w:p>
            <w:r>
              <w:t>[reemplazar con dato real del modelo (Nicolás)]</w:t>
            </w:r>
          </w:p>
        </w:tc>
        <w:tc>
          <w:tcPr>
            <w:tcW w:type="dxa" w:w="1417"/>
          </w:tcPr>
          <w:p>
            <w:r>
              <w:t>[reemplazar con dato real del modelo (Nicolás)]</w:t>
            </w:r>
          </w:p>
        </w:tc>
        <w:tc>
          <w:tcPr>
            <w:tcW w:type="dxa" w:w="1701"/>
          </w:tcPr>
          <w:p>
            <w:r>
              <w:t>0.29</w:t>
            </w:r>
          </w:p>
        </w:tc>
        <w:tc>
          <w:tcPr>
            <w:tcW w:type="dxa" w:w="1417"/>
          </w:tcPr>
          <w:p>
            <w:r>
              <w:t>0.1060</w:t>
            </w:r>
          </w:p>
        </w:tc>
        <w:tc>
          <w:tcPr>
            <w:tcW w:type="dxa" w:w="1417"/>
          </w:tcPr>
          <w:p>
            <w:r>
              <w:t>0.0839</w:t>
            </w:r>
          </w:p>
        </w:tc>
      </w:tr>
      <w:tr>
        <w:tc>
          <w:tcPr>
            <w:tcW w:type="dxa" w:w="1984"/>
          </w:tcPr>
          <w:p>
            <w:r>
              <w:t>GAM</w:t>
            </w:r>
          </w:p>
        </w:tc>
        <w:tc>
          <w:tcPr>
            <w:tcW w:type="dxa" w:w="1134"/>
          </w:tcPr>
          <w:p>
            <w:r>
              <w:t>T+1</w:t>
            </w:r>
          </w:p>
        </w:tc>
        <w:tc>
          <w:tcPr>
            <w:tcW w:type="dxa" w:w="1417"/>
          </w:tcPr>
          <w:p>
            <w:r>
              <w:t>[reemplazar con dato real del modelo (Nicolás)]</w:t>
            </w:r>
          </w:p>
        </w:tc>
        <w:tc>
          <w:tcPr>
            <w:tcW w:type="dxa" w:w="1417"/>
          </w:tcPr>
          <w:p>
            <w:r>
              <w:t>[reemplazar con dato real del modelo (Nicolás)]</w:t>
            </w:r>
          </w:p>
        </w:tc>
        <w:tc>
          <w:tcPr>
            <w:tcW w:type="dxa" w:w="1701"/>
          </w:tcPr>
          <w:p>
            <w:r>
              <w:t>0.18</w:t>
            </w:r>
          </w:p>
        </w:tc>
        <w:tc>
          <w:tcPr>
            <w:tcW w:type="dxa" w:w="1417"/>
          </w:tcPr>
          <w:p>
            <w:r>
              <w:t>—</w:t>
            </w:r>
          </w:p>
        </w:tc>
        <w:tc>
          <w:tcPr>
            <w:tcW w:type="dxa" w:w="1417"/>
          </w:tcPr>
          <w:p>
            <w:r>
              <w:t>—</w:t>
            </w:r>
          </w:p>
        </w:tc>
      </w:tr>
      <w:tr>
        <w:tc>
          <w:tcPr>
            <w:tcW w:type="dxa" w:w="1984"/>
          </w:tcPr>
          <w:p>
            <w:r>
              <w:t>GAM</w:t>
            </w:r>
          </w:p>
        </w:tc>
        <w:tc>
          <w:tcPr>
            <w:tcW w:type="dxa" w:w="1134"/>
          </w:tcPr>
          <w:p>
            <w:r>
              <w:t>T+2</w:t>
            </w:r>
          </w:p>
        </w:tc>
        <w:tc>
          <w:tcPr>
            <w:tcW w:type="dxa" w:w="1417"/>
          </w:tcPr>
          <w:p>
            <w:r>
              <w:t>[reemplazar con dato real del modelo (Nicolás)]</w:t>
            </w:r>
          </w:p>
        </w:tc>
        <w:tc>
          <w:tcPr>
            <w:tcW w:type="dxa" w:w="1417"/>
          </w:tcPr>
          <w:p>
            <w:r>
              <w:t>[reemplazar con dato real del modelo (Nicolás)]</w:t>
            </w:r>
          </w:p>
        </w:tc>
        <w:tc>
          <w:tcPr>
            <w:tcW w:type="dxa" w:w="1701"/>
          </w:tcPr>
          <w:p>
            <w:r>
              <w:t>0.18</w:t>
            </w:r>
          </w:p>
        </w:tc>
        <w:tc>
          <w:tcPr>
            <w:tcW w:type="dxa" w:w="1417"/>
          </w:tcPr>
          <w:p>
            <w:r>
              <w:t>—</w:t>
            </w:r>
          </w:p>
        </w:tc>
        <w:tc>
          <w:tcPr>
            <w:tcW w:type="dxa" w:w="1417"/>
          </w:tcPr>
          <w:p>
            <w:r>
              <w:t>—</w:t>
            </w:r>
          </w:p>
        </w:tc>
      </w:tr>
    </w:tbl>
    <w:p>
      <w:pPr>
        <w:pStyle w:val="Heading2"/>
      </w:pPr>
      <w:r>
        <w:t>Integración climática - experimento negativo</w:t>
      </w:r>
    </w:p>
    <w:p>
      <w:r>
        <w:t>Se incorporaron las 9 variables ERA5/CHIRPS con rezagos de 1–3 meses, expandiendo la matriz de features de ~26 a 52 columnas. El AUROC de prueba del modelo con features climáticas no superó al campeón de E2. Se conserva el modelo de E2 como campeón. El experimento climático constituye un resultado negativo válido: las variables epidemiológicas endógenas (rezagos de casos, canal endémico) capturan la señal predictiva de forma suficiente a escala mensual; ERA5/CHIRPS enriquece el contexto interpretativo sin mejorar la predicción cuantitativa.</w:t>
      </w:r>
    </w:p>
    <w:p>
      <w:pPr>
        <w:pStyle w:val="Heading2"/>
      </w:pPr>
      <w:r>
        <w:t>Explicabilidad (SHAP)</w:t>
      </w:r>
    </w:p>
    <w:p>
      <w:r>
        <w:t>Se generaron valores SHAP locales para T+1 y T+2 en ambas ciudades (reports/shap_local_*.png). Los features más influyentes son los rezagos de casos clásicos (lag_1, lag_2), la posición en el canal endémico (zona_canal_lag1) y la componente estacional (mes_sin, mes_cos).</w:t>
      </w:r>
    </w:p>
    <w:p>
      <w:pPr>
        <w:pStyle w:val="Heading1"/>
      </w:pPr>
      <w:r>
        <w:t>3. Tablero SAT-Dengue</w:t>
      </w:r>
    </w:p>
    <w:p>
      <w:pPr>
        <w:pStyle w:val="Heading2"/>
      </w:pPr>
      <w:r>
        <w:t>Arquitectura</w:t>
      </w:r>
    </w:p>
    <w:p>
      <w:r>
        <w:t>El tablero es una aplicación Plotly Dash (dashboard/app.py, 409 líneas) que consume la matriz de features mensual (data/processed/features_mensual.parquet) y el modelo campeón (model/xgb_clasico_calibrated.pkl). Alternativamente carga el modelo desde MLflow vía variables de entorno (MLFLOW_MODEL_URI, MLFLOW_TRACKING_URI). El servidor WSGI se expone como server = app.server para despliegue con Gunicorn en Docker.</w:t>
      </w:r>
    </w:p>
    <w:p>
      <w:pPr>
        <w:pStyle w:val="Heading2"/>
      </w:pPr>
      <w:r>
        <w:t>Pestañas y funcionalidades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Pestaña</w:t>
            </w:r>
          </w:p>
        </w:tc>
        <w:tc>
          <w:tcPr>
            <w:tcW w:type="dxa" w:w="4320"/>
            <w:shd w:val="clear" w:color="auto" w:fill="D9E1F2"/>
          </w:tcPr>
          <w:p>
            <w:r>
              <w:rPr>
                <w:b/>
              </w:rPr>
              <w:t>Contenido</w:t>
            </w:r>
          </w:p>
        </w:tc>
      </w:tr>
      <w:tr>
        <w:tc>
          <w:tcPr>
            <w:tcW w:type="dxa" w:w="4320"/>
          </w:tcPr>
          <w:p>
            <w:r>
              <w:t>Bucaramanga</w:t>
            </w:r>
          </w:p>
        </w:tc>
        <w:tc>
          <w:tcPr>
            <w:tcW w:type="dxa" w:w="4320"/>
          </w:tcPr>
          <w:p>
            <w:r>
              <w:t>KPIs + gráfico epidémico dual + tarjeta de predicción T+1</w:t>
            </w:r>
          </w:p>
        </w:tc>
      </w:tr>
      <w:tr>
        <w:tc>
          <w:tcPr>
            <w:tcW w:type="dxa" w:w="4320"/>
          </w:tcPr>
          <w:p>
            <w:r>
              <w:t>Cali</w:t>
            </w:r>
          </w:p>
        </w:tc>
        <w:tc>
          <w:tcPr>
            <w:tcW w:type="dxa" w:w="4320"/>
          </w:tcPr>
          <w:p>
            <w:r>
              <w:t>KPIs + gráfico epidémico dual + tarjeta de predicción T+1</w:t>
            </w:r>
          </w:p>
        </w:tc>
      </w:tr>
      <w:tr>
        <w:tc>
          <w:tcPr>
            <w:tcW w:type="dxa" w:w="4320"/>
          </w:tcPr>
          <w:p>
            <w:r>
              <w:t>Comparación</w:t>
            </w:r>
          </w:p>
        </w:tc>
        <w:tc>
          <w:tcPr>
            <w:tcW w:type="dxa" w:w="4320"/>
          </w:tcPr>
          <w:p>
            <w:r>
              <w:t>Series de casos y probabilidad de ambas ciudades superpuestas</w:t>
            </w:r>
          </w:p>
        </w:tc>
      </w:tr>
    </w:tbl>
    <w:p/>
    <w:p>
      <w:r>
        <w:t>Cada pestaña de ciudad incluye: (1) fila de KPIs (meses totales, meses en brote, inicios de brote, pico máximo/mes); (2) gráfico dual con barras de casos_clásico coloreadas por zona del canal endémico y línea de probabilidad de brote con umbral 0.34; (3) tarjeta de predicción T+1 con gauge circular en zonas semáforo: Normal (&lt;umbral), Alerta (umbral–0.75), Exceso (≥0.75). La función next_month_vector() construye el vector de features para el mes siguiente a partir de la última fila disponible.</w:t>
      </w:r>
    </w:p>
    <w:p>
      <w:pPr>
        <w:pStyle w:val="Heading1"/>
      </w:pPr>
      <w:r>
        <w:t>4. Resultados Principales y Conclusiones</w:t>
      </w:r>
    </w:p>
    <w:p>
      <w:pPr>
        <w:pStyle w:val="Heading2"/>
      </w:pPr>
      <w:r>
        <w:t>Resultados</w:t>
      </w:r>
    </w:p>
    <w:p>
      <w:pPr>
        <w:pStyle w:val="ListBullet"/>
      </w:pPr>
      <w:r>
        <w:t>Mejor modelo: XGBoost T+1, AUROC prueba = 0.7191, umbral calibrado = 0.34.</w:t>
      </w:r>
    </w:p>
    <w:p>
      <w:pPr>
        <w:pStyle w:val="ListBullet"/>
      </w:pPr>
      <w:r>
        <w:t>Calibración: Platt scaling reduce Brier score de 0.1161 a 0.0717 (−38 %).</w:t>
      </w:r>
    </w:p>
    <w:p>
      <w:pPr>
        <w:pStyle w:val="ListBullet"/>
      </w:pPr>
      <w:r>
        <w:t>Integración climática: ERA5/CHIRPS enriquece el contexto pero no mejora la predicción cuantitativa sobre 2023–2025.</w:t>
      </w:r>
    </w:p>
    <w:p>
      <w:pPr>
        <w:pStyle w:val="ListBullet"/>
      </w:pPr>
      <w:r>
        <w:t>Tablero funcional: alertas accionables con un mes de anticipación en Bucaramanga y Cali.</w:t>
      </w:r>
    </w:p>
    <w:p>
      <w:pPr>
        <w:pStyle w:val="ListBullet"/>
      </w:pPr>
      <w:r>
        <w:t>Pipeline completo: datos en DVC (S3), modelos en MLflow, API REST + tablero Dash, Docker Compose.</w:t>
      </w:r>
    </w:p>
    <w:p>
      <w:pPr>
        <w:pStyle w:val="Heading2"/>
      </w:pPr>
      <w:r>
        <w:t>Conclusiones</w:t>
      </w:r>
    </w:p>
    <w:p>
      <w:r>
        <w:t>SAT-Dengue demuestra que es posible construir un sistema de alerta temprana reproducible, explicable y desplegable con datos de vigilancia epidemiológica pública. Los rezagos de casos y la posición en el canal endémico son las señales predictivas dominantes. El experimento de integración climática, aunque negativo en términos de mejora de AUROC, es un resultado científicamente válido y fue documentado como tal. Los equipos de salud pública pueden usar el tablero para priorizar campañas de prevención con un horizonte de un mes, con probabilidades calibradas que facilitan la comunicación del riesgo.</w:t>
      </w:r>
    </w:p>
    <w:p>
      <w:pPr>
        <w:pStyle w:val="Heading2"/>
      </w:pPr>
      <w:r>
        <w:t>Próximos pasos</w:t>
      </w:r>
    </w:p>
    <w:p>
      <w:pPr>
        <w:pStyle w:val="ListBullet"/>
      </w:pPr>
      <w:r>
        <w:t>Ampliar el piloto a municipios con alta incidencia histórica (Barranquilla, Medellín, Cúcuta).</w:t>
      </w:r>
    </w:p>
    <w:p>
      <w:pPr>
        <w:pStyle w:val="ListBullet"/>
      </w:pPr>
      <w:r>
        <w:t>Automatizar la ingesta mensual de datos SIVIGILA mediante el endpoint /v2/monthly-runs.</w:t>
      </w:r>
    </w:p>
    <w:p>
      <w:pPr>
        <w:pStyle w:val="ListBullet"/>
      </w:pPr>
      <w:r>
        <w:t>Validación prospectiva con autoridades sanitarias durante 2026.</w:t>
      </w:r>
    </w:p>
    <w:p>
      <w:pPr>
        <w:pStyle w:val="ListBullet"/>
      </w:pPr>
      <w:r>
        <w:t>Explorar modelos jerárquicos que compartan información entre municipios.</w:t>
      </w:r>
    </w:p>
    <w:p>
      <w:r>
        <w:rPr>
          <w:i/>
          <w:sz w:val="18"/>
        </w:rPr>
        <w:t>Repositorio: github.com/j-mauro-r/microproyecto-tema3  ·  MLflow: http://54.163.207.5:5000  ·  Experimento: sat-dengue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