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Propuesta de Proyecto de Grado</w:t>
      </w:r>
    </w:p>
    <w:p>
      <w:pPr>
        <w:jc w:val="center"/>
      </w:pPr>
      <w:r>
        <w:t>MAIA: Maestría en Inteligencia Artificial · Universidad de los Andes · Septiembre 2026</w:t>
      </w:r>
    </w:p>
    <w:p/>
    <w:p>
      <w:pPr>
        <w:pStyle w:val="Heading1"/>
      </w:pPr>
      <w:r>
        <w:t>Título del Proyecto</w:t>
      </w:r>
    </w:p>
    <w:p>
      <w:r>
        <w:t xml:space="preserve">SAT-Dengue: alerta temprana de brotes de dengue en Colombia. Evaluación de modelos de aprendizaje automático con variables climáticas frente al canal endémico</w:t>
      </w:r>
    </w:p>
    <w:p>
      <w:pPr>
        <w:pStyle w:val="Heading1"/>
      </w:pPr>
      <w:r>
        <w:t>Integrantes del equipo</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Nombre completo</w:t>
            </w:r>
          </w:p>
        </w:tc>
        <w:tc>
          <w:tcPr>
            <w:tcW w:type="dxa" w:w="4320"/>
            <w:shd w:val="clear" w:color="auto" w:fill="D9E1F2"/>
          </w:tcPr>
          <w:p>
            <w:r>
              <w:rPr>
                <w:b/>
              </w:rPr>
              <w:t>Correo institucional</w:t>
            </w:r>
          </w:p>
        </w:tc>
      </w:tr>
      <w:tr>
        <w:tc>
          <w:tcPr>
            <w:tcW w:type="dxa" w:w="4320"/>
          </w:tcPr>
          <w:p>
            <w:r>
              <w:t>Mauricio Rodríguez</w:t>
            </w:r>
          </w:p>
        </w:tc>
        <w:tc>
          <w:tcPr>
            <w:tcW w:type="dxa" w:w="4320"/>
          </w:tcPr>
          <w:p>
            <w:r>
              <w:t>jm.rodrigueza1@uniandes.edu.co</w:t>
            </w:r>
          </w:p>
        </w:tc>
      </w:tr>
      <w:tr>
        <w:tc>
          <w:tcPr>
            <w:tcW w:type="dxa" w:w="4320"/>
          </w:tcPr>
          <w:p>
            <w:r>
              <w:t xml:space="preserve">Stevan Ramirez</w:t>
            </w:r>
          </w:p>
        </w:tc>
        <w:tc>
          <w:tcPr>
            <w:tcW w:type="dxa" w:w="4320"/>
          </w:tcPr>
          <w:p>
            <w:r>
              <w:t>s.ramirezc2@uniandes.edu.co</w:t>
            </w:r>
          </w:p>
        </w:tc>
      </w:tr>
      <w:tr>
        <w:tc>
          <w:tcPr>
            <w:tcW w:type="dxa" w:w="4320"/>
          </w:tcPr>
          <w:p>
            <w:r>
              <w:t>Sergio Ballesteros</w:t>
            </w:r>
          </w:p>
        </w:tc>
        <w:tc>
          <w:tcPr>
            <w:tcW w:type="dxa" w:w="4320"/>
          </w:tcPr>
          <w:p>
            <w:r>
              <w:t>sa.ballesteros@uniandes.edu.co</w:t>
            </w:r>
          </w:p>
        </w:tc>
      </w:tr>
      <w:tr>
        <w:tc>
          <w:tcPr>
            <w:tcW w:type="dxa" w:w="4320"/>
          </w:tcPr>
          <w:p>
            <w:r>
              <w:t>Nicolás Steven Lara Villa</w:t>
            </w:r>
          </w:p>
        </w:tc>
        <w:tc>
          <w:tcPr>
            <w:tcW w:type="dxa" w:w="4320"/>
          </w:tcPr>
          <w:p>
            <w:r>
              <w:t>n.larav@uniandes.edu.co</w:t>
            </w:r>
          </w:p>
        </w:tc>
      </w:tr>
    </w:tbl>
    <w:p>
      <w:pPr>
        <w:pStyle w:val="Heading1"/>
      </w:pPr>
      <w:r>
        <w:t>Organización/Grupo de investigación</w:t>
      </w:r>
    </w:p>
    <w:p>
      <w:r>
        <w:t xml:space="preserve">El proyecto es propuesto por el programa de Maestría en Inteligencia Artificial (MAIA) de la Universidad de los Andes, y tiene como beneficiarias potenciales a las Secretarías de Salud de Bucaramanga y Cali, los dos municipios sobre los que se construyó el prototipo actual. El experto de dominio asignado es Carlos Bravo Vega (ca.bravo955@uniandes.edu.co), profesor del programa MAIA en la Universidad de los Andes, con expertise en epidemiología computacional y sistemas de vigilancia en salud pública. Su rol durante el proyecto es orientar las decisiones de modelado epidemiológico, validar la pertinencia clínica de las métricas de evaluación y orientar la eventual socialización de los resultados con entidades de salud pública.</w:t>
      </w:r>
    </w:p>
    <w:p>
      <w:pPr>
        <w:pStyle w:val="Heading1"/>
      </w:pPr>
      <w:r>
        <w:t>Contexto, problema y Justificación. Impacto esperado</w:t>
      </w:r>
    </w:p>
    <w:p>
      <w:pPr>
        <w:pStyle w:val="Heading2"/>
      </w:pPr>
      <w:r>
        <w:t>a. Descripción de la situación actual</w:t>
      </w:r>
    </w:p>
    <w:p>
      <w:r>
        <w:t xml:space="preserve">El dengue es una de las enfermedades vectoriales de mayor impacto en Colombia. Según el Instituto Nacional de Salud (INS), el país registra entre 25.000 y 310.000 casos anuales de dengue clásico según el año, con picos epidémicos asociados a fenómenos climáticos como El Niño: 2017 cerró con 25.050 casos notificados y 2024, el año más alto de la serie, con 309.836. El Sistema Nacional de Vigilancia en Salud Pública (SIVIGILA) recopila semanalmente los casos de dengue clásico (COD_EVE 210) y dengue grave (COD_EVE 220) a nivel municipal, constituyendo una fuente de datos epidemiológicos de alta resolución espaciotemporal disponible desde 2007 y con 1.114 municipios en el panel actual. Adicionalmente, variables climáticas derivadas de ERA5 (temperatura, punto de rocío, evapotranspiración, humedad del suelo, vientos) y CHIRPS (precipitación) se encuentran disponibles a través de Google Earth Engine para toda la geografía colombiana.</w:t>
        <w:br/>
        <w:t>A pesar de esta riqueza de datos, las Secretarías de Salud municipales y departamentales no cuentan hoy con un sistema automatizado que integre información epidemiológica y climática para anticipar brotes. La detección de brotes se realiza de manera reactiva, cuando los casos ya han superado el canal endémico de referencia, lo que limita la oportunidad de activar medidas de prevención y control de vectores con anticipación suficiente.</w:t>
      </w:r>
    </w:p>
    <w:p>
      <w:pPr>
        <w:pStyle w:val="Heading2"/>
      </w:pPr>
      <w:r>
        <w:t>b. Descripción del problema</w:t>
      </w:r>
    </w:p>
    <w:p>
      <w:r>
        <w:t>El problema central es la ausencia de un mecanismo predictivo, automatizado y basado en evidencia, que permita a los tomadores de decisiones de salud pública identificar con 1 a 2 meses de anticipación los municipios en riesgo de brote de dengue. Los sistemas actuales de alerta temprana en Colombia utilizan exclusivamente el canal endémico histórico (método Bortman, 1999) como referencia de situación epidémica, sin incorporar señales climáticas que son predictoras conocidas de la actividad del vector Aedes aegypti. Esta brecha metodológica impide una respuesta proactiva y diferenciada por municipio.</w:t>
        <w:br/>
        <w:t>El reto técnico radica en construir un modelo de clasificación que capture la compleja relación no lineal entre variables climáticas rezagadas, patrones epidémicos históricos y la ocurrencia de brotes futuros, garantizando al mismo tiempo que el sistema sea interpretable para usuarios de salud pública y operable de forma sostenida con datos reales.</w:t>
      </w:r>
    </w:p>
    <w:p>
      <w:r>
        <w:t xml:space="preserve">Un ejercicio previo del equipo, desarrollado sobre Bucaramanga y Cali en el curso Proyecto: desarrollo de soluciones, acota este reto con datos. Sobre el conjunto de prueba los modelos de árboles alcanzan un F1 de 0,965 frente a 0,951 del canal endémico, pero ninguno detecta más de 2 de los 3 inicios de brote del período, que son exactamente los que el canal endémico ya detecta sin modelo de por medio. La ventaja en F1 proviene de acertar continuaciones, es decir meses en los que el brote ya había comenzado y la Secretaría de Salud ya lo sabía. A escala mensual y con umbral P75 el brote se comporta como un estado que dura meses y no como un evento puntual: de los 27 meses en brote de la validación, 3 son inicio y 24 son continuación. Con tres transiciones en ocho años y dos municipios no hay estadística posible, solo conteo.</w:t>
      </w:r>
    </w:p>
    <w:p>
      <w:r>
        <w:t xml:space="preserve">Ese resultado no invalida el enfoque, lo enfoca. El valor de un sistema de alerta temprana está en anticipar el inicio del brote, y demostrar ganancia sobre el canal endémico en esa métrica exige un diseño con suficientes transiciones observadas. De ahí que este proyecto plantee ampliar el alcance a los 523 municipios endémicos del panel nacional, donde el número de inicios crece en tres órdenes de magnitud, y evaluar de forma explícita contra el canal endémico como línea base en lugar de contra un clasificador trivial. La pregunta de investigación pasa a ser bajo qué condiciones de alcance geográfico, granularidad temporal y horizonte de predicción un modelo de aprendizaje automático supera a la regla que las secretarías de salud ya aplican hoy.</w:t>
      </w:r>
    </w:p>
    <w:p>
      <w:pPr>
        <w:pStyle w:val="Heading2"/>
      </w:pPr>
      <w:r>
        <w:t>c. Impacto esperado</w:t>
      </w:r>
    </w:p>
    <w:p>
      <w:r>
        <w:t xml:space="preserve">Un sistema de alerta temprana funcional y desplegado en producción tendría un impacto directo en la capacidad de respuesta de las autoridades sanitarias colombianas. La anticipación de brotes con 1-2 meses de antelación permitiría activar campañas de fumigación, reforzar la vigilancia entomológica y comunicar alertas a la comunidad antes de que el brote ocurra, reduciendo la morbilidad asociada. A mediano plazo, el sistema es escalable a los más de 1.000 municipios colombianos para los que SIVIGILA y ERA5/CHIRPS proveen datos. El enfoque modular y basado en contenedores facilita además su adopción por otras entidades de salud pública de la región, en línea con la estrategia global de prevención y control del dengue de la Organización Mundial de la Salud (World Health Organization, 2012), y constituye un bien público de alto valor para la vigilancia epidemiológica en América Latina.</w:t>
      </w:r>
    </w:p>
    <w:p>
      <w:pPr>
        <w:pStyle w:val="Heading1"/>
      </w:pPr>
      <w:r>
        <w:t>Objetivos</w:t>
      </w:r>
    </w:p>
    <w:p>
      <w:pPr>
        <w:pStyle w:val="Heading2"/>
      </w:pPr>
      <w:r>
        <w:t>Objetivo General</w:t>
      </w:r>
    </w:p>
    <w:p>
      <w:r>
        <w:t xml:space="preserve">Desarrollar, desplegar y evaluar en producción un sistema de alerta temprana de dengue (SAT-Dengue) escalable y explicable sobre infraestructura en la nube, que integre datos epidemiológicos del SIVIGILA y variables climáticas de ERA5/CHIRPS, y determinar bajo qué condiciones de alcance geográfico y horizonte de predicción un modelo de aprendizaje automático supera al canal endémico en la detección del inicio de un brote de dengue clásico con 1 a 2 meses de anticipación.</w:t>
      </w:r>
    </w:p>
    <w:p>
      <w:pPr>
        <w:pStyle w:val="Heading2"/>
      </w:pPr>
      <w:r>
        <w:t>Objetivos Específicos</w:t>
      </w:r>
    </w:p>
    <w:p>
      <w:pPr>
        <w:pStyle w:val="ListNumber"/>
      </w:pPr>
      <w:r>
        <w:t>Implementar un pipeline automatizado de ingesta mensual de datos epidemiológicos (SIVIGILA) y climáticos (ERA5/CHIRPS vía Google Earth Engine), con validación de calidad y versionado mediante DVC.</w:t>
      </w:r>
    </w:p>
    <w:p>
      <w:pPr>
        <w:pStyle w:val="ListNumber"/>
      </w:pPr>
      <w:r>
        <w:t>Desplegar el modelo champion XGBoost (calibrado con Platt scaling) y la API FastAPI asociada en infraestructura en la nube (AWS o GCP) mediante contenedores Docker orquestados con docker-compose, garantizando disponibilidad y reproducibilidad.</w:t>
      </w:r>
    </w:p>
    <w:p>
      <w:pPr>
        <w:pStyle w:val="ListNumber"/>
      </w:pPr>
      <w:r>
        <w:t xml:space="preserve">Ampliar el alcance del sistema de los dos municipios piloto (Bucaramanga y Cali) a los 523 municipios endémicos del panel nacional, con el fin de multiplicar el número de inicios de brote observados y habilitar una comparación estadísticamente informativa entre el modelo y el canal endémico.</w:t>
      </w:r>
    </w:p>
    <w:p>
      <w:pPr>
        <w:pStyle w:val="ListNumber"/>
      </w:pPr>
      <w:r>
        <w:t xml:space="preserve">Cuantificar la ganancia del modelo sobre el canal endémico en la detección de inicios de brote para horizontes de 1 y 2 meses, reportando sensibilidad sobre inicios, tasa de falsas alarmas y anticipación media, y evaluar si bajar a granularidad semanal aumenta de forma útil el número de transiciones disponibles.</w:t>
      </w:r>
    </w:p>
    <w:p>
      <w:pPr>
        <w:pStyle w:val="ListNumber"/>
      </w:pPr>
      <w:r>
        <w:t xml:space="preserve">Implementar un pipeline de reentrenamiento periódico del modelo con datos nuevos, incluyendo comparación automática de versiones en MLflow y promoción del nuevo champion cuando supere al modelo en producción en la sensibilidad sobre inicios de brote.</w:t>
      </w:r>
    </w:p>
    <w:p>
      <w:pPr>
        <w:pStyle w:val="ListNumber"/>
      </w:pPr>
      <w:r>
        <w:t xml:space="preserve">Realizar una validación prospectiva interna sobre los meses de 2026 no vistos en el entrenamiento, comparando mes a mes cada alerta emitida contra lo observado y contra la alerta que habría dado el canal endémico.</w:t>
      </w:r>
    </w:p>
    <w:p>
      <w:pPr>
        <w:pStyle w:val="Heading1"/>
      </w:pPr>
      <w:r>
        <w:t>Estado del arte</w:t>
      </w:r>
    </w:p>
    <w:p>
      <w:r>
        <w:t xml:space="preserve">La predicción de brotes de dengue mediante modelos de aprendizaje automático ha avanzado significativamente en la última década. Chen y Moraga (2025) compararon modelos estadísticos y técnicas de aprendizaje automático, incluyendo Random Forest, XGBoost, LSTM y Prophet, para la predicción semanal del dengue en Río de Janeiro, Brasil, demostrando que los modelos de ML con covariables climáticas superan consistentemente a los modelos estadísticos clásicos; sin embargo, su estudio no incluye calibración de probabilidades ni despliegue en producción, limitaciones que SAT-Dengue aborda explícitamente mediante Platt scaling y una arquitectura de microservicios. Mordecai et al. (2019) establecieron la relación no lineal entre temperatura y capacidad vectorial de Aedes aegypti, identificando un óptimo entre 26–29°C; estos hallazgos fundamentan la inclusión de variables térmicas rezagadas en nuestro conjunto de features. Racloz et al. (2012) revisaron sistemáticamente 47 modelos de alerta temprana de dengue en América Latina, concluyendo que la integración de datos climáticos mejora consistentemente el desempeño predictivo pero que la mayoría de sistemas carecen de validación prospectiva y despliegue operacional, una brecha que SAT-Dengue busca cerrar. En el contexto colombiano, Zhao et al. (2020), en un estudio que incluye a Carabali como coautora, desarrollaron modelos de Random Forest y redes neuronales artificiales para predecir el dengue a escala nacional y subnacional en Colombia usando datos de SIVIGILA, encontrando que el Random Forest supera a las redes neuronales; sin embargo, su estudio no aborda calibración de probabilidades ni una alerta binaria de brote; SAT-Dengue avanza sobre esta línea al integrar ERA5/CHIRPS y formular el problema como clasificación binaria (brote/no-brote) con umbral óptimo. Finalmente, Nguyen et al. (2022) compararon modelos de deep learning (CNN, transformer, LSTM y LSTM con atención o LSTM-ATT) para predecir el dengue mensual en 20 provincias de Vietnam usando variables climáticas, encontrando que el LSTM-ATT logró el mejor desempeño; si bien el rendimiento es prometedor, su implementación requiere volúmenes de datos de alta frecuencia no disponibles en el contexto colombiano, donde la granularidad mensual del SIVIGILA impone una restricción real que XGBoost maneja más robustamente que arquitecturas de secuencia profunda. Ninguno de estos trabajos reporta la comparación que aquí se plantea como central: la sensibilidad sobre el inicio del brote frente al canal endémico, que es la referencia que los sistemas de vigilancia latinoamericanos ya aplican en la práctica (Bortman, 1999). Esa ausencia es la brecha específica que este proyecto busca cerrar.</w:t>
      </w:r>
    </w:p>
    <w:p>
      <w:pPr>
        <w:pStyle w:val="Heading1"/>
      </w:pPr>
      <w:r>
        <w:t>Metodología y enfoque propuesto</w:t>
      </w:r>
    </w:p>
    <w:p>
      <w:pPr>
        <w:pStyle w:val="Heading2"/>
      </w:pPr>
      <w:r>
        <w:t>Enfoque técnico</w:t>
      </w:r>
    </w:p>
    <w:p>
      <w:r>
        <w:t xml:space="preserve">SAT-Dengue extiende la arquitectura desarrollada en el curso Proyecto: desarrollo de soluciones hacia un sistema operacional en producción. La solución se articula en cuatro componentes: (1) un pipeline de ingesta automatizado que extrae mensualmente datos del SIVIGILA mediante la API del INS y variables climáticas de ERA5/CHIRPS a través de Google Earth Engine, los integra en un panel municipal y los versiona con DVC; (2) una API REST construida en FastAPI que expone endpoints para la carga de datos mensuales, ejecución del modelo champion y consulta del historial de predicciones, desplegada en contenedores Docker, hoy sobre Railway en el prototipo y evaluando AWS ECS o GCP Cloud Run para la versión de producción; (3) un tablero web en React con Vite, servido de forma independiente y alimentado por la API, que visualiza la probabilidad de brote por municipio, el canal endémico histórico y las zonas de alerta (Normal/Alerta/Exceso), accesible para funcionarios de salud; y (4) un pipeline de reentrenamiento que evalúa mensualmente si un nuevo modelo supera al champion registrado en MLflow y lo promueve automáticamente si mejora la sensibilidad sobre inicios de brote sin degradar la tasa de falsas alarmas.</w:t>
        <w:br/>
        <w:t xml:space="preserve">El modelo central es un clasificador XGBoost (Chen &amp; Guestrin, 2016) entrenado con 39 variables predictoras: rezagos de casos de dengue clásico y grave de 1 a 6 meses y su media móvil de 3, la posición en el canal endémico (P25, P75 y zona), la razón de incidencia estandarizada, la estacionalidad circular (seno y coseno del mes) y nueve variables climáticas de ERA5/CHIRPS, con rezagos de 1 a 3 meses en temperatura y precipitación. El panel contiene 41 columnas candidatas; las dos que quedan fuera del contrato de entrada del modelo campeón son los conteos de casos del mes en curso, excluidas por una decisión de diseño operacional, ya que ese conteo llega incompleto en el momento de correr la predicción. Medir el costo de esa exclusión con un experimento con y sin esas dos variables es una de las tareas del proyecto. La calibración con Platt scaling corrige el sesgo sistemático que los modelos de árboles introducen en sus probabilidades (Niculescu-Mizil &amp; Caruana, 2005), de modo que la salida sea interpretable como riesgo y no solo como puntaje de ordenamiento.</w:t>
        <w:br/>
        <w:t xml:space="preserve">El plan de validación contempla una evaluación retrospectiva con ventana expansiva sobre 2024–2025, recalculando el canal endémico de referencia dentro de cada partición para evitar fuga temporal, y reportando en paralelo el desempeño del canal endémico sobre esas mismas filas como línea base. Las métricas que deciden son la sensibilidad sobre inicios de brote, la tasa de falsas alarmas y la anticipación media; el AUROC agregado se reporta como contexto y no como criterio, porque sobre un panel mensual está dominado por los meses de continuación del brote. A esto se suma una validación prospectiva sobre 2026 con los datos que llegan mes a mes.</w:t>
      </w:r>
    </w:p>
    <w:p>
      <w:pPr>
        <w:pStyle w:val="Heading2"/>
      </w:pPr>
      <w:r>
        <w:t>Herramientas</w:t>
      </w:r>
    </w:p>
    <w:p>
      <w:r>
        <w:t xml:space="preserve">Python 3.12, XGBoost, LightGBM, scikit-learn, FastAPI, React con Vite, Docker, MLflow, DVC, Google Earth Engine Python API, pandas/pyarrow, Railway, AWS ECS / GCP Cloud Run.</w:t>
      </w:r>
    </w:p>
    <w:p>
      <w:pPr>
        <w:pStyle w:val="Heading1"/>
      </w:pPr>
      <w:r>
        <w:t>Exploración y descripción de los datos</w:t>
      </w:r>
    </w:p>
    <w:p>
      <w:r>
        <w:t xml:space="preserve">El proyecto utiliza tres fuentes de datos principales. La fuente epidemiológica es el SIVIGILA, que aporta 1.700.114 casos de dengue clásico (COD_EVE 210) y 49.783 de dengue grave (COD_EVE 220) para el período 2007–2025, a granularidad semanal y municipal. Los dos códigos corresponden a eventos de notificación distintos y no se suman: el panel los mantiene como dos series separadas. Estos datos se agregan mensualmente por municipio y se transforman en un panel balanceado de 253.992 filas sobre 1.114 municipios, con variables de rezago, canal endémico (percentiles P25 y P75 según la metodología de Bortman, 1999, calculados sobre la ventana de referencia 2007–2022 y recalculados dentro de cada partición de validación para no arrastrar información del futuro) y la variable objetivo binaria brote = 1 cuando casos_clasico &gt; P75. La fuente climática corresponde a ERA5 (ECMWF Reanalysis v5) y CHIRPS, con 9 variables mensuales por municipio: temperatura media y punto de rocío (ERA5), precipitación (CHIRPS), agua en suelo capa 1, escorrentía superficial, evapotranspiración, viento zonal y meridional, y radiación solar. El porcentaje de valores faltantes en variables climáticas es del 3,7 %, concentrado en municipios pequeños con cobertura parcial de ERA5. Hoy no se imputa por municipio: los modelos de árboles manejan el faltante de forma nativa y los modelos que no lo admiten reciben cero de manera explícita. Definir una imputación con mejor fundamento espacial es una de las tareas del proyecto, porque al pasar de dos municipios a 523 el faltante deja de ser marginal. Del DANE se usan hoy los códigos DIVIPOLA para unificar el identificador municipal entre fuentes. Las proyecciones de población todavía no están en el panel; incorporarlas para normalizar por tasa de incidencia es necesario al ampliar el alcance, porque un umbral sobre conteos absolutos no es comparable entre municipios de tamaños muy distintos.</w:t>
        <w:br/>
        <w:t xml:space="preserve">Los datos no contienen información personal identificable, son estadísticas agregadas a nivel municipal. No se requieren acuerdos de confidencialidad. El acceso a SIVIGILA se realiza a través del portal datos.ins.gov.co (público) y el acceso a ERA5/CHIRPS a través de Google Earth Engine con cuenta de investigación académica.</w:t>
      </w:r>
    </w:p>
    <w:p>
      <w:pPr>
        <w:pStyle w:val="Heading1"/>
      </w:pPr>
      <w:r>
        <w:t>Consideraciones Éticas</w:t>
      </w:r>
    </w:p>
    <w:p>
      <w:r>
        <w:t>Los datos utilizados por SAT-Dengue son estadísticas epidemiológicas agregadas a nivel municipal, sin ningún dato individual identificable. No existe riesgo de vulneración de privacidad de pacientes. Sin embargo, el sistema presenta consideraciones éticas relevantes que el equipo aborda de manera explícita.</w:t>
        <w:br/>
        <w:t xml:space="preserve">El principal riesgo ético es el desequilibrio entre los costos de los errores tipo I (falsas alarmas) y tipo II (brotes no detectados). Una falsa alarma puede generar pánico innecesario, desviar recursos sanitarios y erosionar la confianza en el sistema; un brote no detectado puede resultar en morbilidad y mortalidad prevenible. El umbral de clasificación del modelo actual se elige maximizando F1 sobre el conjunto de validación, criterio que reparte por igual el peso de los dos errores. Dado el desequilibrio real de sus costos, este proyecto revisará esa elección con una función de costo explícita que penalice más el brote no detectado, y el umbral resultante se comunicará abiertamente a los usuarios del sistema.</w:t>
        <w:br/>
        <w:t xml:space="preserve">Para garantizar la transparencia y explicabilidad, el sistema expone valores SHAP que muestran cuáles variables climáticas y epidemiológicas contribuyeron a cada predicción, permitiendo a los funcionarios de salud evaluar críticamente la alerta antes de actuar. El sistema es presentado como apoyo a la decisión, no como reemplazo del juicio clínico y epidemiológico. Finalmente, se reconoce el riesgo de sesgo geográfico: el modelo fue entrenado predominantemente sobre municipios medianos y grandes (Bucaramanga, Cali); su extensión a municipios pequeños con alta ruralidad requiere validación específica y podría reproducir desigualdades en la cobertura del sistema de alertas.</w:t>
      </w:r>
    </w:p>
    <w:p>
      <w:pPr>
        <w:pStyle w:val="Heading1"/>
      </w:pPr>
      <w:r>
        <w:t>Evaluación y Métricas</w:t>
      </w:r>
    </w:p>
    <w:p>
      <w:r>
        <w:t xml:space="preserve">El sistema se evaluará mediante cinco métricas principales: (1) AUROC sobre el conjunto de prueba, como medida global de discriminación y no como criterio de decisión: la línea base del modelo campeón actual es 0,90 en validación (2022–2023) y 0,90 en prueba (2024–2025) sobre el panel nacional. Estas cifras están dominadas por los meses de continuación del brote, así que un AUROC alto no implica capacidad de alerta temprana; el umbral que se exige a la versión desplegada es no bajar de 0,85 sobre datos prospectivos de 2026. (2) Sensibilidad sobre inicios de brote, que es la métrica principal: proporción de episodios epidémicos cuyo primer mes fue correctamente alertado, medida sobre los municipios endémicos del panel. El criterio de éxito tiene dos partes, detectar al menos el 70 % de los inicios y superar al canal endémico evaluado sobre las mismas filas, que es la comparación que el ejercicio previo dejó sin resolver por falta de transiciones. (3) Tasa de falsas alarmas (1 − especificidad) sobre meses no epidémicos; se busca mantenerla por debajo del 25 %. (4) Brier score como medida de calibración probabilística; la calibración Platt del modelo actual reduce el Brier de 0,116 a 0,072 sobre el conjunto de validación, que es donde se ajusta el calibrador; el objetivo es conservar esa mejora al reevaluar sobre el conjunto ampliado de municipios. (5) Tiempo de anticipación promedio: número de meses entre la primera alerta y el inicio clínico del brote, calculado sobre los brotes correctamente detectados; el objetivo es ≥ 1 mes de anticipación en el 60 % de los casos.</w:t>
        <w:br/>
        <w:t xml:space="preserve">La validación prospectiva se ejecuta sobre los datos de 2026 conforme llegan, contrastando cada alerta emitida contra lo observado el mes siguiente y contra la alerta que el canal endémico habría dado sobre esa misma fila. Si dentro del cronograma se consigue socializar el sistema con una Secretaría de Salud, se aplicará además una encuesta de utilidad clínica percibida en escala Likert; esa actividad se plantea como extensión y no como condición de éxito del proyecto.</w:t>
      </w:r>
    </w:p>
    <w:p>
      <w:pPr>
        <w:pStyle w:val="Heading1"/>
      </w:pPr>
      <w:r>
        <w:t xml:space="preserve">Viabilidad y recursos</w:t>
      </w:r>
    </w:p>
    <w:p>
      <w:r>
        <w:t xml:space="preserve">El proyecto es viable con los recursos que el equipo ya tiene. Las tres fuentes de datos son públicas y están descargadas: SIVIGILA por el portal del INS, ERA5 y CHIRPS por Google Earth Engine con cuenta académica. El panel de los 1.114 municipios ya está construido y versionado con DVC, y el pipeline admite el alcance nacional sin cambios de código, así que ampliar de 2 a 523 municipios no exige recolectar nada nuevo. El entrenamiento sobre 118.721 filas y 39 variables corre en minutos en un portátil, de modo que no hay requerimiento de GPU ni de cómputo pago. La infraestructura de seguimiento de experimentos (MLflow sobre una instancia EC2 t3.small del AWS Academy Learner Lab) y el despliegue en contenedores ya están operando desde el micro-proyecto. El equipo son cuatro estudiantes de la maestría con el acompañamiento del experto de dominio.</w:t>
      </w:r>
    </w:p>
    <w:p>
      <w:r>
        <w:t xml:space="preserve">El desarrollo se organiza en seis fases sobre el semestre 2026-20, con los hitos que se listan a continuación. Los dos riesgos identificados son la instancia del Learner Lab, que se detiene y cambia de IP pública al cerrar la sesión del laboratorio, mitigado dejando el servidor como servicio de systemd y la URI de seguimiento fuera del código; y la concentración del faltante climático en municipios pequeños, que se atiende de forma explícita en la fase 1 antes de entrenar.</w:t>
      </w:r>
    </w:p>
    <w:tbl>
      <w:tblPr>
        <w:tblStyle w:val="TableGrid"/>
        <w:tblW w:type="auto" w:w="0"/>
        <w:tblLook w:firstColumn="1" w:firstRow="1" w:lastColumn="0" w:lastRow="0" w:noHBand="0" w:noVBand="1" w:val="04A0"/>
      </w:tblPr>
      <w:tblGrid>
        <w:gridCol w:w="2880"/>
        <w:gridCol w:w="2880"/>
        <w:gridCol w:w="2880"/>
      </w:tblGrid>
      <w:tr>
        <w:trPr>
          <w:tblHeader w:val="true"/>
          <w:cantSplit/>
        </w:trPr>
        <w:tc>
          <w:tcPr>
            <w:tcW w:type="dxa" w:w="2880"/>
          </w:tcPr>
          <w:p>
            <w:r/>
            <w:r>
              <w:rPr>
                <w:b/>
                <w:sz w:val="18"/>
              </w:rPr>
              <w:t>Fase</w:t>
            </w:r>
          </w:p>
        </w:tc>
        <w:tc>
          <w:tcPr>
            <w:tcW w:type="dxa" w:w="2880"/>
          </w:tcPr>
          <w:p>
            <w:r/>
            <w:r>
              <w:rPr>
                <w:b/>
                <w:sz w:val="18"/>
              </w:rPr>
              <w:t>Semanas</w:t>
            </w:r>
          </w:p>
        </w:tc>
        <w:tc>
          <w:tcPr>
            <w:tcW w:type="dxa" w:w="2880"/>
          </w:tcPr>
          <w:p>
            <w:r/>
            <w:r>
              <w:rPr>
                <w:b/>
                <w:sz w:val="18"/>
              </w:rPr>
              <w:t>Entregable</w:t>
            </w:r>
          </w:p>
        </w:tc>
      </w:tr>
      <w:tr>
        <w:trPr>
          <w:cantSplit/>
        </w:trPr>
        <w:tc>
          <w:tcPr>
            <w:tcW w:type="dxa" w:w="2880"/>
          </w:tcPr>
          <w:p>
            <w:r/>
            <w:r>
              <w:rPr>
                <w:sz w:val="18"/>
              </w:rPr>
              <w:t>1. Ampliación del panel a los 523 municipios endémicos y tratamiento del faltante climático</w:t>
            </w:r>
          </w:p>
        </w:tc>
        <w:tc>
          <w:tcPr>
            <w:tcW w:type="dxa" w:w="2880"/>
          </w:tcPr>
          <w:p>
            <w:r/>
            <w:r>
              <w:rPr>
                <w:sz w:val="18"/>
              </w:rPr>
              <w:t>22 sep – 5 oct</w:t>
            </w:r>
          </w:p>
        </w:tc>
        <w:tc>
          <w:tcPr>
            <w:tcW w:type="dxa" w:w="2880"/>
          </w:tcPr>
          <w:p>
            <w:r/>
            <w:r>
              <w:rPr>
                <w:sz w:val="18"/>
              </w:rPr>
              <w:t>Panel ampliado versionado en DVC e informe de cobertura y faltantes por municipio</w:t>
            </w:r>
          </w:p>
        </w:tc>
      </w:tr>
      <w:tr>
        <w:trPr>
          <w:cantSplit/>
        </w:trPr>
        <w:tc>
          <w:tcPr>
            <w:tcW w:type="dxa" w:w="2880"/>
          </w:tcPr>
          <w:p>
            <w:r/>
            <w:r>
              <w:rPr>
                <w:sz w:val="18"/>
              </w:rPr>
              <w:t>2. Línea base del canal endémico sobre el alcance ampliado</w:t>
            </w:r>
          </w:p>
        </w:tc>
        <w:tc>
          <w:tcPr>
            <w:tcW w:type="dxa" w:w="2880"/>
          </w:tcPr>
          <w:p>
            <w:r/>
            <w:r>
              <w:rPr>
                <w:sz w:val="18"/>
              </w:rPr>
              <w:t>6 – 12 oct</w:t>
            </w:r>
          </w:p>
        </w:tc>
        <w:tc>
          <w:tcPr>
            <w:tcW w:type="dxa" w:w="2880"/>
          </w:tcPr>
          <w:p>
            <w:r/>
            <w:r>
              <w:rPr>
                <w:sz w:val="18"/>
              </w:rPr>
              <w:t>Métricas del canal endémico por municipio y agregadas, con recálculo dentro de cada partición</w:t>
            </w:r>
          </w:p>
        </w:tc>
      </w:tr>
      <w:tr>
        <w:trPr>
          <w:cantSplit/>
        </w:trPr>
        <w:tc>
          <w:tcPr>
            <w:tcW w:type="dxa" w:w="2880"/>
          </w:tcPr>
          <w:p>
            <w:r/>
            <w:r>
              <w:rPr>
                <w:sz w:val="18"/>
              </w:rPr>
              <w:t>3. Reentrenamiento y evaluación de modelos a horizontes T+1 y T+2 con ventana expansiva</w:t>
            </w:r>
          </w:p>
        </w:tc>
        <w:tc>
          <w:tcPr>
            <w:tcW w:type="dxa" w:w="2880"/>
          </w:tcPr>
          <w:p>
            <w:r/>
            <w:r>
              <w:rPr>
                <w:sz w:val="18"/>
              </w:rPr>
              <w:t>13 oct – 2 nov</w:t>
            </w:r>
          </w:p>
        </w:tc>
        <w:tc>
          <w:tcPr>
            <w:tcW w:type="dxa" w:w="2880"/>
          </w:tcPr>
          <w:p>
            <w:r/>
            <w:r>
              <w:rPr>
                <w:sz w:val="18"/>
              </w:rPr>
              <w:t>Tabla comparativa modelo contra canal endémico sobre inicios de brote, falsas alarmas y anticipación</w:t>
            </w:r>
          </w:p>
        </w:tc>
      </w:tr>
      <w:tr>
        <w:trPr>
          <w:cantSplit/>
        </w:trPr>
        <w:tc>
          <w:tcPr>
            <w:tcW w:type="dxa" w:w="2880"/>
          </w:tcPr>
          <w:p>
            <w:r/>
            <w:r>
              <w:rPr>
                <w:sz w:val="18"/>
              </w:rPr>
              <w:t>4. Experimentos de diseño: con y sin los casos del mes en curso, normalización por población y granularidad semanal</w:t>
            </w:r>
          </w:p>
        </w:tc>
        <w:tc>
          <w:tcPr>
            <w:tcW w:type="dxa" w:w="2880"/>
          </w:tcPr>
          <w:p>
            <w:r/>
            <w:r>
              <w:rPr>
                <w:sz w:val="18"/>
              </w:rPr>
              <w:t>3 – 16 nov</w:t>
            </w:r>
          </w:p>
        </w:tc>
        <w:tc>
          <w:tcPr>
            <w:tcW w:type="dxa" w:w="2880"/>
          </w:tcPr>
          <w:p>
            <w:r/>
            <w:r>
              <w:rPr>
                <w:sz w:val="18"/>
              </w:rPr>
              <w:t>Resultados de los tres experimentos con su discusión</w:t>
            </w:r>
          </w:p>
        </w:tc>
      </w:tr>
      <w:tr>
        <w:trPr>
          <w:cantSplit/>
        </w:trPr>
        <w:tc>
          <w:tcPr>
            <w:tcW w:type="dxa" w:w="2880"/>
          </w:tcPr>
          <w:p>
            <w:r/>
            <w:r>
              <w:rPr>
                <w:sz w:val="18"/>
              </w:rPr>
              <w:t>5. Despliegue del modelo ganador, la API y el tablero sobre el alcance ampliado</w:t>
            </w:r>
          </w:p>
        </w:tc>
        <w:tc>
          <w:tcPr>
            <w:tcW w:type="dxa" w:w="2880"/>
          </w:tcPr>
          <w:p>
            <w:r/>
            <w:r>
              <w:rPr>
                <w:sz w:val="18"/>
              </w:rPr>
              <w:t>17 – 30 nov</w:t>
            </w:r>
          </w:p>
        </w:tc>
        <w:tc>
          <w:tcPr>
            <w:tcW w:type="dxa" w:w="2880"/>
          </w:tcPr>
          <w:p>
            <w:r/>
            <w:r>
              <w:rPr>
                <w:sz w:val="18"/>
              </w:rPr>
              <w:t>Sistema en la nube sirviendo los 523 municipios, con reentrenamiento automatizado</w:t>
            </w:r>
          </w:p>
        </w:tc>
      </w:tr>
      <w:tr>
        <w:trPr>
          <w:cantSplit/>
        </w:trPr>
        <w:tc>
          <w:tcPr>
            <w:tcW w:type="dxa" w:w="2880"/>
          </w:tcPr>
          <w:p>
            <w:r/>
            <w:r>
              <w:rPr>
                <w:sz w:val="18"/>
              </w:rPr>
              <w:t>6. Validación prospectiva interna sobre 2026 y escritura del documento final</w:t>
            </w:r>
          </w:p>
        </w:tc>
        <w:tc>
          <w:tcPr>
            <w:tcW w:type="dxa" w:w="2880"/>
          </w:tcPr>
          <w:p>
            <w:r/>
            <w:r>
              <w:rPr>
                <w:sz w:val="18"/>
              </w:rPr>
              <w:t>1 – 14 dic</w:t>
            </w:r>
          </w:p>
        </w:tc>
        <w:tc>
          <w:tcPr>
            <w:tcW w:type="dxa" w:w="2880"/>
          </w:tcPr>
          <w:p>
            <w:r/>
            <w:r>
              <w:rPr>
                <w:sz w:val="18"/>
              </w:rPr>
              <w:t>Documento de trabajo de grado y sustentación</w:t>
            </w:r>
          </w:p>
        </w:tc>
      </w:tr>
    </w:tbl>
    <w:p>
      <w:pPr>
        <w:pStyle w:val="Heading1"/>
      </w:pPr>
      <w:r>
        <w:t>Bibliografía</w:t>
      </w:r>
    </w:p>
    <w:p>
      <w:pPr>
        <w:pStyle w:val="ListBullet"/>
      </w:pPr>
      <w:r>
        <w:rPr>
          <w:b w:val="0"/>
          <w:color w:val="auto"/>
        </w:rPr>
        <w:t xml:space="preserve">Bortman, M. (1999). Elaboración de corredores o canales endémicos mediante planillas de cálculo. Revista Panamericana de Salud Pública, 5(1), 1–8. https://doi.org/10.1590/S1020-49891999000100001</w:t>
      </w:r>
    </w:p>
    <w:p>
      <w:pPr>
        <w:pStyle w:val="ListBullet"/>
      </w:pPr>
      <w:r>
        <w:rPr>
          <w:b w:val="0"/>
          <w:color w:val="auto"/>
        </w:rPr>
        <w:t xml:space="preserve">Chen, T., &amp; Guestrin, C. (2016). XGBoost: A scalable tree boosting system. Proceedings of the 22nd ACM SIGKDD International Conference on Knowledge Discovery and Data Mining, 785–794. https://doi.org/10.1145/2939672.2939785</w:t>
      </w:r>
    </w:p>
    <w:p>
      <w:pPr>
        <w:pStyle w:val="ListBullet"/>
      </w:pPr>
      <w:r>
        <w:rPr>
          <w:b w:val="0"/>
          <w:color w:val="auto"/>
        </w:rPr>
        <w:t xml:space="preserve">Chen, X., &amp; Moraga, P. (2025). Assessing dengue forecasting methods: a comparative study of statistical models and machine learning techniques in Rio de Janeiro, Brazil. Tropical Medicine and Health, 53, 41. https://doi.org/10.1186/s41182-025-00723-7</w:t>
      </w:r>
    </w:p>
    <w:p>
      <w:pPr>
        <w:pStyle w:val="ListBullet"/>
      </w:pPr>
      <w:r>
        <w:t xml:space="preserve">Instituto Nacional de Salud. (2025). Sistema Nacional de Vigilancia en Salud Pública (SIVIGILA): datos abiertos de eventos de notificación obligatoria. Instituto Nacional de Salud de Colombia. https://portalsivigila.ins.gov.co</w:t>
        <w:rPr>
          <w:b w:val="0"/>
          <w:color w:val="auto"/>
        </w:rPr>
      </w:r>
    </w:p>
    <w:p>
      <w:pPr>
        <w:pStyle w:val="ListBullet"/>
      </w:pPr>
      <w:r>
        <w:t xml:space="preserve">Mordecai, E. A., Caldwell, J. M., Grossman, M. K., Lippi, C. A., Johnson, L. R., Neira, M., et al. (2019). Thermal biology of mosquito-borne disease. Ecology Letters, 22(10), 1690–1708. https://doi.org/10.1111/ele.13335</w:t>
        <w:rPr>
          <w:b w:val="0"/>
          <w:color w:val="auto"/>
        </w:rPr>
      </w:r>
    </w:p>
    <w:p>
      <w:pPr>
        <w:pStyle w:val="ListBullet"/>
      </w:pPr>
      <w:r>
        <w:rPr>
          <w:b w:val="0"/>
          <w:color w:val="auto"/>
        </w:rPr>
        <w:t xml:space="preserve">Nguyen, V.-H., Tuyet-Hanh, T. T., Mulhall, J., Minh, H. V., Duong, T. Q., Chien, N. V., et al. (2022). Deep learning models for forecasting dengue fever based on climate data in Vietnam. PLOS Neglected Tropical Diseases, 16(6), e0010509. https://doi.org/10.1371/journal.pntd.0010509</w:t>
      </w:r>
    </w:p>
    <w:p>
      <w:pPr>
        <w:pStyle w:val="ListBullet"/>
      </w:pPr>
      <w:r>
        <w:t xml:space="preserve">Niculescu-Mizil, A., &amp; Caruana, R. (2005). Predicting good probabilities with supervised learning. Proceedings of the 22nd International Conference on Machine Learning, 625–632. https://doi.org/10.1145/1102351.1102430</w:t>
        <w:rPr>
          <w:b w:val="0"/>
          <w:color w:val="auto"/>
        </w:rPr>
      </w:r>
    </w:p>
    <w:p>
      <w:pPr>
        <w:pStyle w:val="ListBullet"/>
      </w:pPr>
      <w:r>
        <w:t xml:space="preserve">Racloz, V., Ramsey, R., Tong, S., &amp; Hu, W. (2012). Surveillance of dengue fever virus: A review of epidemiological models and early warning systems. PLOS Neglected Tropical Diseases, 6(2), e1648. https://doi.org/10.1371/journal.pntd.0001648</w:t>
        <w:rPr>
          <w:b w:val="0"/>
          <w:color w:val="auto"/>
        </w:rPr>
      </w:r>
    </w:p>
    <w:p>
      <w:pPr>
        <w:pStyle w:val="ListBullet"/>
      </w:pPr>
      <w:r>
        <w:rPr>
          <w:b w:val="0"/>
          <w:color w:val="auto"/>
        </w:rPr>
        <w:t xml:space="preserve">World Health Organization. (2012). Global strategy for dengue prevention and control 2012–2020. WHO. https://www.who.int/publications/i/item/9789241504034</w:t>
      </w:r>
    </w:p>
    <w:p>
      <w:pPr>
        <w:pStyle w:val="ListBullet"/>
      </w:pPr>
      <w:r>
        <w:rPr>
          <w:b w:val="0"/>
          <w:color w:val="auto"/>
        </w:rPr>
        <w:t xml:space="preserve">Zhao, N., Charland, K., Carabali, M., Nsoesie, E. O., Maheu-Giroux, M., Rees, E., Yuan, M., Garcia Balaguera, C., Jaramillo Ramirez, G., &amp; Zinszer, K. (2020). Machine learning and dengue forecasting: Comparing random forests and artificial neural networks for predicting dengue burden at national and sub-national scales in Colombia. PLOS Neglected Tropical Diseases, 14(9), e0008056. https://doi.org/10.1371/journal.pntd.0008056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2026-09-14T20:00:00Z</dcterms:modified>
  <cp:category/>
</cp:coreProperties>
</file>