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1. Variable objetivo: casos graves mensuales por municipio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 distribución de la variable objetivo (número de casos de dengue grave por municipio por mes) presenta un desbalance de clases severo: el 84.2% de las observaciones corresponden a meses con cero casos graves. El 15.8% restante concentra todos los eventos de interés, con un máximo registrado de 250 casos en un solo mes.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Estadístico</w:t>
            </w:r>
          </w:p>
        </w:tc>
        <w:tc>
          <w:tcPr>
            <w:tcW w:type="dxa" w:w="456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Media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0.448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Desviación estándar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3.247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Mínimo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Mediana (P50)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Máximo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250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Filas con grave = 0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94,081 (84.2%)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Filas con grave &gt; 0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17,714  (15.8%)</w:t>
            </w:r>
          </w:p>
        </w:tc>
      </w:tr>
    </w:tbl>
    <w:p/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El desbalance requiere estrategias específicas durante el modelado: uso del parámetro scale_pos_weight en XGBoost, ajuste del umbral de clasificación (threshold tuning) y evaluación mediante métricas robustas a desbalance (AUC-PR, F1, recall por clase).</w:t>
      </w:r>
    </w:p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2. Features construidas y su correlación con la variable objetivo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Se construyeron 30 features organizadas en cinco grupos. La tabla siguiente resume cada feature, su grupo, cobertura de datos y correlación de Pearson con la variable objetivo. La correlación lineal es un indicador referencial; XGBoost captura relaciones no lineales que la correlación de Pearson no refleja.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Grupo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Cobertura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Corr. Pearson</w:t>
            </w:r>
          </w:p>
        </w:tc>
        <w:tc>
          <w:tcPr>
            <w:tcW w:type="dxa" w:w="1824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Observación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grave_lag_1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98.9%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0.921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Mejor predictor individual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grave_roll3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0.903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Carga acumulada 3 meses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grave_lag_2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97.9%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0.888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grave_lag_3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0.844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grave_lag_4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96.0%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0.796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grave_lag_6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grave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94.2%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0.721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Persistencia a mediano plazo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p75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Canal endémico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99.4%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0.456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Mejor predictor no-lag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clasico_lag_1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98.9%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0.371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Precursor epidémico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clasico_roll3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0.352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clasico_lag_2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97.9%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0.349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clasico_lag_3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97.0%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0.327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p25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Canal endémico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99.4%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0.322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Umbral inferior del canal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clasico_lag_4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96.0%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0.305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clasico_lag_6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Rezago clásico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94.2%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0.272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zona_canal_lag1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Canal endémico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0.237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Estado epidémico mes anterior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es_endemico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Canal endémico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100.0%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0.176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sir_lag1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Canal endémico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63.6%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0.095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Ratio casos / media histórica municipio-mes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ANO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Temporal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−0.100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Tendencia decreciente largo plazo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anio_epidemia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Temporal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−0.100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Tendencia continua desde 2007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Temporal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−0.006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mes_sin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Temporal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0.005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Estacionalidad cíclica mensual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mes_cos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Temporal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100%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−0.005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temp_mean_c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Temperatura ERA5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96.4%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−0.022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Relación no lineal con vector</w:t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temp_lag_1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Temperatura ERA5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95.4%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−0.022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temp_lag_2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Temperatura ERA5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94.5%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−0.022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temp_lag_3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Temperatura ERA5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93.6%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−0.021</w:t>
            </w:r>
          </w:p>
        </w:tc>
        <w:tc>
          <w:tcPr>
            <w:tcW w:type="dxa" w:w="1824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</w:r>
          </w:p>
        </w:tc>
      </w:tr>
      <w:tr>
        <w:tc>
          <w:tcPr>
            <w:tcW w:type="dxa" w:w="1824"/>
          </w:tcPr>
          <w:p>
            <w:r>
              <w:t>rain_mm_day</w:t>
            </w:r>
          </w:p>
        </w:tc>
        <w:tc>
          <w:tcPr>
            <w:tcW w:type="dxa" w:w="1824"/>
          </w:tcPr>
          <w:p>
            <w:r>
              <w:t>Lluvia CHIRPS</w:t>
            </w:r>
          </w:p>
        </w:tc>
        <w:tc>
          <w:tcPr>
            <w:tcW w:type="dxa" w:w="1824"/>
          </w:tcPr>
          <w:p>
            <w:r>
              <w:t>96.4%</w:t>
            </w:r>
          </w:p>
        </w:tc>
        <w:tc>
          <w:tcPr>
            <w:tcW w:type="dxa" w:w="1824"/>
          </w:tcPr>
          <w:p>
            <w:r>
              <w:t>−0.030</w:t>
            </w:r>
          </w:p>
        </w:tc>
        <w:tc>
          <w:tcPr>
            <w:tcW w:type="dxa" w:w="1824"/>
          </w:tcPr>
          <w:p>
            <w:r>
              <w:t>Proxy criaderos (ciclo larvario)</w:t>
            </w:r>
          </w:p>
        </w:tc>
      </w:tr>
      <w:tr>
        <w:tc>
          <w:tcPr>
            <w:tcW w:type="dxa" w:w="1824"/>
          </w:tcPr>
          <w:p>
            <w:r>
              <w:t>rain_lag_1</w:t>
            </w:r>
          </w:p>
        </w:tc>
        <w:tc>
          <w:tcPr>
            <w:tcW w:type="dxa" w:w="1824"/>
          </w:tcPr>
          <w:p>
            <w:r>
              <w:t>Lluvia CHIRPS</w:t>
            </w:r>
          </w:p>
        </w:tc>
        <w:tc>
          <w:tcPr>
            <w:tcW w:type="dxa" w:w="1824"/>
          </w:tcPr>
          <w:p>
            <w:r>
              <w:t>95.4%</w:t>
            </w:r>
          </w:p>
        </w:tc>
        <w:tc>
          <w:tcPr>
            <w:tcW w:type="dxa" w:w="1824"/>
          </w:tcPr>
          <w:p>
            <w:r>
              <w:t>−0.031</w:t>
            </w:r>
          </w:p>
        </w:tc>
        <w:tc>
          <w:tcPr>
            <w:tcW w:type="dxa" w:w="1824"/>
          </w:tcPr>
          <w:p>
            <w:r/>
          </w:p>
        </w:tc>
      </w:tr>
      <w:tr>
        <w:tc>
          <w:tcPr>
            <w:tcW w:type="dxa" w:w="1824"/>
          </w:tcPr>
          <w:p>
            <w:r>
              <w:t>rain_lag_2</w:t>
            </w:r>
          </w:p>
        </w:tc>
        <w:tc>
          <w:tcPr>
            <w:tcW w:type="dxa" w:w="1824"/>
          </w:tcPr>
          <w:p>
            <w:r>
              <w:t>Lluvia CHIRPS</w:t>
            </w:r>
          </w:p>
        </w:tc>
        <w:tc>
          <w:tcPr>
            <w:tcW w:type="dxa" w:w="1824"/>
          </w:tcPr>
          <w:p>
            <w:r>
              <w:t>94.5%</w:t>
            </w:r>
          </w:p>
        </w:tc>
        <w:tc>
          <w:tcPr>
            <w:tcW w:type="dxa" w:w="1824"/>
          </w:tcPr>
          <w:p>
            <w:r>
              <w:t>−0.033</w:t>
            </w:r>
          </w:p>
        </w:tc>
        <w:tc>
          <w:tcPr>
            <w:tcW w:type="dxa" w:w="1824"/>
          </w:tcPr>
          <w:p>
            <w:r/>
          </w:p>
        </w:tc>
      </w:tr>
      <w:tr>
        <w:tc>
          <w:tcPr>
            <w:tcW w:type="dxa" w:w="1824"/>
          </w:tcPr>
          <w:p>
            <w:r>
              <w:t>rain_lag_3</w:t>
            </w:r>
          </w:p>
        </w:tc>
        <w:tc>
          <w:tcPr>
            <w:tcW w:type="dxa" w:w="1824"/>
          </w:tcPr>
          <w:p>
            <w:r>
              <w:t>Lluvia CHIRPS</w:t>
            </w:r>
          </w:p>
        </w:tc>
        <w:tc>
          <w:tcPr>
            <w:tcW w:type="dxa" w:w="1824"/>
          </w:tcPr>
          <w:p>
            <w:r>
              <w:t>93.6%</w:t>
            </w:r>
          </w:p>
        </w:tc>
        <w:tc>
          <w:tcPr>
            <w:tcW w:type="dxa" w:w="1824"/>
          </w:tcPr>
          <w:p>
            <w:r>
              <w:t>−0.037</w:t>
            </w:r>
          </w:p>
        </w:tc>
        <w:tc>
          <w:tcPr>
            <w:tcW w:type="dxa" w:w="1824"/>
          </w:tcPr>
          <w:p>
            <w:r/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3. Análisis por grupo de features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3.1 Rezagos de dengue grave (rezago_grave)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Constituyen el grupo más predictivo con mucha diferencia. El rezago de un mes (grave_lag_1, r = 0.921) es el predictor más potente del dataset, seguido de grave_roll3 (r = 0.903), grave_lag_2 (r = 0.888), grave_lag_3 (r = 0.844), grave_lag_4 (r = 0.796) y grave_lag_6 (r = 0.721). Las correlaciones mensuales son sustancialmente más altas que en granularidad semanal porque los totales mensuales tienen mayor persistencia temporal. La suma móvil de 3 meses (grave_roll3) captura la carga acumulada reciente y prácticamente empata con el mejor rezago individual.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3.2 Rezagos de dengue clásico (rezago_clasico)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El dengue clásico actúa como precursor del dengue grave: los brotes de casos clásicos suelen preceder en 1 a 4 meses el incremento de casos graves. Las correlaciones mensuales son: clasico_lag_1 (r = 0.371), clasico_roll3 (r = 0.352), clasico_lag_2 (r = 0.349), clasico_lag_3 (r = 0.327), clasico_lag_4 (r = 0.305) y clasico_lag_6 (r = 0.272). El patrón decreciente con el rezago confirma que el período de mayor relevancia predictiva es el mes anterior.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3.3 Temperatura y lluvia (ERA5/CHIRPS via GEE)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 temperatura (ERA5-Land, temp_mean_c) y la lluvia (CHIRPS, rain_mm_day) presentan correlaciones lineales levemente negativas (temp: r ≈ −0.022; lluvia: r ≈ −0.030 a −0.037 con rezago creciente). Esto refleja un efecto de composición: la mayoría de municipios con alta temperatura/lluvia son rurales de baja endemia y dominan la correlación marginal. Sin embargo, la relación entre clima y dengue es no lineal (rango óptimo de 26–32 °C para Aedes aegypti; la lluvia crea criaderos con un ciclo larvario de ~10–14 días). XGBoost captura estas interacciones sin transformación explícita. Cobertura: 96.4% (temperatura 8.9–33.0 °C; lluvia 0.0–46.1 mm/día); nulos manejados nativamente. Se incluyen rezagos t-1, t-2, t-3 para ambas variables.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3.4 Canal endémico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El percentil 75 histórico por mes calendario (p75, r = 0.456) es el umbral de alarma epidémica (metodología Bortman 1999) y es el predictor no-lag más fuerte del dataset. Le sigue p25 (r = 0.322), que captura el umbral inferior del canal. La zona del canal calculada sobre el rezago de 1 mes (zona_canal_lag1, r = 0.237) codifica el estado epidémico reciente: 0 = normal, 1 = alerta, 2 = exceso. Con datos mensuales el 6.1% de observaciones están en zona de exceso (vs. el ~87% antes de aplicar la corrección P75=0). La endemicidad (es_endemico, r = 0.176) distingue municipios con actividad histórica sostenida (139 de 1,182). El SIR (sir_lag1, r = 0.095) tiene cobertura del 63.6% y complementa el canal con una perspectiva relativa.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3.5 Features temporales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El año (ANO) y anio_epidemia presentan correlación negativa (r = −0.100), reflejando la tendencia decreciente a largo plazo de los casos graves en Colombia, posiblemente asociada a mejoras en vigilancia, vacunación y control vectorial. La estacionalidad mensual codificada con mes_sin/mes_cos tiene correlación lineal casi nula (r ≈ ±0.005), pero su interacción con rezagos y canal endémico es capturada por XGBoost. MES (r = −0.006) y anio_epidemia (= ANO − 2007) proveen contexto temporal continuo sin necesidad de indicadores de año epidémico binarios.</w:t>
      </w:r>
    </w:p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4. Dataset final de modelado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El dataset final cuenta con 111,795 observaciones y 34 columnas (3 identificadores + variable objetivo + 30 features). Período 2007–2025, 1,182 municipios. Los nulos restantes, concentrados en features climáticas con rezago largo (sir_lag1: 36.4%; temp/rain_lag_3: 6.4%), son manejados nativamente por XGBoost sin imputación.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Indicador</w:t>
            </w:r>
          </w:p>
        </w:tc>
        <w:tc>
          <w:tcPr>
            <w:tcW w:type="dxa" w:w="456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Valor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Observaciones totales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111,795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Columnas (identificadores + features + target)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34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Municipios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1,182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Período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2007 – 2025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Features con nulos (&gt; 10%)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sir_lag1 (36.4%)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Nulos &lt; 2%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grave_roll3, clasico_roll3 (0%), grave_lag_1, clasico_lag_1 (1.1%)</w:t>
            </w:r>
          </w:p>
        </w:tc>
      </w:tr>
      <w:tr>
        <w:tc>
          <w:tcPr>
            <w:tcW w:type="dxa" w:w="456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Manejo de nulos</w:t>
            </w:r>
          </w:p>
        </w:tc>
        <w:tc>
          <w:tcPr>
            <w:tcW w:type="dxa" w:w="456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XGBoost nativo (sin imputación obligatoria)</w:t>
            </w:r>
          </w:p>
        </w:tc>
      </w:tr>
    </w:tbl>
    <w:p/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5. Partición temporal (sin aleatorización)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 partición respeta la dependencia temporal de los datos: no se realiza ninguna aleatorización para evitar data leakage entre el conjunto de entrenamiento y los conjuntos de evaluación.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Conjunto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Período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Filas</w:t>
            </w:r>
          </w:p>
        </w:tc>
        <w:tc>
          <w:tcPr>
            <w:tcW w:type="dxa" w:w="2280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Positivos (grave &gt; 0)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Entrenamiento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2007 – 2021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83,138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13,833 (16.6%)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Validación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2022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5,308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717 (13.5%)</w:t>
            </w:r>
          </w:p>
        </w:tc>
      </w:tr>
      <w:tr>
        <w:tc>
          <w:tcPr>
            <w:tcW w:type="dxa" w:w="2280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Prueba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2023 – 2025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23,349</w:t>
            </w:r>
          </w:p>
        </w:tc>
        <w:tc>
          <w:tcPr>
            <w:tcW w:type="dxa" w:w="2280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3,164 (13.6%)</w:t>
            </w:r>
          </w:p>
        </w:tc>
      </w:tr>
    </w:tbl>
    <w:p/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 reducción de la tasa de positivos en validación y prueba (del 16.6% (train) al 13.5% (val) y 13.6% (test)) refleja la tendencia decreciente real de casos graves a partir de 2022, lo que supone un reto adicional para la generalización del modelo.</w:t>
      </w:r>
    </w:p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6. Conclusiones</w:t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Rezagos propios como señal dominante. Los rezagos propios de dengue grave dominan el dataset: grave_lag_1 (r = 0.921) y grave_roll3 (r = 0.903)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Clásico como precursor epidémico. Los rezagos de dengue clásico aportan información complementaria sobre el estado epidémico local, reflejando la progresión clínica de clásico a grave con un desfase de 1–3 meses (clasico_lag_1, r = 0.371).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Temperatura y lluvia ERA5/CHIRPS como features de contexto climático. Aunque la correlación lineal de temperatura (r ≈ −0.022) y lluvia (r ≈ −0.030) es baja o negativa en términos marginales, su relación con la abundancia vectorial es no lineal; XGBoost las explotará en combinación con rezagos y canal endémico. Cobertura 96.4% con nulos manejables de forma nativa.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Canal endémico como memoria histórica del municipio. El percentil 75 histórico (p75, r = 0.456) es el predictor no-lag más fuerte del dataset: sintetiza la carga histórica de cada municipio y el umbral de alarma epidémica (metodología Bortman 1999).</w:t>
      </w:r>
      <w:r>
        <w:rPr>
          <w:rFonts w:ascii="Calibri" w:hAnsi="Calibri"/>
          <w:b w:val="0"/>
          <w:sz w:val="22"/>
        </w:rPr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Desbalance de clases como reto central del modelado.</w:t>
      </w:r>
      <w:r>
        <w:rPr>
          <w:rFonts w:ascii="Calibri" w:hAnsi="Calibri"/>
          <w:b w:val="0"/>
          <w:sz w:val="22"/>
        </w:rPr>
        <w:t xml:space="preserve"> El 84% de observaciones con cero casos graves exige el uso de scale_pos_weight, threshold tuning y métricas de evaluación robustas (AUC-PR, F1-score por clase, recall sobre la clase positiva).</w:t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Partición temporal sin data leakage.</w:t>
      </w:r>
      <w:r>
        <w:rPr>
          <w:rFonts w:ascii="Calibri" w:hAnsi="Calibri"/>
          <w:b w:val="0"/>
          <w:sz w:val="22"/>
        </w:rPr>
        <w:t xml:space="preserve"> La partición temporal estricta (train 2007–2021 / val 2022 / test 2023–2025) garantiza la validez del proceso de evaluación respetando la causalidad temporal del problema epidemiológico.</w:t>
      </w:r>
    </w:p>
    <w:p>
      <w:pPr>
        <w:pStyle w:val="ListBullet"/>
        <w:spacing w:before="20" w:after="20"/>
        <w:jc w:val="both"/>
      </w:pPr>
      <w:r>
        <w:rPr>
          <w:rFonts w:ascii="Calibri" w:hAnsi="Calibri"/>
          <w:b/>
          <w:sz w:val="22"/>
        </w:rPr>
        <w:t>Dataset listo para Entrega 2.</w:t>
      </w:r>
      <w:r>
        <w:rPr>
          <w:rFonts w:ascii="Calibri" w:hAnsi="Calibri"/>
          <w:b w:val="0"/>
          <w:sz w:val="22"/>
        </w:rPr>
        <w:t xml:space="preserve"> Las 30 features construidas forman un conjunto robusto para el modelo XGBoost de línea base; en etapas posteriores se podrá evaluar la inclusión de datos demográficos (DANE) y variables de intervención (campañas de fumigación).</w:t>
      </w:r>
    </w:p>
    <w:p>
      <w:pPr>
        <w:spacing w:before="280" w:after="80"/>
        <w:jc w:val="left"/>
      </w:pPr>
      <w:r>
        <w:rPr>
          <w:rFonts w:ascii="Calibri" w:hAnsi="Calibri"/>
          <w:b/>
          <w:sz w:val="26"/>
        </w:rPr>
        <w:t>7. Variables eliminadas, features creadas y variables retenidas</w:t>
      </w:r>
    </w:p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7.1 Variables eliminadas del dataset original (SIVIGILA)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Las siguientes columnas del dataset crudo de SIVIGILA fueron descartadas porque no aportan señal predictiva adelantada, tienen demasiados nulos o son administrativas.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Grupo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Columnas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Razón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IDs administrativos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CONSECUTIVE, COD_PRE, COD_SUB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Sin valor predictivo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Variables de resultado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PAC_HOS, CON_FIN, FEC_HOS, FEC_DEF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Contemporáneas al caso, no leading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Tipo confirmación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TIP_CAS, nom_est_f_caso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Administrativo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Demografía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SEXO, EDAD, AREA, TIP_SS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Sin relación de adelanto temporal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&gt; 99% nulos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FM_FUERZA, FM_UNIDAD, FM_GRADO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Datos militares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&gt; 80% nulos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estrato, fuente, nom_grupo, sem_ges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Cobertura insuficiente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&gt; 83% nulos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CBMTE, COD_PAIS_R, Pais_residencia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Cobertura insuficiente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Cobertura/grupo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COD_ASE, GRU_POB, GP_* (12 cols)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Sin relación epidemiológica directa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Temperatura MODIS LST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gee_lst_municipios.csv, lst_celsius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Reemplazado por ERA5-Land (temp_mean_c) y CHIRPS (rain_mm_day) via gee_environment_mensual.csv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7.2 Features creadas (ingeniería de variables)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Las 30 features del dataset de modelado fueron construidas a partir de las variables 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Feature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Nombre(s)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Rezagos de dengue grave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grave_lag_1, _2, _3, _4, _6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Shift por DIVIPOLA sobre serie mensual de casos graves. Lags 1–6 meses.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Suma móvil grave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grave_roll3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Suma de los 3 rezagos previos de grave (carga acumulada trimestral).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Rezagos de dengue clásico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clasico_lag_1, _2, _3, _4, _6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Idem sobre serie de clásico (precursor epidémico). Lags 1–6 meses.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Suma móvil clásico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clasico_roll3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Suma de los 3 rezagos previos de clásico.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Temperatura mensual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temp_mean_c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Media mensual de temperatura ERA5-Land 2m por DIVIPOLA.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Rezagos de temperatura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temp_lag_1, temp_lag_2, temp_lag_3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Temperatura de meses anteriores (ciclo de vida del vector).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Lluvia mensual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rain_mm_day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Media mensual de precipitación CHIRPS (mm/día) por DIVIPOLA.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Rezagos de lluvia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rain_lag_1, rain_lag_2, rain_lag_3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Lluvia de meses anteriores (proxy de criaderos con rezago).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Estacionalidad cíclica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mes_sin, mes_cos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sin/cos(2π × MES/12): codificación continua del mes sin discontinuidad dic→ene.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Tendencia temporal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ANO, MES, anio_epidemia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Año, mes, y tendencia continua desde 2007 (anio_epidemia = ANO − 2007).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Endemicidad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es_endemico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Binario: municipio con ≥3 meses con casos Y ≥50 casos totales hist.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Canal endémico (umbrales)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p25, p75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Percentiles históricos de grave por DIVIPOLA y MES (referencia 2007–2021).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sz w:val="22"/>
        </w:rPr>
        <w:t>7.3 Variables que permanecen del dataset original</w:t>
      </w:r>
    </w:p>
    <w:p>
      <w:pPr>
        <w:spacing w:before="40" w:after="40"/>
        <w:jc w:val="both"/>
      </w:pPr>
      <w:r>
        <w:rPr>
          <w:rFonts w:ascii="Calibri" w:hAnsi="Calibri"/>
          <w:b w:val="0"/>
          <w:sz w:val="22"/>
        </w:rPr>
        <w:t>Las siguientes columnas pasaron directamente del dataset original al dataset de modelado sin transformación, cumpliendo rol de identificador o variable objetivo.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Columna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Rol</w:t>
            </w:r>
          </w:p>
        </w:tc>
        <w:tc>
          <w:tcPr>
            <w:tcW w:type="dxa" w:w="3041"/>
            <w:shd w:val="clear" w:color="auto" w:fill="D9E1F2"/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Descripcion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divipola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Identificador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Código DIVIPOLA 5 dígitos (COD_DPTO + COD_MUN); llave única nacional.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COD_MUN_O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Identificador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Código municipio SIVIGILA (3 dígitos); solo para trazabilidad.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Departamento_ocurrencia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Identificador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Departamento; útil para análisis geográfico.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ANO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Identificador/Feature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Año epidemiológico.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MES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Identificador/Feature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Mes epidemiológico (1–12).</w:t>
            </w:r>
          </w:p>
        </w:tc>
      </w:tr>
      <w:tr>
        <w:tc>
          <w:tcPr>
            <w:tcW w:type="dxa" w:w="3041"/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grave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Variable objetivo</w:t>
            </w:r>
          </w:p>
        </w:tc>
        <w:tc>
          <w:tcPr>
            <w:tcW w:type="dxa" w:w="3041"/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Casos de dengue grave agregados por municipio y mes.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