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22"/>
          <w:szCs w:val="22"/>
        </w:rPr>
      </w:pPr>
      <w:r w:rsidDel="00000000" w:rsidR="00000000" w:rsidRPr="00000000">
        <w:rPr>
          <w:rtl w:val="0"/>
        </w:rPr>
      </w:r>
    </w:p>
    <w:p w:rsidR="00000000" w:rsidDel="00000000" w:rsidP="00000000" w:rsidRDefault="00000000" w:rsidRPr="00000000" w14:paraId="00000002">
      <w:pPr>
        <w:jc w:val="center"/>
        <w:rPr>
          <w:sz w:val="22"/>
          <w:szCs w:val="22"/>
        </w:rPr>
      </w:pPr>
      <w:r w:rsidDel="00000000" w:rsidR="00000000" w:rsidRPr="00000000">
        <w:rPr>
          <w:rtl w:val="0"/>
        </w:rPr>
      </w:r>
    </w:p>
    <w:p w:rsidR="00000000" w:rsidDel="00000000" w:rsidP="00000000" w:rsidRDefault="00000000" w:rsidRPr="00000000" w14:paraId="00000003">
      <w:pPr>
        <w:jc w:val="center"/>
        <w:rPr>
          <w:sz w:val="22"/>
          <w:szCs w:val="22"/>
        </w:rPr>
      </w:pPr>
      <w:r w:rsidDel="00000000" w:rsidR="00000000" w:rsidRPr="00000000">
        <w:rPr>
          <w:rtl w:val="0"/>
        </w:rPr>
      </w:r>
    </w:p>
    <w:p w:rsidR="00000000" w:rsidDel="00000000" w:rsidP="00000000" w:rsidRDefault="00000000" w:rsidRPr="00000000" w14:paraId="00000004">
      <w:pPr>
        <w:spacing w:after="100" w:before="0" w:line="240" w:lineRule="auto"/>
        <w:jc w:val="center"/>
        <w:rPr>
          <w:sz w:val="22"/>
          <w:szCs w:val="22"/>
        </w:rPr>
      </w:pPr>
      <w:r w:rsidDel="00000000" w:rsidR="00000000" w:rsidRPr="00000000">
        <w:rPr>
          <w:rFonts w:ascii="Arial" w:cs="Arial" w:eastAsia="Arial" w:hAnsi="Arial"/>
          <w:b w:val="1"/>
          <w:bCs w:val="1"/>
          <w:i w:val="0"/>
          <w:iCs w:val="0"/>
          <w:color w:val="1f5aa6"/>
          <w:sz w:val="22"/>
          <w:szCs w:val="22"/>
          <w:rtl w:val="0"/>
        </w:rPr>
        <w:t xml:space="preserve">SAT-Dengue</w:t>
      </w:r>
      <w:r w:rsidDel="00000000" w:rsidR="00000000" w:rsidRPr="00000000">
        <w:rPr>
          <w:rtl w:val="0"/>
        </w:rPr>
      </w:r>
    </w:p>
    <w:p w:rsidR="00000000" w:rsidDel="00000000" w:rsidP="00000000" w:rsidRDefault="00000000" w:rsidRPr="00000000" w14:paraId="00000005">
      <w:pPr>
        <w:spacing w:after="180" w:before="0" w:line="240" w:lineRule="auto"/>
        <w:jc w:val="center"/>
        <w:rPr>
          <w:sz w:val="22"/>
          <w:szCs w:val="22"/>
        </w:rPr>
      </w:pPr>
      <w:r w:rsidDel="00000000" w:rsidR="00000000" w:rsidRPr="00000000">
        <w:rPr>
          <w:rFonts w:ascii="Arial" w:cs="Arial" w:eastAsia="Arial" w:hAnsi="Arial"/>
          <w:b w:val="0"/>
          <w:bCs w:val="0"/>
          <w:i w:val="1"/>
          <w:iCs w:val="1"/>
          <w:color w:val="203040"/>
          <w:sz w:val="22"/>
          <w:szCs w:val="22"/>
          <w:rtl w:val="0"/>
        </w:rPr>
        <w:t xml:space="preserve">Sistema de Alerta Temprana para Brotes de Dengue en Colombia</w:t>
      </w:r>
      <w:r w:rsidDel="00000000" w:rsidR="00000000" w:rsidRPr="00000000">
        <w:rPr>
          <w:rtl w:val="0"/>
        </w:rPr>
      </w:r>
    </w:p>
    <w:p w:rsidR="00000000" w:rsidDel="00000000" w:rsidP="00000000" w:rsidRDefault="00000000" w:rsidRPr="00000000" w14:paraId="00000006">
      <w:pPr>
        <w:spacing w:after="320" w:before="0" w:line="240" w:lineRule="auto"/>
        <w:jc w:val="center"/>
        <w:rPr>
          <w:sz w:val="22"/>
          <w:szCs w:val="22"/>
        </w:rPr>
      </w:pPr>
      <w:r w:rsidDel="00000000" w:rsidR="00000000" w:rsidRPr="00000000">
        <w:rPr>
          <w:rFonts w:ascii="Arial" w:cs="Arial" w:eastAsia="Arial" w:hAnsi="Arial"/>
          <w:b w:val="1"/>
          <w:bCs w:val="1"/>
          <w:i w:val="0"/>
          <w:iCs w:val="0"/>
          <w:color w:val="1f5aa6"/>
          <w:sz w:val="22"/>
          <w:szCs w:val="22"/>
          <w:rtl w:val="0"/>
        </w:rPr>
        <w:t xml:space="preserve">Entrega 3</w:t>
      </w:r>
      <w:r w:rsidDel="00000000" w:rsidR="00000000" w:rsidRPr="00000000">
        <w:rPr>
          <w:rtl w:val="0"/>
        </w:rPr>
      </w:r>
    </w:p>
    <w:p w:rsidR="00000000" w:rsidDel="00000000" w:rsidP="00000000" w:rsidRDefault="00000000" w:rsidRPr="00000000" w14:paraId="00000007">
      <w:pPr>
        <w:spacing w:after="320" w:before="0" w:line="240" w:lineRule="auto"/>
        <w:jc w:val="center"/>
        <w:rPr>
          <w:sz w:val="22"/>
          <w:szCs w:val="22"/>
        </w:rPr>
      </w:pPr>
      <w:r w:rsidDel="00000000" w:rsidR="00000000" w:rsidRPr="00000000">
        <w:rPr>
          <w:rFonts w:ascii="Arial" w:cs="Arial" w:eastAsia="Arial" w:hAnsi="Arial"/>
          <w:b w:val="0"/>
          <w:bCs w:val="0"/>
          <w:i w:val="0"/>
          <w:iCs w:val="0"/>
          <w:color w:val="203040"/>
          <w:sz w:val="22"/>
          <w:szCs w:val="22"/>
          <w:rtl w:val="0"/>
        </w:rPr>
        <w:t xml:space="preserve">Proyecto de Desarrollo de Soluciones — MAIA</w:t>
      </w:r>
      <w:r w:rsidDel="00000000" w:rsidR="00000000" w:rsidRPr="00000000">
        <w:rPr>
          <w:rtl w:val="0"/>
        </w:rPr>
      </w:r>
    </w:p>
    <w:p w:rsidR="00000000" w:rsidDel="00000000" w:rsidP="00000000" w:rsidRDefault="00000000" w:rsidRPr="00000000" w14:paraId="00000008">
      <w:pPr>
        <w:spacing w:after="100" w:before="0" w:line="240" w:lineRule="auto"/>
        <w:jc w:val="center"/>
        <w:rPr>
          <w:sz w:val="22"/>
          <w:szCs w:val="22"/>
        </w:rPr>
      </w:pPr>
      <w:r w:rsidDel="00000000" w:rsidR="00000000" w:rsidRPr="00000000">
        <w:rPr>
          <w:rFonts w:ascii="Arial" w:cs="Arial" w:eastAsia="Arial" w:hAnsi="Arial"/>
          <w:b w:val="1"/>
          <w:bCs w:val="1"/>
          <w:i w:val="0"/>
          <w:iCs w:val="0"/>
          <w:color w:val="203040"/>
          <w:sz w:val="22"/>
          <w:szCs w:val="22"/>
          <w:rtl w:val="0"/>
        </w:rPr>
        <w:t xml:space="preserve">Grupo 11</w:t>
      </w:r>
      <w:r w:rsidDel="00000000" w:rsidR="00000000" w:rsidRPr="00000000">
        <w:rPr>
          <w:rtl w:val="0"/>
        </w:rPr>
      </w:r>
    </w:p>
    <w:p w:rsidR="00000000" w:rsidDel="00000000" w:rsidP="00000000" w:rsidRDefault="00000000" w:rsidRPr="00000000" w14:paraId="00000009">
      <w:pPr>
        <w:spacing w:after="20" w:before="0" w:line="240" w:lineRule="auto"/>
        <w:jc w:val="center"/>
        <w:rPr>
          <w:sz w:val="22"/>
          <w:szCs w:val="22"/>
        </w:rPr>
      </w:pPr>
      <w:r w:rsidDel="00000000" w:rsidR="00000000" w:rsidRPr="00000000">
        <w:rPr>
          <w:rFonts w:ascii="Arial" w:cs="Arial" w:eastAsia="Arial" w:hAnsi="Arial"/>
          <w:b w:val="0"/>
          <w:bCs w:val="0"/>
          <w:i w:val="0"/>
          <w:iCs w:val="0"/>
          <w:color w:val="203040"/>
          <w:sz w:val="22"/>
          <w:szCs w:val="22"/>
          <w:rtl w:val="0"/>
        </w:rPr>
        <w:t xml:space="preserve">Sergio Ballesteros</w:t>
      </w:r>
      <w:r w:rsidDel="00000000" w:rsidR="00000000" w:rsidRPr="00000000">
        <w:rPr>
          <w:rtl w:val="0"/>
        </w:rPr>
      </w:r>
    </w:p>
    <w:p w:rsidR="00000000" w:rsidDel="00000000" w:rsidP="00000000" w:rsidRDefault="00000000" w:rsidRPr="00000000" w14:paraId="0000000A">
      <w:pPr>
        <w:spacing w:after="20" w:before="0" w:line="240" w:lineRule="auto"/>
        <w:jc w:val="center"/>
        <w:rPr>
          <w:sz w:val="22"/>
          <w:szCs w:val="22"/>
        </w:rPr>
      </w:pPr>
      <w:r w:rsidDel="00000000" w:rsidR="00000000" w:rsidRPr="00000000">
        <w:rPr>
          <w:rFonts w:ascii="Arial" w:cs="Arial" w:eastAsia="Arial" w:hAnsi="Arial"/>
          <w:b w:val="0"/>
          <w:bCs w:val="0"/>
          <w:i w:val="0"/>
          <w:iCs w:val="0"/>
          <w:color w:val="203040"/>
          <w:sz w:val="22"/>
          <w:szCs w:val="22"/>
          <w:rtl w:val="0"/>
        </w:rPr>
        <w:t xml:space="preserve">Stevan Ramirez</w:t>
      </w:r>
      <w:r w:rsidDel="00000000" w:rsidR="00000000" w:rsidRPr="00000000">
        <w:rPr>
          <w:rtl w:val="0"/>
        </w:rPr>
      </w:r>
    </w:p>
    <w:p w:rsidR="00000000" w:rsidDel="00000000" w:rsidP="00000000" w:rsidRDefault="00000000" w:rsidRPr="00000000" w14:paraId="0000000B">
      <w:pPr>
        <w:spacing w:after="20" w:before="0" w:line="240" w:lineRule="auto"/>
        <w:jc w:val="center"/>
        <w:rPr>
          <w:sz w:val="22"/>
          <w:szCs w:val="22"/>
        </w:rPr>
      </w:pPr>
      <w:r w:rsidDel="00000000" w:rsidR="00000000" w:rsidRPr="00000000">
        <w:rPr>
          <w:rFonts w:ascii="Arial" w:cs="Arial" w:eastAsia="Arial" w:hAnsi="Arial"/>
          <w:b w:val="0"/>
          <w:bCs w:val="0"/>
          <w:i w:val="0"/>
          <w:iCs w:val="0"/>
          <w:color w:val="203040"/>
          <w:sz w:val="22"/>
          <w:szCs w:val="22"/>
          <w:rtl w:val="0"/>
        </w:rPr>
        <w:t xml:space="preserve">Nicolas Lara</w:t>
      </w:r>
      <w:r w:rsidDel="00000000" w:rsidR="00000000" w:rsidRPr="00000000">
        <w:rPr>
          <w:rtl w:val="0"/>
        </w:rPr>
      </w:r>
    </w:p>
    <w:p w:rsidR="00000000" w:rsidDel="00000000" w:rsidP="00000000" w:rsidRDefault="00000000" w:rsidRPr="00000000" w14:paraId="0000000C">
      <w:pPr>
        <w:spacing w:after="20" w:before="0" w:line="240" w:lineRule="auto"/>
        <w:jc w:val="center"/>
        <w:rPr>
          <w:sz w:val="22"/>
          <w:szCs w:val="22"/>
        </w:rPr>
      </w:pPr>
      <w:r w:rsidDel="00000000" w:rsidR="00000000" w:rsidRPr="00000000">
        <w:rPr>
          <w:rFonts w:ascii="Arial" w:cs="Arial" w:eastAsia="Arial" w:hAnsi="Arial"/>
          <w:b w:val="0"/>
          <w:bCs w:val="0"/>
          <w:i w:val="0"/>
          <w:iCs w:val="0"/>
          <w:color w:val="203040"/>
          <w:sz w:val="22"/>
          <w:szCs w:val="22"/>
          <w:rtl w:val="0"/>
        </w:rPr>
        <w:t xml:space="preserve">Mauricio Rodriguez</w:t>
      </w:r>
      <w:r w:rsidDel="00000000" w:rsidR="00000000" w:rsidRPr="00000000">
        <w:rPr>
          <w:rtl w:val="0"/>
        </w:rPr>
      </w:r>
    </w:p>
    <w:p w:rsidR="00000000" w:rsidDel="00000000" w:rsidP="00000000" w:rsidRDefault="00000000" w:rsidRPr="00000000" w14:paraId="0000000D">
      <w:pPr>
        <w:jc w:val="center"/>
        <w:rPr>
          <w:sz w:val="22"/>
          <w:szCs w:val="22"/>
        </w:rPr>
      </w:pPr>
      <w:r w:rsidDel="00000000" w:rsidR="00000000" w:rsidRPr="00000000">
        <w:rPr>
          <w:rtl w:val="0"/>
        </w:rPr>
      </w:r>
    </w:p>
    <w:p w:rsidR="00000000" w:rsidDel="00000000" w:rsidP="00000000" w:rsidRDefault="00000000" w:rsidRPr="00000000" w14:paraId="0000000E">
      <w:pPr>
        <w:jc w:val="center"/>
        <w:rPr>
          <w:sz w:val="22"/>
          <w:szCs w:val="22"/>
        </w:rPr>
      </w:pPr>
      <w:r w:rsidDel="00000000" w:rsidR="00000000" w:rsidRPr="00000000">
        <w:rPr>
          <w:rtl w:val="0"/>
        </w:rPr>
      </w:r>
    </w:p>
    <w:p w:rsidR="00000000" w:rsidDel="00000000" w:rsidP="00000000" w:rsidRDefault="00000000" w:rsidRPr="00000000" w14:paraId="0000000F">
      <w:pPr>
        <w:jc w:val="center"/>
        <w:rPr>
          <w:sz w:val="22"/>
          <w:szCs w:val="22"/>
        </w:rPr>
      </w:pPr>
      <w:r w:rsidDel="00000000" w:rsidR="00000000" w:rsidRPr="00000000">
        <w:rPr>
          <w:rFonts w:ascii="Arial" w:cs="Arial" w:eastAsia="Arial" w:hAnsi="Arial"/>
          <w:b w:val="0"/>
          <w:bCs w:val="0"/>
          <w:i w:val="0"/>
          <w:iCs w:val="0"/>
          <w:color w:val="5b677a"/>
          <w:sz w:val="22"/>
          <w:szCs w:val="22"/>
          <w:rtl w:val="0"/>
        </w:rPr>
        <w:t xml:space="preserve">Septiembre de 2026</w:t>
      </w:r>
      <w:r w:rsidDel="00000000" w:rsidR="00000000" w:rsidRPr="00000000">
        <w:rPr>
          <w:rtl w:val="0"/>
        </w:rPr>
      </w:r>
    </w:p>
    <w:p w:rsidR="00000000" w:rsidDel="00000000" w:rsidP="00000000" w:rsidRDefault="00000000" w:rsidRPr="00000000" w14:paraId="00000010">
      <w:pPr>
        <w:jc w:val="cente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jc w:val="center"/>
        <w:rPr>
          <w:sz w:val="22"/>
          <w:szCs w:val="22"/>
        </w:rPr>
      </w:pPr>
      <w:r w:rsidDel="00000000" w:rsidR="00000000" w:rsidRPr="00000000">
        <w:rPr>
          <w:sz w:val="22"/>
          <w:szCs w:val="22"/>
          <w:rtl w:val="0"/>
        </w:rPr>
        <w:t xml:space="preserve">1. Resumen del problema</w:t>
      </w:r>
    </w:p>
    <w:p w:rsidR="00000000" w:rsidDel="00000000" w:rsidP="00000000" w:rsidRDefault="00000000" w:rsidRPr="00000000" w14:paraId="00000012">
      <w:pPr>
        <w:pStyle w:val="Heading2"/>
        <w:jc w:val="both"/>
        <w:rPr>
          <w:sz w:val="22"/>
          <w:szCs w:val="22"/>
        </w:rPr>
      </w:pPr>
      <w:r w:rsidDel="00000000" w:rsidR="00000000" w:rsidRPr="00000000">
        <w:rPr>
          <w:sz w:val="22"/>
          <w:szCs w:val="22"/>
          <w:rtl w:val="0"/>
        </w:rPr>
        <w:t xml:space="preserve">1.1 Contexto y pregunta de negocio</w:t>
      </w:r>
    </w:p>
    <w:p w:rsidR="00000000" w:rsidDel="00000000" w:rsidP="00000000" w:rsidRDefault="00000000" w:rsidRPr="00000000" w14:paraId="00000013">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El dengue exige decisiones oportunas de vigilancia y control. En el piloto, los usuarios institucionales son las Secretarías de Salud de Cali y Bucaramanga; el Instituto Nacional de Salud (INS) actúa como fuente y referente de vigilancia, no como cliente del sistema. El canal endémico permite reconocer zonas de normalidad, alerta y exceso, pero su señal describe el estado observado. </w:t>
      </w:r>
    </w:p>
    <w:p w:rsidR="00000000" w:rsidDel="00000000" w:rsidP="00000000" w:rsidRDefault="00000000" w:rsidRPr="00000000" w14:paraId="00000014">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El valor de </w:t>
      </w:r>
      <w:r w:rsidDel="00000000" w:rsidR="00000000" w:rsidRPr="00000000">
        <w:rPr>
          <w:sz w:val="22"/>
          <w:szCs w:val="22"/>
          <w:rtl w:val="0"/>
        </w:rPr>
        <w:t xml:space="preserve">SAT-Dengue</w:t>
      </w:r>
      <w:r w:rsidDel="00000000" w:rsidR="00000000" w:rsidRPr="00000000">
        <w:rPr>
          <w:rFonts w:ascii="Arial" w:cs="Arial" w:eastAsia="Arial" w:hAnsi="Arial"/>
          <w:b w:val="0"/>
          <w:bCs w:val="0"/>
          <w:i w:val="0"/>
          <w:iCs w:val="0"/>
          <w:color w:val="203040"/>
          <w:sz w:val="22"/>
          <w:szCs w:val="22"/>
          <w:rtl w:val="0"/>
        </w:rPr>
        <w:t xml:space="preserve"> es complementar esa lectura con una estimación anticipada de la transición hacia exceso epidémico.</w:t>
      </w:r>
      <w:r w:rsidDel="00000000" w:rsidR="00000000" w:rsidRPr="00000000">
        <w:rPr>
          <w:rtl w:val="0"/>
        </w:rPr>
      </w:r>
    </w:p>
    <w:p w:rsidR="00000000" w:rsidDel="00000000" w:rsidP="00000000" w:rsidRDefault="00000000" w:rsidRPr="00000000" w14:paraId="00000015">
      <w:pPr>
        <w:spacing w:after="60" w:before="0" w:line="240" w:lineRule="auto"/>
        <w:jc w:val="both"/>
        <w:rPr>
          <w:rFonts w:ascii="Arial" w:cs="Arial" w:eastAsia="Arial" w:hAnsi="Arial"/>
          <w:b w:val="1"/>
          <w:bCs w:val="1"/>
          <w:i w:val="0"/>
          <w:iCs w:val="0"/>
          <w:color w:val="203040"/>
          <w:sz w:val="22"/>
          <w:szCs w:val="22"/>
        </w:rPr>
      </w:pPr>
      <w:r w:rsidDel="00000000" w:rsidR="00000000" w:rsidRPr="00000000">
        <w:rPr>
          <w:rFonts w:ascii="Arial" w:cs="Arial" w:eastAsia="Arial" w:hAnsi="Arial"/>
          <w:b w:val="1"/>
          <w:bCs w:val="1"/>
          <w:i w:val="0"/>
          <w:iCs w:val="0"/>
          <w:color w:val="203040"/>
          <w:sz w:val="22"/>
          <w:szCs w:val="22"/>
          <w:rtl w:val="0"/>
        </w:rPr>
        <w:t xml:space="preserve">Pregunta de negocio: ¿Pueden las Secretarías de Salud de Cali y Bucaramanga anticipar, con uno o dos meses de antelación, el inicio de un brote de dengue para activar control vectorial y preparación sanitaria antes del pico de casos, complementando la señal del canal endémico?</w:t>
      </w:r>
    </w:p>
    <w:p w:rsidR="00000000" w:rsidDel="00000000" w:rsidP="00000000" w:rsidRDefault="00000000" w:rsidRPr="00000000" w14:paraId="00000016">
      <w:pPr>
        <w:spacing w:after="60" w:before="0" w:line="240" w:lineRule="auto"/>
        <w:jc w:val="both"/>
        <w:rPr>
          <w:b w:val="1"/>
          <w:bCs w:val="1"/>
          <w:sz w:val="22"/>
          <w:szCs w:val="22"/>
        </w:rPr>
      </w:pPr>
      <w:r w:rsidDel="00000000" w:rsidR="00000000" w:rsidRPr="00000000">
        <w:rPr>
          <w:rtl w:val="0"/>
        </w:rPr>
      </w:r>
    </w:p>
    <w:p w:rsidR="00000000" w:rsidDel="00000000" w:rsidP="00000000" w:rsidRDefault="00000000" w:rsidRPr="00000000" w14:paraId="00000017">
      <w:pPr>
        <w:pStyle w:val="Heading2"/>
        <w:jc w:val="both"/>
        <w:rPr>
          <w:sz w:val="22"/>
          <w:szCs w:val="22"/>
        </w:rPr>
      </w:pPr>
      <w:r w:rsidDel="00000000" w:rsidR="00000000" w:rsidRPr="00000000">
        <w:rPr>
          <w:sz w:val="22"/>
          <w:szCs w:val="22"/>
          <w:rtl w:val="0"/>
        </w:rPr>
        <w:t xml:space="preserve">1.2 Objetivo y alcance</w:t>
      </w:r>
    </w:p>
    <w:p w:rsidR="00000000" w:rsidDel="00000000" w:rsidP="00000000" w:rsidRDefault="00000000" w:rsidRPr="00000000" w14:paraId="00000018">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sz w:val="22"/>
          <w:szCs w:val="22"/>
          <w:rtl w:val="0"/>
        </w:rPr>
        <w:t xml:space="preserve">SAT-Dengue</w:t>
      </w:r>
      <w:r w:rsidDel="00000000" w:rsidR="00000000" w:rsidRPr="00000000">
        <w:rPr>
          <w:rFonts w:ascii="Arial" w:cs="Arial" w:eastAsia="Arial" w:hAnsi="Arial"/>
          <w:b w:val="0"/>
          <w:bCs w:val="0"/>
          <w:i w:val="0"/>
          <w:iCs w:val="0"/>
          <w:color w:val="203040"/>
          <w:sz w:val="22"/>
          <w:szCs w:val="22"/>
          <w:rtl w:val="0"/>
        </w:rPr>
        <w:t xml:space="preserve"> es un prototipo académico de apoyo a la decisión que clasifica mensualmente el riesgo de exceso de dengue total para Bucaramanga (DIVIPOLA 68001) y Cali (76001). Produce predicciones T+1 y T+2 con probabilidad, umbral y etiqueta. T+1 soporta la priorización del ciclo operativo inmediato; T+2 agrega una ventana para acciones que requieren mayor anticipación, como organización de brigadas, control de criaderos, fumigación focal o preparación diagnóstica y hospitalaria. No automatiza intervenciones, no sustituye la vigilancia oficial y no ha sido validado clínica u operacionalmente en campo.</w:t>
      </w:r>
    </w:p>
    <w:p w:rsidR="00000000" w:rsidDel="00000000" w:rsidP="00000000" w:rsidRDefault="00000000" w:rsidRPr="00000000" w14:paraId="00000019">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1A">
      <w:pPr>
        <w:pStyle w:val="Heading2"/>
        <w:jc w:val="both"/>
        <w:rPr>
          <w:sz w:val="22"/>
          <w:szCs w:val="22"/>
        </w:rPr>
      </w:pPr>
      <w:r w:rsidDel="00000000" w:rsidR="00000000" w:rsidRPr="00000000">
        <w:rPr>
          <w:sz w:val="22"/>
          <w:szCs w:val="22"/>
          <w:rtl w:val="0"/>
        </w:rPr>
        <w:t xml:space="preserve">1.3 Conjuntos de datos</w:t>
      </w:r>
    </w:p>
    <w:tbl>
      <w:tblPr>
        <w:tblStyle w:val="Table1"/>
        <w:tblW w:w="10570.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5285"/>
        <w:gridCol w:w="5285"/>
        <w:tblGridChange w:id="0">
          <w:tblGrid>
            <w:gridCol w:w="5285"/>
            <w:gridCol w:w="5285"/>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1B">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Fuente / alcance</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1C">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Uso en la solución</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1D">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SIVIGILA dengue total, evento 210 · 1.585.040 registros (2007–2024)</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1E">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Serie epidemiológica principal y definición del exceso respecto al canal endémico.</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1F">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SIVIGILA dengue grave, evento 220 · 48.823 registros (2007–2024)</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2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Serie auxiliar y rezagos epidemiológicos.</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2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Variables climáticas mensuales ERA5/CHIRPS · 9 covariables</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2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Temperatura, rocío, lluvia, suelo, escorrentía, evaporación, viento y radiación; el Champion también usa rezagos climáticos.</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2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Panel procesado · 1.114 municipios; piloto: Cali y Bucaramanga</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2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Panel municipio-mes con ceros explícitos. La fecha de referencia es inicio de síntomas (INI_SIN), con notificación como respaldo.</w:t>
            </w:r>
            <w:r w:rsidDel="00000000" w:rsidR="00000000" w:rsidRPr="00000000">
              <w:rPr>
                <w:rtl w:val="0"/>
              </w:rPr>
            </w:r>
          </w:p>
        </w:tc>
      </w:tr>
    </w:tbl>
    <w:p w:rsidR="00000000" w:rsidDel="00000000" w:rsidP="00000000" w:rsidRDefault="00000000" w:rsidRPr="00000000" w14:paraId="00000025">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La partición vigente del repositorio es temporal: entrenamiento hasta 2022 y prueba 2023–2025, con validación cruzada temporal dentro del entrenamiento. Para calibración post-hoc, el código efectivo toma 2021–2022. El desempeño de producto que se reporta abajo corresponde al subconjunto de los dos municipios piloto dentro del conjunto de prueba.</w:t>
      </w:r>
    </w:p>
    <w:p w:rsidR="00000000" w:rsidDel="00000000" w:rsidP="00000000" w:rsidRDefault="00000000" w:rsidRPr="00000000" w14:paraId="00000026">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27">
      <w:pPr>
        <w:pStyle w:val="Heading2"/>
        <w:jc w:val="both"/>
        <w:rPr>
          <w:sz w:val="22"/>
          <w:szCs w:val="22"/>
        </w:rPr>
      </w:pPr>
      <w:r w:rsidDel="00000000" w:rsidR="00000000" w:rsidRPr="00000000">
        <w:rPr>
          <w:sz w:val="22"/>
          <w:szCs w:val="22"/>
          <w:rtl w:val="0"/>
        </w:rPr>
        <w:t xml:space="preserve">1.4 Cambios respecto a Entrega 2</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Pregunta de negocio reformulada alrededor del usuario, la acción y los horizontes T+1/T+2; se fijan como clientes las dos Secretarías de Salud municipales.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Se congeló un contrato de 39 predictoras: de 41 variables numéricas construidas, se excluyen los conteos contemporáneos crudos casos_clasico y casos_grave; su información histórica entra mediante rezagos y ventanas móviles.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Se corrigió la comparabilidad de métricas en MLflow y el cálculo de inicios T+2; el reporte usa una sola línea base numérica sobre Cali+Bucaramanga.</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 w:before="0" w:line="240" w:lineRule="auto"/>
        <w:ind w:left="360" w:right="0" w:hanging="360"/>
        <w:jc w:val="both"/>
        <w:rPr>
          <w:sz w:val="22"/>
          <w:szCs w:val="22"/>
        </w:rPr>
      </w:pPr>
      <w:sdt>
        <w:sdtPr>
          <w:id w:val="-1728696535"/>
          <w:tag w:val="goog_rdk_0"/>
        </w:sdtPr>
        <w:sdtContent>
          <w:r w:rsidDel="00000000" w:rsidR="00000000" w:rsidRPr="00000000">
            <w:rPr>
              <w:rFonts w:ascii="Arial Unicode MS" w:cs="Arial Unicode MS" w:eastAsia="Arial Unicode MS" w:hAnsi="Arial Unicode MS"/>
              <w:b w:val="0"/>
              <w:bCs w:val="0"/>
              <w:i w:val="0"/>
              <w:iCs w:val="0"/>
              <w:smallCaps w:val="0"/>
              <w:strike w:val="0"/>
              <w:color w:val="203040"/>
              <w:sz w:val="22"/>
              <w:szCs w:val="22"/>
              <w:u w:val="none"/>
              <w:shd w:fill="auto" w:val="clear"/>
              <w:vertAlign w:val="baseline"/>
              <w:rtl w:val="0"/>
            </w:rPr>
            <w:t xml:space="preserve">Se consolidó la integración Champion → FastAPI /api/v2 → SQLite → dashboard, con latest/history y pruebas E2E. Permanecen como cierres obligatorios la ablación solicitada por el profesor, la evidencia explícita inicio/continuación en UI y los soportes Docker/video.</w:t>
          </w:r>
        </w:sdtContent>
      </w:sdt>
    </w:p>
    <w:p w:rsidR="00000000" w:rsidDel="00000000" w:rsidP="00000000" w:rsidRDefault="00000000" w:rsidRPr="00000000" w14:paraId="0000002C">
      <w:pPr>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jc w:val="center"/>
        <w:rPr>
          <w:sz w:val="22"/>
          <w:szCs w:val="22"/>
        </w:rPr>
      </w:pPr>
      <w:r w:rsidDel="00000000" w:rsidR="00000000" w:rsidRPr="00000000">
        <w:rPr>
          <w:sz w:val="22"/>
          <w:szCs w:val="22"/>
          <w:rtl w:val="0"/>
        </w:rPr>
        <w:t xml:space="preserve">2. Modelos desarrollados y su evaluación</w:t>
      </w:r>
    </w:p>
    <w:p w:rsidR="00000000" w:rsidDel="00000000" w:rsidP="00000000" w:rsidRDefault="00000000" w:rsidRPr="00000000" w14:paraId="0000002E">
      <w:pPr>
        <w:pStyle w:val="Heading2"/>
        <w:jc w:val="both"/>
        <w:rPr>
          <w:sz w:val="22"/>
          <w:szCs w:val="22"/>
        </w:rPr>
      </w:pPr>
      <w:r w:rsidDel="00000000" w:rsidR="00000000" w:rsidRPr="00000000">
        <w:rPr>
          <w:sz w:val="22"/>
          <w:szCs w:val="22"/>
          <w:rtl w:val="0"/>
        </w:rPr>
        <w:t xml:space="preserve">2.1 Modelos entrenados y protocolo de evaluación</w:t>
      </w:r>
    </w:p>
    <w:p w:rsidR="00000000" w:rsidDel="00000000" w:rsidP="00000000" w:rsidRDefault="00000000" w:rsidRPr="00000000" w14:paraId="0000002F">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La comparación final se concentra en XGBoost, LightGBM y GAM, junto con Poisson y dos baselines epidemiológicos: persistencia y canal endémico. El objetivo T+1 es objetivo = 1 cuando el mes siguiente supera P75; T+2 desplaza la etiqueta un mes adicional. El repositorio corrige es_inicio para T+2 de modo que la transición se mida contra el mes correcto. La selección de hiperparámetros usa validación temporal; la prueba queda fuera del entrenamiento (2023–2025).</w:t>
      </w:r>
      <w:r w:rsidDel="00000000" w:rsidR="00000000" w:rsidRPr="00000000">
        <w:rPr>
          <w:rtl w:val="0"/>
        </w:rPr>
      </w:r>
    </w:p>
    <w:p w:rsidR="00000000" w:rsidDel="00000000" w:rsidP="00000000" w:rsidRDefault="00000000" w:rsidRPr="00000000" w14:paraId="00000030">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En el alcance de producto, T+1 contiene 70 observaciones de Cali y Bucaramanga, 42 meses en brote y solo 3 inicios. Por ello, F1 y PR-AUC describen bien el desempeño general, pero la detección de inicios es la métrica de negocio más informativa. Las probabilidades desplegadas de XGBoost se calibran post-hoc con Platt scaling; los umbrales operativos verificados en la integración son 0,34 para T+1 y 0,27 para T+2.</w:t>
      </w:r>
    </w:p>
    <w:p w:rsidR="00000000" w:rsidDel="00000000" w:rsidP="00000000" w:rsidRDefault="00000000" w:rsidRPr="00000000" w14:paraId="00000031">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32">
      <w:pPr>
        <w:pStyle w:val="Heading2"/>
        <w:jc w:val="both"/>
        <w:rPr>
          <w:sz w:val="22"/>
          <w:szCs w:val="22"/>
        </w:rPr>
      </w:pPr>
      <w:r w:rsidDel="00000000" w:rsidR="00000000" w:rsidRPr="00000000">
        <w:rPr>
          <w:sz w:val="22"/>
          <w:szCs w:val="22"/>
          <w:rtl w:val="0"/>
        </w:rPr>
        <w:t xml:space="preserve">2.2 Selección de características</w:t>
      </w:r>
    </w:p>
    <w:p w:rsidR="00000000" w:rsidDel="00000000" w:rsidP="00000000" w:rsidRDefault="00000000" w:rsidRPr="00000000" w14:paraId="00000033">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El generador produce 41 predictoras numéricas y el contrato desplegado congela 39. Al contrastar ambos artefactos, las dos variables construidas que no entran al Champion son los conteos contemporáneos crudos casos_clasico y casos_grave. El modelo conserva su historia mediante rezagos y promedios móviles; esta decisión queda verificable en el feature contract de la API.</w:t>
      </w:r>
      <w:r w:rsidDel="00000000" w:rsidR="00000000" w:rsidRPr="00000000">
        <w:rPr>
          <w:rtl w:val="0"/>
        </w:rPr>
      </w:r>
    </w:p>
    <w:tbl>
      <w:tblPr>
        <w:tblStyle w:val="Table2"/>
        <w:tblW w:w="10569.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3523"/>
        <w:gridCol w:w="3523"/>
        <w:gridCol w:w="3523"/>
        <w:tblGridChange w:id="0">
          <w:tblGrid>
            <w:gridCol w:w="3523"/>
            <w:gridCol w:w="3523"/>
            <w:gridCol w:w="3523"/>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34">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Familia</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35">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Predictoras contractuales</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36">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n</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3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Clima actual</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3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temp_mean_c; dewpoint_mean_c; rain_mm_day; soil_water_l1_mean; surface_runoff_mm_day; total_evaporation_mm_day_ecmwf; wind_u_mean_ms; wind_v_mean_ms; solar_radiation_mj_m2_day</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3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9</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3A">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Epidemiología histórica</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3B">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casos_grave_lag_1/2/3/4/6, casos_grave_roll3; casos_clasico_lag_1/2/3/4/6, casos_clasico_roll3</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3C">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12</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3D">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Rezagos climáticos</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3E">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temp_mean_c_lag_1/2/3; rain_mm_day_lag_1/2/3</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3F">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6</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4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Estacionalidad</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4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mes_sin; mes_cos</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4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2</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4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Canal / estado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4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p25; p75; zona_canal; sir; es_endemico; brote; p25_objetivo; p75_objetivo; zona_objetivo; brote_lag_1</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4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10</w:t>
            </w:r>
            <w:r w:rsidDel="00000000" w:rsidR="00000000" w:rsidRPr="00000000">
              <w:rPr>
                <w:rtl w:val="0"/>
              </w:rPr>
            </w:r>
          </w:p>
        </w:tc>
      </w:tr>
    </w:tbl>
    <w:p w:rsidR="00000000" w:rsidDel="00000000" w:rsidP="00000000" w:rsidRDefault="00000000" w:rsidRPr="00000000" w14:paraId="00000046">
      <w:pPr>
        <w:spacing w:after="2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La retroalimentación de Entrega 2 señaló que brote_lag_1 concentraba aproximadamente 0,41 de la importancia, seguida por SIR y variables del canal. Esto sugiere que buena parte del poder predictivo puede provenir de la persistencia del estado epidemiológico reciente. Los SHAP guardados actualmente en reports/ anteceden al reentrenamiento con corte 2022; por consistencia no se reutilizan como evidencia del Champion vigente.</w:t>
      </w:r>
      <w:r w:rsidDel="00000000" w:rsidR="00000000" w:rsidRPr="00000000">
        <w:rPr>
          <w:rtl w:val="0"/>
        </w:rPr>
      </w:r>
    </w:p>
    <w:p w:rsidR="00000000" w:rsidDel="00000000" w:rsidP="00000000" w:rsidRDefault="00000000" w:rsidRPr="00000000" w14:paraId="00000047">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"Importancia de características del Champion vigente, regenerada después del reentrenamiento; resaltar brote_lag_1, SIR y variables del canal endémico"]</w:t>
      </w:r>
      <w:r w:rsidDel="00000000" w:rsidR="00000000" w:rsidRPr="00000000">
        <w:rPr>
          <w:rtl w:val="0"/>
        </w:rPr>
      </w:r>
    </w:p>
    <w:p w:rsidR="00000000" w:rsidDel="00000000" w:rsidP="00000000" w:rsidRDefault="00000000" w:rsidRPr="00000000" w14:paraId="00000048">
      <w:pPr>
        <w:pStyle w:val="Heading3"/>
        <w:jc w:val="both"/>
        <w:rPr>
          <w:sz w:val="22"/>
          <w:szCs w:val="22"/>
        </w:rPr>
      </w:pPr>
      <w:r w:rsidDel="00000000" w:rsidR="00000000" w:rsidRPr="00000000">
        <w:rPr>
          <w:rtl w:val="0"/>
        </w:rPr>
      </w:r>
    </w:p>
    <w:p w:rsidR="00000000" w:rsidDel="00000000" w:rsidP="00000000" w:rsidRDefault="00000000" w:rsidRPr="00000000" w14:paraId="00000049">
      <w:pPr>
        <w:pStyle w:val="Heading3"/>
        <w:jc w:val="both"/>
        <w:rPr>
          <w:sz w:val="22"/>
          <w:szCs w:val="22"/>
        </w:rPr>
      </w:pPr>
      <w:r w:rsidDel="00000000" w:rsidR="00000000" w:rsidRPr="00000000">
        <w:rPr>
          <w:sz w:val="22"/>
          <w:szCs w:val="22"/>
          <w:rtl w:val="0"/>
        </w:rPr>
        <w:t xml:space="preserve">2.2.1 Prueba de sensibilidad solicitada</w:t>
      </w:r>
    </w:p>
    <w:p w:rsidR="00000000" w:rsidDel="00000000" w:rsidP="00000000" w:rsidRDefault="00000000" w:rsidRPr="00000000" w14:paraId="0000004A">
      <w:pPr>
        <w:spacing w:after="40" w:before="0" w:line="240" w:lineRule="auto"/>
        <w:jc w:val="both"/>
        <w:rPr>
          <w:rFonts w:ascii="Arial" w:cs="Arial" w:eastAsia="Arial" w:hAnsi="Arial"/>
          <w:b w:val="0"/>
          <w:bCs w:val="0"/>
          <w:i w:val="0"/>
          <w:iCs w:val="0"/>
          <w:color w:val="203040"/>
          <w:sz w:val="22"/>
          <w:szCs w:val="22"/>
          <w:highlight w:val="yellow"/>
        </w:rPr>
      </w:pPr>
      <w:r w:rsidDel="00000000" w:rsidR="00000000" w:rsidRPr="00000000">
        <w:rPr>
          <w:rFonts w:ascii="Arial" w:cs="Arial" w:eastAsia="Arial" w:hAnsi="Arial"/>
          <w:b w:val="0"/>
          <w:bCs w:val="0"/>
          <w:i w:val="0"/>
          <w:iCs w:val="0"/>
          <w:color w:val="203040"/>
          <w:sz w:val="22"/>
          <w:szCs w:val="22"/>
          <w:highlight w:val="yellow"/>
          <w:rtl w:val="0"/>
        </w:rPr>
        <w:t xml:space="preserve">El profesor solicitó comparar el Champion completo contra una variante sin las variables más directamente asociadas al estado actual del canal endémico. En la línea base congelada no existe una corrida de ablación reproducible; por tanto, no se inventa un delta de desempeño. El experimento pendiente debe reentrenar bajo el mismo split y comparar, como mínimo, F1, PR-AUC e inicios detectados retirando brote, brote_lag_1, zona_canal y sir (y documentando si también se excluyen los percentiles/variables objetivo del canal). </w:t>
      </w:r>
      <w:r w:rsidDel="00000000" w:rsidR="00000000" w:rsidRPr="00000000">
        <w:rPr>
          <w:sz w:val="22"/>
          <w:szCs w:val="22"/>
          <w:highlight w:val="yellow"/>
          <w:rtl w:val="0"/>
        </w:rPr>
        <w:t xml:space="preserve">Revisar si se agrega en la</w:t>
      </w:r>
      <w:r w:rsidDel="00000000" w:rsidR="00000000" w:rsidRPr="00000000">
        <w:rPr>
          <w:rFonts w:ascii="Arial" w:cs="Arial" w:eastAsia="Arial" w:hAnsi="Arial"/>
          <w:b w:val="0"/>
          <w:bCs w:val="0"/>
          <w:i w:val="0"/>
          <w:iCs w:val="0"/>
          <w:color w:val="203040"/>
          <w:sz w:val="22"/>
          <w:szCs w:val="22"/>
          <w:highlight w:val="yellow"/>
          <w:rtl w:val="0"/>
        </w:rPr>
        <w:t xml:space="preserve"> Entrega 3.</w:t>
      </w:r>
    </w:p>
    <w:p w:rsidR="00000000" w:rsidDel="00000000" w:rsidP="00000000" w:rsidRDefault="00000000" w:rsidRPr="00000000" w14:paraId="0000004B">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4C">
      <w:pPr>
        <w:pStyle w:val="Heading2"/>
        <w:jc w:val="both"/>
        <w:rPr>
          <w:sz w:val="22"/>
          <w:szCs w:val="22"/>
        </w:rPr>
      </w:pPr>
      <w:r w:rsidDel="00000000" w:rsidR="00000000" w:rsidRPr="00000000">
        <w:rPr>
          <w:sz w:val="22"/>
          <w:szCs w:val="22"/>
          <w:rtl w:val="0"/>
        </w:rPr>
        <w:t xml:space="preserve">2.3 Evaluación de los modelos</w:t>
      </w:r>
    </w:p>
    <w:p w:rsidR="00000000" w:rsidDel="00000000" w:rsidP="00000000" w:rsidRDefault="00000000" w:rsidRPr="00000000" w14:paraId="0000004D">
      <w:pPr>
        <w:spacing w:after="40" w:before="0" w:line="240" w:lineRule="auto"/>
        <w:jc w:val="both"/>
        <w:rPr>
          <w:sz w:val="22"/>
          <w:szCs w:val="22"/>
          <w:highlight w:val="yellow"/>
        </w:rPr>
      </w:pPr>
      <w:r w:rsidDel="00000000" w:rsidR="00000000" w:rsidRPr="00000000">
        <w:rPr>
          <w:sz w:val="22"/>
          <w:szCs w:val="22"/>
          <w:highlight w:val="yellow"/>
          <w:rtl w:val="0"/>
        </w:rPr>
        <w:t xml:space="preserve">Pendiente texto introductorio</w:t>
      </w:r>
    </w:p>
    <w:tbl>
      <w:tblPr>
        <w:tblStyle w:val="Table3"/>
        <w:tblW w:w="10568.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2642"/>
        <w:gridCol w:w="2642"/>
        <w:gridCol w:w="2642"/>
        <w:gridCol w:w="2642"/>
        <w:tblGridChange w:id="0">
          <w:tblGrid>
            <w:gridCol w:w="2642"/>
            <w:gridCol w:w="2642"/>
            <w:gridCol w:w="2642"/>
            <w:gridCol w:w="2642"/>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4E">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T+1 · n=70, 42 brotes, 3 inicios</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4F">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F1</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50">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PR-AUC</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51">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Inicios</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5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XGBoost</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0,965</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0,991</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2/3</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5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LightGBM</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5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0,965</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5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0,988</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5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2/3</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5A">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Canal endémico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B">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0,951</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C">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0,992</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D">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2/3</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5E">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Persistencia</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5F">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0,940</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6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0,992</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6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0/3</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6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Poisson</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6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0,914</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6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0,993</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6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1/3</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6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GAM</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6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0,875</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6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0,968</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6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0/3</w:t>
            </w:r>
            <w:r w:rsidDel="00000000" w:rsidR="00000000" w:rsidRPr="00000000">
              <w:rPr>
                <w:rtl w:val="0"/>
              </w:rPr>
            </w:r>
          </w:p>
        </w:tc>
      </w:tr>
    </w:tbl>
    <w:p w:rsidR="00000000" w:rsidDel="00000000" w:rsidP="00000000" w:rsidRDefault="00000000" w:rsidRPr="00000000" w14:paraId="0000006A">
      <w:pPr>
        <w:spacing w:after="20" w:before="0" w:line="240" w:lineRule="auto"/>
        <w:jc w:val="both"/>
        <w:rPr>
          <w:sz w:val="22"/>
          <w:szCs w:val="22"/>
        </w:rPr>
      </w:pPr>
      <w:r w:rsidDel="00000000" w:rsidR="00000000" w:rsidRPr="00000000">
        <w:rPr>
          <w:rtl w:val="0"/>
        </w:rPr>
      </w:r>
    </w:p>
    <w:p w:rsidR="00000000" w:rsidDel="00000000" w:rsidP="00000000" w:rsidRDefault="00000000" w:rsidRPr="00000000" w14:paraId="0000006B">
      <w:pPr>
        <w:spacing w:after="2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XGBoost identifica 41 de 42 meses en brote con 2 falsas alarmas; el canal endémico identifica 39 con 1 falsa alarma. Sin embargo, XGBoost, LightGBM y el propio canal detectan los mismos 2 de 3 inicios. Con solo tres transiciones, una diferencia de un caso cambia la tasa en 33 puntos porcentuales; no hay evidencia suficiente para afirmar superioridad en anticipación de inicios.</w:t>
      </w:r>
    </w:p>
    <w:p w:rsidR="00000000" w:rsidDel="00000000" w:rsidP="00000000" w:rsidRDefault="00000000" w:rsidRPr="00000000" w14:paraId="0000006C">
      <w:pPr>
        <w:spacing w:after="20" w:before="0" w:line="240" w:lineRule="auto"/>
        <w:jc w:val="both"/>
        <w:rPr>
          <w:sz w:val="22"/>
          <w:szCs w:val="22"/>
        </w:rPr>
      </w:pPr>
      <w:r w:rsidDel="00000000" w:rsidR="00000000" w:rsidRPr="00000000">
        <w:rPr>
          <w:rtl w:val="0"/>
        </w:rPr>
      </w:r>
    </w:p>
    <w:tbl>
      <w:tblPr>
        <w:tblStyle w:val="Table4"/>
        <w:tblW w:w="10569.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3523"/>
        <w:gridCol w:w="3523"/>
        <w:gridCol w:w="3523"/>
        <w:tblGridChange w:id="0">
          <w:tblGrid>
            <w:gridCol w:w="3523"/>
            <w:gridCol w:w="3523"/>
            <w:gridCol w:w="3523"/>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6D">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T+2 · n=68, 3 inicios</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6E">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F1</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6F">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Inicios</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7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LightGBM</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7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0,920</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7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2/3</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7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XGBoost</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7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0,918</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7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1/3</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7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GAM</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7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0,854</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7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0/3</w:t>
            </w:r>
            <w:r w:rsidDel="00000000" w:rsidR="00000000" w:rsidRPr="00000000">
              <w:rPr>
                <w:rtl w:val="0"/>
              </w:rPr>
            </w:r>
          </w:p>
        </w:tc>
      </w:tr>
    </w:tbl>
    <w:p w:rsidR="00000000" w:rsidDel="00000000" w:rsidP="00000000" w:rsidRDefault="00000000" w:rsidRPr="00000000" w14:paraId="00000079">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La comparación T+2 aún no incluye todos los baselines bajo el mismo protocolo. LightGBM presenta la mejor evidencia T+2 disponible (F1 0,920; 2/3 inicios), por lo que debe conservarse como candidato en una futura reevaluación del Champion.</w:t>
      </w:r>
    </w:p>
    <w:p w:rsidR="00000000" w:rsidDel="00000000" w:rsidP="00000000" w:rsidRDefault="00000000" w:rsidRPr="00000000" w14:paraId="0000007A">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7B">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"Curvas ROC y Precision-Recall regeneradas para las corridas comparables del conjunto de prueba"]</w:t>
      </w:r>
      <w:r w:rsidDel="00000000" w:rsidR="00000000" w:rsidRPr="00000000">
        <w:rPr>
          <w:rtl w:val="0"/>
        </w:rPr>
      </w:r>
    </w:p>
    <w:p w:rsidR="00000000" w:rsidDel="00000000" w:rsidP="00000000" w:rsidRDefault="00000000" w:rsidRPr="00000000" w14:paraId="0000007C">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"Comparación de inicios de brote detectados por XGBoost, LightGBM, canal endémico, persistencia, Poisson y GAM"]</w:t>
      </w:r>
      <w:r w:rsidDel="00000000" w:rsidR="00000000" w:rsidRPr="00000000">
        <w:rPr>
          <w:rtl w:val="0"/>
        </w:rPr>
      </w:r>
    </w:p>
    <w:p w:rsidR="00000000" w:rsidDel="00000000" w:rsidP="00000000" w:rsidRDefault="00000000" w:rsidRPr="00000000" w14:paraId="0000007D">
      <w:pPr>
        <w:pStyle w:val="Heading2"/>
        <w:jc w:val="both"/>
        <w:rPr>
          <w:sz w:val="22"/>
          <w:szCs w:val="22"/>
        </w:rPr>
      </w:pPr>
      <w:r w:rsidDel="00000000" w:rsidR="00000000" w:rsidRPr="00000000">
        <w:rPr>
          <w:rtl w:val="0"/>
        </w:rPr>
      </w:r>
    </w:p>
    <w:p w:rsidR="00000000" w:rsidDel="00000000" w:rsidP="00000000" w:rsidRDefault="00000000" w:rsidRPr="00000000" w14:paraId="0000007E">
      <w:pPr>
        <w:pStyle w:val="Heading2"/>
        <w:jc w:val="both"/>
        <w:rPr>
          <w:sz w:val="22"/>
          <w:szCs w:val="22"/>
        </w:rPr>
      </w:pPr>
      <w:r w:rsidDel="00000000" w:rsidR="00000000" w:rsidRPr="00000000">
        <w:rPr>
          <w:sz w:val="22"/>
          <w:szCs w:val="22"/>
          <w:rtl w:val="0"/>
        </w:rPr>
        <w:t xml:space="preserve">2.4 Gestión de experimentos con MLflow</w:t>
      </w:r>
    </w:p>
    <w:p w:rsidR="00000000" w:rsidDel="00000000" w:rsidP="00000000" w:rsidRDefault="00000000" w:rsidRPr="00000000" w14:paraId="0000007F">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Los experimentos vigentes se registran en MLflow bajo sat-dengue. Cada corrida conserva parámetros, horizonte, conjunto evaluado, métricas, umbral y artefactos. La convención de alcance separa las métricas de los dos municipios, las nacionales y las específicas por DIVIPOLA. Esta normalización evita comparar números calculados sobre universos diferentes y permite rastrear el modelo desplegado frente a sus corridas.</w:t>
      </w:r>
      <w:r w:rsidDel="00000000" w:rsidR="00000000" w:rsidRPr="00000000">
        <w:rPr>
          <w:rtl w:val="0"/>
        </w:rPr>
      </w:r>
    </w:p>
    <w:p w:rsidR="00000000" w:rsidDel="00000000" w:rsidP="00000000" w:rsidRDefault="00000000" w:rsidRPr="00000000" w14:paraId="00000080">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"Vista de MLflow filtrada por params.conjunto = prueba, mostrando corridas T+1/T+2 y métricas usadas en la comparación final"]</w:t>
      </w:r>
      <w:r w:rsidDel="00000000" w:rsidR="00000000" w:rsidRPr="00000000">
        <w:rPr>
          <w:rtl w:val="0"/>
        </w:rPr>
      </w:r>
    </w:p>
    <w:p w:rsidR="00000000" w:rsidDel="00000000" w:rsidP="00000000" w:rsidRDefault="00000000" w:rsidRPr="00000000" w14:paraId="00000081">
      <w:pPr>
        <w:pStyle w:val="Heading2"/>
        <w:jc w:val="both"/>
        <w:rPr>
          <w:sz w:val="22"/>
          <w:szCs w:val="22"/>
        </w:rPr>
      </w:pPr>
      <w:r w:rsidDel="00000000" w:rsidR="00000000" w:rsidRPr="00000000">
        <w:rPr>
          <w:rtl w:val="0"/>
        </w:rPr>
      </w:r>
    </w:p>
    <w:p w:rsidR="00000000" w:rsidDel="00000000" w:rsidP="00000000" w:rsidRDefault="00000000" w:rsidRPr="00000000" w14:paraId="00000082">
      <w:pPr>
        <w:pStyle w:val="Heading2"/>
        <w:jc w:val="both"/>
        <w:rPr>
          <w:sz w:val="22"/>
          <w:szCs w:val="22"/>
        </w:rPr>
      </w:pPr>
      <w:r w:rsidDel="00000000" w:rsidR="00000000" w:rsidRPr="00000000">
        <w:rPr>
          <w:sz w:val="22"/>
          <w:szCs w:val="22"/>
          <w:rtl w:val="0"/>
        </w:rPr>
        <w:t xml:space="preserve">2.5 Evaluación comparativa y selección del Champion</w:t>
      </w:r>
    </w:p>
    <w:p w:rsidR="00000000" w:rsidDel="00000000" w:rsidP="00000000" w:rsidRDefault="00000000" w:rsidRPr="00000000" w14:paraId="00000083">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XGBoost se mantiene como Champion desplegado porque es la alternativa integrada, calibrada y validada de extremo a extremo contra el contrato de 39 features. Esta elección es de integración y reproducibilidad del producto, no una afirmación de superioridad absoluta: en T+1 empata con LightGBM en F1 e inicios, y en T+2 LightGBM muestra mejor detección de inicios. La evidencia actual obliga a separar “mejor integrado” de “mejor predictor”.</w:t>
      </w:r>
      <w:r w:rsidDel="00000000" w:rsidR="00000000" w:rsidRPr="00000000">
        <w:rPr>
          <w:rtl w:val="0"/>
        </w:rPr>
      </w:r>
    </w:p>
    <w:p w:rsidR="00000000" w:rsidDel="00000000" w:rsidP="00000000" w:rsidRDefault="00000000" w:rsidRPr="00000000" w14:paraId="00000084">
      <w:pPr>
        <w:pStyle w:val="Heading1"/>
        <w:jc w:val="center"/>
        <w:rPr>
          <w:sz w:val="22"/>
          <w:szCs w:val="22"/>
        </w:rPr>
      </w:pPr>
      <w:r w:rsidDel="00000000" w:rsidR="00000000" w:rsidRPr="00000000">
        <w:rPr>
          <w:sz w:val="22"/>
          <w:szCs w:val="22"/>
          <w:rtl w:val="0"/>
        </w:rPr>
        <w:t xml:space="preserve">3. Tablero de predicciones</w:t>
      </w:r>
    </w:p>
    <w:p w:rsidR="00000000" w:rsidDel="00000000" w:rsidP="00000000" w:rsidRDefault="00000000" w:rsidRPr="00000000" w14:paraId="00000085">
      <w:pPr>
        <w:pStyle w:val="Heading2"/>
        <w:jc w:val="both"/>
        <w:rPr>
          <w:sz w:val="22"/>
          <w:szCs w:val="22"/>
        </w:rPr>
      </w:pPr>
      <w:r w:rsidDel="00000000" w:rsidR="00000000" w:rsidRPr="00000000">
        <w:rPr>
          <w:sz w:val="22"/>
          <w:szCs w:val="22"/>
          <w:rtl w:val="0"/>
        </w:rPr>
        <w:t xml:space="preserve">3.1 Arquitectura funcional</w:t>
      </w:r>
    </w:p>
    <w:p w:rsidR="00000000" w:rsidDel="00000000" w:rsidP="00000000" w:rsidRDefault="00000000" w:rsidRPr="00000000" w14:paraId="00000086">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La arquitectura separa inferencia y presentación. Un input mensual con dos filas (Bucaramanga y Cali) y exactamente 39 features contractuales alimenta el Champion; éste produce cuatro predicciones (dos ciudades × T+1/T+2). FastAPI /api/v2 valida el contrato y persiste el ChampionResult en SQLite. El dashboard React/Vite consume resultados por HTTP y no ejecuta el modelo ni recalcula probability, threshold o label.</w:t>
      </w:r>
      <w:r w:rsidDel="00000000" w:rsidR="00000000" w:rsidRPr="00000000">
        <w:rPr>
          <w:rtl w:val="0"/>
        </w:rPr>
      </w:r>
    </w:p>
    <w:p w:rsidR="00000000" w:rsidDel="00000000" w:rsidP="00000000" w:rsidRDefault="00000000" w:rsidRPr="00000000" w14:paraId="00000087">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"Diagrama de arquitectura final de </w:t>
      </w:r>
      <w:r w:rsidDel="00000000" w:rsidR="00000000" w:rsidRPr="00000000">
        <w:rPr>
          <w:i w:val="1"/>
          <w:iCs w:val="1"/>
          <w:color w:val="5b677a"/>
          <w:sz w:val="22"/>
          <w:szCs w:val="22"/>
          <w:rtl w:val="0"/>
        </w:rPr>
        <w:t xml:space="preserve">SAT_Dengue</w:t>
      </w:r>
      <w:sdt>
        <w:sdtPr>
          <w:id w:val="1676541920"/>
          <w:tag w:val="goog_rdk_1"/>
        </w:sdtPr>
        <w:sdtContent>
          <w:r w:rsidDel="00000000" w:rsidR="00000000" w:rsidRPr="00000000">
            <w:rPr>
              <w:rFonts w:ascii="Arial Unicode MS" w:cs="Arial Unicode MS" w:eastAsia="Arial Unicode MS" w:hAnsi="Arial Unicode MS"/>
              <w:b w:val="0"/>
              <w:bCs w:val="0"/>
              <w:i w:val="1"/>
              <w:iCs w:val="1"/>
              <w:color w:val="5b677a"/>
              <w:sz w:val="22"/>
              <w:szCs w:val="22"/>
              <w:rtl w:val="0"/>
            </w:rPr>
            <w:t xml:space="preserve">: input mensual → Champion → FastAPI /api/v2 → SQLite → GET latest/history → dashboard"]</w:t>
          </w:r>
        </w:sdtContent>
      </w:sdt>
      <w:r w:rsidDel="00000000" w:rsidR="00000000" w:rsidRPr="00000000">
        <w:rPr>
          <w:rtl w:val="0"/>
        </w:rPr>
      </w:r>
    </w:p>
    <w:p w:rsidR="00000000" w:rsidDel="00000000" w:rsidP="00000000" w:rsidRDefault="00000000" w:rsidRPr="00000000" w14:paraId="00000088">
      <w:pPr>
        <w:pStyle w:val="Heading2"/>
        <w:jc w:val="both"/>
        <w:rPr>
          <w:sz w:val="22"/>
          <w:szCs w:val="22"/>
        </w:rPr>
      </w:pPr>
      <w:r w:rsidDel="00000000" w:rsidR="00000000" w:rsidRPr="00000000">
        <w:rPr>
          <w:rtl w:val="0"/>
        </w:rPr>
      </w:r>
    </w:p>
    <w:p w:rsidR="00000000" w:rsidDel="00000000" w:rsidP="00000000" w:rsidRDefault="00000000" w:rsidRPr="00000000" w14:paraId="00000089">
      <w:pPr>
        <w:pStyle w:val="Heading2"/>
        <w:jc w:val="both"/>
        <w:rPr>
          <w:sz w:val="22"/>
          <w:szCs w:val="22"/>
        </w:rPr>
      </w:pPr>
      <w:r w:rsidDel="00000000" w:rsidR="00000000" w:rsidRPr="00000000">
        <w:rPr>
          <w:sz w:val="22"/>
          <w:szCs w:val="22"/>
          <w:rtl w:val="0"/>
        </w:rPr>
        <w:t xml:space="preserve">3.2 Funcionalidades del tablero</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Selección de Bucaramanga o Cali y lectura conjunta de los horizontes T+1 y T+2.</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Etiqueta EXCESO/NO_EXCESO, probabilidad calibrada, umbral, periodo de referencia/objetivo y trazabilidad del modelo/run.</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Consulta de latest y de history; “Actualizar vista” vuelve a leer latest y no dispara una nueva inferencia.</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Contexto epidemiológico (P25, P75 y zona del canal) cuando esos campos están presentes en el input validado; la UI refleja el API sin inventar valores.</w:t>
      </w:r>
    </w:p>
    <w:p w:rsidR="00000000" w:rsidDel="00000000" w:rsidP="00000000" w:rsidRDefault="00000000" w:rsidRPr="00000000" w14:paraId="0000008E">
      <w:pPr>
        <w:spacing w:after="2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Ejemplo real de integración validado con reference_month = 2025-12:</w:t>
      </w:r>
    </w:p>
    <w:p w:rsidR="00000000" w:rsidDel="00000000" w:rsidP="00000000" w:rsidRDefault="00000000" w:rsidRPr="00000000" w14:paraId="0000008F">
      <w:pPr>
        <w:spacing w:after="20" w:before="0" w:line="240" w:lineRule="auto"/>
        <w:jc w:val="both"/>
        <w:rPr>
          <w:sz w:val="22"/>
          <w:szCs w:val="22"/>
        </w:rPr>
      </w:pPr>
      <w:r w:rsidDel="00000000" w:rsidR="00000000" w:rsidRPr="00000000">
        <w:rPr>
          <w:rtl w:val="0"/>
        </w:rPr>
      </w:r>
    </w:p>
    <w:tbl>
      <w:tblPr>
        <w:tblStyle w:val="Table5"/>
        <w:tblW w:w="10570.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2114"/>
        <w:gridCol w:w="2114"/>
        <w:gridCol w:w="2114"/>
        <w:gridCol w:w="2114"/>
        <w:gridCol w:w="2114"/>
        <w:tblGridChange w:id="0">
          <w:tblGrid>
            <w:gridCol w:w="2114"/>
            <w:gridCol w:w="2114"/>
            <w:gridCol w:w="2114"/>
            <w:gridCol w:w="2114"/>
            <w:gridCol w:w="2114"/>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90">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Municipio</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91">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Horizonte</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92">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Prob.</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93">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Umbral</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94">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Etiqueta</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9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Bucaramanga</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9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T+1</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9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0,7347</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9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0,34</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9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EXCESO</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9A">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Bucaramanga</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9B">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T+2</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9C">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0,6724</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9D">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0,27</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9E">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EXCESO</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9F">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Cali</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A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T+1</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A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0,0132</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A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0,34</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A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NO_EXCESO</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A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Cali</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A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T+2</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A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0,0150</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A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0,27</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A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NO_EXCESO</w:t>
            </w:r>
            <w:r w:rsidDel="00000000" w:rsidR="00000000" w:rsidRPr="00000000">
              <w:rPr>
                <w:rtl w:val="0"/>
              </w:rPr>
            </w:r>
          </w:p>
        </w:tc>
      </w:tr>
    </w:tbl>
    <w:p w:rsidR="00000000" w:rsidDel="00000000" w:rsidP="00000000" w:rsidRDefault="00000000" w:rsidRPr="00000000" w14:paraId="000000A9">
      <w:pPr>
        <w:pStyle w:val="Heading2"/>
        <w:jc w:val="both"/>
        <w:rPr>
          <w:sz w:val="22"/>
          <w:szCs w:val="22"/>
        </w:rPr>
      </w:pPr>
      <w:r w:rsidDel="00000000" w:rsidR="00000000" w:rsidRPr="00000000">
        <w:rPr>
          <w:rtl w:val="0"/>
        </w:rPr>
      </w:r>
    </w:p>
    <w:p w:rsidR="00000000" w:rsidDel="00000000" w:rsidP="00000000" w:rsidRDefault="00000000" w:rsidRPr="00000000" w14:paraId="000000AA">
      <w:pPr>
        <w:pStyle w:val="Heading2"/>
        <w:jc w:val="both"/>
        <w:rPr>
          <w:sz w:val="22"/>
          <w:szCs w:val="22"/>
        </w:rPr>
      </w:pPr>
      <w:r w:rsidDel="00000000" w:rsidR="00000000" w:rsidRPr="00000000">
        <w:rPr>
          <w:sz w:val="22"/>
          <w:szCs w:val="22"/>
          <w:rtl w:val="0"/>
        </w:rPr>
        <w:t xml:space="preserve">3.3 Diferenciación entre inicio y continuación</w:t>
      </w:r>
    </w:p>
    <w:p w:rsidR="00000000" w:rsidDel="00000000" w:rsidP="00000000" w:rsidRDefault="00000000" w:rsidRPr="00000000" w14:paraId="000000AB">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Para que una secretaría interprete la alerta como una decisión y no solo como una etiqueta, el reporte adopta la siguiente regla operacional: si el municipio no está hoy en exceso (brote = 0) y el modelo pronostica EXCESO, el evento es INICIO DE BROTE; si ya está en exceso (brote = 1) y el pronóstico sigue en EXCESO, es CONTINUACIÓN DE BROTE; si el pronóstico es NO_EXCESO, se reporta SIN BROTE previsto. Esta distinción materializa el valor frente a la simple persistencia.</w:t>
      </w:r>
    </w:p>
    <w:p w:rsidR="00000000" w:rsidDel="00000000" w:rsidP="00000000" w:rsidRDefault="00000000" w:rsidRPr="00000000" w14:paraId="000000AC">
      <w:pPr>
        <w:spacing w:after="40" w:before="0" w:line="240" w:lineRule="auto"/>
        <w:jc w:val="both"/>
        <w:rPr>
          <w:sz w:val="22"/>
          <w:szCs w:val="22"/>
        </w:rPr>
      </w:pPr>
      <w:r w:rsidDel="00000000" w:rsidR="00000000" w:rsidRPr="00000000">
        <w:rPr>
          <w:rtl w:val="0"/>
        </w:rPr>
      </w:r>
    </w:p>
    <w:tbl>
      <w:tblPr>
        <w:tblStyle w:val="Table6"/>
        <w:tblW w:w="10569.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3523"/>
        <w:gridCol w:w="3523"/>
        <w:gridCol w:w="3523"/>
        <w:tblGridChange w:id="0">
          <w:tblGrid>
            <w:gridCol w:w="3523"/>
            <w:gridCol w:w="3523"/>
            <w:gridCol w:w="3523"/>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AD">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Estado actual</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AE">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Predicción</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AF">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Interpretación para decisión</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B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No exceso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B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EXCESO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B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INICIO DE BROTE — priorizar acción preventiva.</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B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Exceso</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B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EXCESO</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B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CONTINUACIÓN DE BROTE — sostener/reforzar respuesta.</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B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Cualquiera</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B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NO_EXCESO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B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SIN BROTE previsto — vigilancia y seguimiento.</w:t>
            </w:r>
            <w:r w:rsidDel="00000000" w:rsidR="00000000" w:rsidRPr="00000000">
              <w:rPr>
                <w:rtl w:val="0"/>
              </w:rPr>
            </w:r>
          </w:p>
        </w:tc>
      </w:tr>
    </w:tbl>
    <w:p w:rsidR="00000000" w:rsidDel="00000000" w:rsidP="00000000" w:rsidRDefault="00000000" w:rsidRPr="00000000" w14:paraId="000000B9">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BA">
      <w:pPr>
        <w:spacing w:after="40" w:before="0" w:line="240" w:lineRule="auto"/>
        <w:jc w:val="both"/>
        <w:rPr>
          <w:rFonts w:ascii="Arial" w:cs="Arial" w:eastAsia="Arial" w:hAnsi="Arial"/>
          <w:b w:val="0"/>
          <w:bCs w:val="0"/>
          <w:i w:val="0"/>
          <w:iCs w:val="0"/>
          <w:color w:val="203040"/>
          <w:sz w:val="22"/>
          <w:szCs w:val="22"/>
          <w:highlight w:val="yellow"/>
        </w:rPr>
      </w:pPr>
      <w:r w:rsidDel="00000000" w:rsidR="00000000" w:rsidRPr="00000000">
        <w:rPr>
          <w:rFonts w:ascii="Arial" w:cs="Arial" w:eastAsia="Arial" w:hAnsi="Arial"/>
          <w:b w:val="0"/>
          <w:bCs w:val="0"/>
          <w:i w:val="0"/>
          <w:iCs w:val="0"/>
          <w:color w:val="203040"/>
          <w:sz w:val="22"/>
          <w:szCs w:val="22"/>
          <w:highlight w:val="yellow"/>
          <w:rtl w:val="0"/>
        </w:rPr>
        <w:t xml:space="preserve">Al corte del repositorio no </w:t>
      </w:r>
      <w:r w:rsidDel="00000000" w:rsidR="00000000" w:rsidRPr="00000000">
        <w:rPr>
          <w:sz w:val="22"/>
          <w:szCs w:val="22"/>
          <w:highlight w:val="yellow"/>
          <w:rtl w:val="0"/>
        </w:rPr>
        <w:t xml:space="preserve">tenemos </w:t>
      </w:r>
      <w:r w:rsidDel="00000000" w:rsidR="00000000" w:rsidRPr="00000000">
        <w:rPr>
          <w:rFonts w:ascii="Arial" w:cs="Arial" w:eastAsia="Arial" w:hAnsi="Arial"/>
          <w:b w:val="0"/>
          <w:bCs w:val="0"/>
          <w:i w:val="0"/>
          <w:iCs w:val="0"/>
          <w:color w:val="203040"/>
          <w:sz w:val="22"/>
          <w:szCs w:val="22"/>
          <w:highlight w:val="yellow"/>
          <w:rtl w:val="0"/>
        </w:rPr>
        <w:t xml:space="preserve">evidencia de que estas tres categorías estén expuestas como un badge explícito en la interfaz final. Por ello, la captura de cierre debemos demostrar esta clasificación; no se declara implementada sin evidencia.</w:t>
      </w:r>
    </w:p>
    <w:p w:rsidR="00000000" w:rsidDel="00000000" w:rsidP="00000000" w:rsidRDefault="00000000" w:rsidRPr="00000000" w14:paraId="000000BB">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BC">
      <w:pPr>
        <w:pStyle w:val="Heading2"/>
        <w:jc w:val="both"/>
        <w:rPr>
          <w:sz w:val="22"/>
          <w:szCs w:val="22"/>
        </w:rPr>
      </w:pPr>
      <w:r w:rsidDel="00000000" w:rsidR="00000000" w:rsidRPr="00000000">
        <w:rPr>
          <w:sz w:val="22"/>
          <w:szCs w:val="22"/>
          <w:rtl w:val="0"/>
        </w:rPr>
        <w:t xml:space="preserve">3.4 Evidencia de funcionamiento y calidad de información</w:t>
      </w:r>
    </w:p>
    <w:p w:rsidR="00000000" w:rsidDel="00000000" w:rsidP="00000000" w:rsidRDefault="00000000" w:rsidRPr="00000000" w14:paraId="000000BD">
      <w:pPr>
        <w:spacing w:after="40" w:before="0" w:line="240" w:lineRule="auto"/>
        <w:jc w:val="both"/>
        <w:rPr>
          <w:sz w:val="22"/>
          <w:szCs w:val="22"/>
          <w:highlight w:val="yellow"/>
        </w:rPr>
      </w:pPr>
      <w:r w:rsidDel="00000000" w:rsidR="00000000" w:rsidRPr="00000000">
        <w:rPr>
          <w:rFonts w:ascii="Arial" w:cs="Arial" w:eastAsia="Arial" w:hAnsi="Arial"/>
          <w:b w:val="0"/>
          <w:bCs w:val="0"/>
          <w:i w:val="0"/>
          <w:iCs w:val="0"/>
          <w:color w:val="203040"/>
          <w:sz w:val="22"/>
          <w:szCs w:val="22"/>
          <w:highlight w:val="yellow"/>
          <w:rtl w:val="0"/>
        </w:rPr>
        <w:t xml:space="preserve">La versión final debe priorizar una captura donde la predicción y el canal endémico sean visibles simultáneamente. La API ya preserva probability, threshold, label, run_id, versión y contexto de canal. Los campos no materializados por la fuente actual —por ejemplo casos observados, P50 o una explicación SHAP local vigente— deben mostrarse como ausencia explícita y no completarse con valores sintéticos.</w:t>
      </w:r>
      <w:r w:rsidDel="00000000" w:rsidR="00000000" w:rsidRPr="00000000">
        <w:rPr>
          <w:rtl w:val="0"/>
        </w:rPr>
      </w:r>
    </w:p>
    <w:p w:rsidR="00000000" w:rsidDel="00000000" w:rsidP="00000000" w:rsidRDefault="00000000" w:rsidRPr="00000000" w14:paraId="000000BE">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"Dashboard </w:t>
      </w:r>
      <w:r w:rsidDel="00000000" w:rsidR="00000000" w:rsidRPr="00000000">
        <w:rPr>
          <w:i w:val="1"/>
          <w:iCs w:val="1"/>
          <w:color w:val="5b677a"/>
          <w:sz w:val="22"/>
          <w:szCs w:val="22"/>
          <w:rtl w:val="0"/>
        </w:rPr>
        <w:t xml:space="preserve">SAT-Dengue</w:t>
      </w:r>
      <w:r w:rsidDel="00000000" w:rsidR="00000000" w:rsidRPr="00000000">
        <w:rPr>
          <w:rFonts w:ascii="Arial" w:cs="Arial" w:eastAsia="Arial" w:hAnsi="Arial"/>
          <w:b w:val="0"/>
          <w:bCs w:val="0"/>
          <w:i w:val="1"/>
          <w:iCs w:val="1"/>
          <w:color w:val="5b677a"/>
          <w:sz w:val="22"/>
          <w:szCs w:val="22"/>
          <w:rtl w:val="0"/>
        </w:rPr>
        <w:t xml:space="preserve"> final mostrando municipio, T+1/T+2, probabilidad, threshold, canal endémico, tipo de evento (inicio/continuación/sin brote) y trazabilidad"]</w:t>
      </w:r>
      <w:r w:rsidDel="00000000" w:rsidR="00000000" w:rsidRPr="00000000">
        <w:rPr>
          <w:rtl w:val="0"/>
        </w:rPr>
      </w:r>
    </w:p>
    <w:p w:rsidR="00000000" w:rsidDel="00000000" w:rsidP="00000000" w:rsidRDefault="00000000" w:rsidRPr="00000000" w14:paraId="000000BF">
      <w:pPr>
        <w:pStyle w:val="Heading2"/>
        <w:jc w:val="both"/>
        <w:rPr>
          <w:sz w:val="22"/>
          <w:szCs w:val="22"/>
        </w:rPr>
      </w:pPr>
      <w:r w:rsidDel="00000000" w:rsidR="00000000" w:rsidRPr="00000000">
        <w:rPr>
          <w:rtl w:val="0"/>
        </w:rPr>
      </w:r>
    </w:p>
    <w:p w:rsidR="00000000" w:rsidDel="00000000" w:rsidP="00000000" w:rsidRDefault="00000000" w:rsidRPr="00000000" w14:paraId="000000C0">
      <w:pPr>
        <w:pStyle w:val="Heading2"/>
        <w:jc w:val="both"/>
        <w:rPr>
          <w:sz w:val="22"/>
          <w:szCs w:val="22"/>
        </w:rPr>
      </w:pPr>
      <w:r w:rsidDel="00000000" w:rsidR="00000000" w:rsidRPr="00000000">
        <w:rPr>
          <w:sz w:val="22"/>
          <w:szCs w:val="22"/>
          <w:rtl w:val="0"/>
        </w:rPr>
        <w:t xml:space="preserve">3.5 Integración técnica</w:t>
      </w:r>
    </w:p>
    <w:p w:rsidR="00000000" w:rsidDel="00000000" w:rsidP="00000000" w:rsidRDefault="00000000" w:rsidRPr="00000000" w14:paraId="000000C1">
      <w:pPr>
        <w:spacing w:after="0" w:lineRule="auto"/>
        <w:ind w:left="0" w:firstLine="0"/>
        <w:jc w:val="both"/>
        <w:rPr>
          <w:highlight w:val="yellow"/>
        </w:rPr>
      </w:pPr>
      <w:r w:rsidDel="00000000" w:rsidR="00000000" w:rsidRPr="00000000">
        <w:rPr>
          <w:sz w:val="22"/>
          <w:szCs w:val="22"/>
          <w:highlight w:val="yellow"/>
          <w:rtl w:val="0"/>
        </w:rPr>
        <w:t xml:space="preserve">describir</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2"/>
        <w:jc w:val="both"/>
        <w:rPr>
          <w:sz w:val="22"/>
          <w:szCs w:val="22"/>
        </w:rPr>
      </w:pPr>
      <w:r w:rsidDel="00000000" w:rsidR="00000000" w:rsidRPr="00000000">
        <w:rPr>
          <w:rtl w:val="0"/>
        </w:rPr>
      </w:r>
    </w:p>
    <w:p w:rsidR="00000000" w:rsidDel="00000000" w:rsidP="00000000" w:rsidRDefault="00000000" w:rsidRPr="00000000" w14:paraId="000000C4">
      <w:pPr>
        <w:pStyle w:val="Heading2"/>
        <w:jc w:val="center"/>
        <w:rPr>
          <w:sz w:val="22"/>
          <w:szCs w:val="22"/>
        </w:rPr>
      </w:pPr>
      <w:r w:rsidDel="00000000" w:rsidR="00000000" w:rsidRPr="00000000">
        <w:rPr>
          <w:sz w:val="22"/>
          <w:szCs w:val="22"/>
          <w:rtl w:val="0"/>
        </w:rPr>
        <w:t xml:space="preserve">4. Principales resultados, observaciones y conclusiones</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Desempeño general: en T+1 XGBoost y LightGBM alcanzan F1=0,965; el canal endémico, 0,951. XGBoost detecta 41/42 meses de brote frente a 39/42 del canal, a costa de una falsa alarma adicional (2 vs. 1).</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Inicio de brote: la evidencia actual no demuestra que el modelo supere al canal en el objetivo más importante. XGBoost, LightGBM y canal endémico detectan 2/3 inicios; persistencia detecta 0/3. El tamaño muestral de tres transiciones impide conclusiones fuertes.</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Horizonte T+2: LightGBM mantiene F1=0,920 y 2/3 inicios, mientras XGBoost obtiene F1=0,918 y 1/3. T+2 es útil como ventana de planificación, pero faltan baselines T+2 completamente comparables antes de declarar una ganancia definitiva.</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Dependencia del estado reciente: la alta importancia observada previamente para brote_lag_1 y variables del canal es coherente con un problema donde la persistencia explica buena parte de los brotes.</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highlight w:val="yellow"/>
        </w:rPr>
      </w:pPr>
      <w:r w:rsidDel="00000000" w:rsidR="00000000" w:rsidRPr="00000000">
        <w:rPr>
          <w:rFonts w:ascii="Arial" w:cs="Arial" w:eastAsia="Arial" w:hAnsi="Arial"/>
          <w:b w:val="0"/>
          <w:bCs w:val="0"/>
          <w:i w:val="0"/>
          <w:iCs w:val="0"/>
          <w:smallCaps w:val="0"/>
          <w:strike w:val="0"/>
          <w:color w:val="203040"/>
          <w:sz w:val="22"/>
          <w:szCs w:val="22"/>
          <w:highlight w:val="yellow"/>
          <w:u w:val="none"/>
          <w:vertAlign w:val="baseline"/>
          <w:rtl w:val="0"/>
        </w:rPr>
        <w:t xml:space="preserve">Probabilidades y producto: el Champion desplegado usa calibración Platt y umbrales explícitos; la API conserva las salidas del modelo y el dashboard se limita a leerlas.</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Conclusión de negocio: </w:t>
      </w:r>
      <w:r w:rsidDel="00000000" w:rsidR="00000000" w:rsidRPr="00000000">
        <w:rPr>
          <w:sz w:val="22"/>
          <w:szCs w:val="22"/>
          <w:rtl w:val="0"/>
        </w:rPr>
        <w:t xml:space="preserve">SAT-Dengue</w:t>
      </w: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 demuestra un prototipo funcional para llevar una predicción mensual desde datos/modelo hasta una interfaz de decisión.</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360" w:right="0" w:firstLine="0"/>
        <w:jc w:val="both"/>
        <w:rPr>
          <w:sz w:val="22"/>
          <w:szCs w:val="22"/>
        </w:rPr>
      </w:pPr>
      <w:r w:rsidDel="00000000" w:rsidR="00000000" w:rsidRPr="00000000">
        <w:rPr>
          <w:rtl w:val="0"/>
        </w:rPr>
      </w:r>
    </w:p>
    <w:p w:rsidR="00000000" w:rsidDel="00000000" w:rsidP="00000000" w:rsidRDefault="00000000" w:rsidRPr="00000000" w14:paraId="000000CC">
      <w:pPr>
        <w:pStyle w:val="Heading1"/>
        <w:jc w:val="both"/>
        <w:rPr>
          <w:sz w:val="22"/>
          <w:szCs w:val="22"/>
        </w:rPr>
      </w:pPr>
      <w:r w:rsidDel="00000000" w:rsidR="00000000" w:rsidRPr="00000000">
        <w:rPr>
          <w:sz w:val="22"/>
          <w:szCs w:val="22"/>
          <w:rtl w:val="0"/>
        </w:rPr>
        <w:t xml:space="preserve">5. Repositorio de código en GitHub</w:t>
      </w:r>
    </w:p>
    <w:p w:rsidR="00000000" w:rsidDel="00000000" w:rsidP="00000000" w:rsidRDefault="00000000" w:rsidRPr="00000000" w14:paraId="000000CD">
      <w:pPr>
        <w:spacing w:after="2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Repositorio: </w:t>
      </w:r>
      <w:hyperlink r:id="rId7">
        <w:r w:rsidDel="00000000" w:rsidR="00000000" w:rsidRPr="00000000">
          <w:rPr>
            <w:color w:val="1f5aa6"/>
            <w:sz w:val="22"/>
            <w:szCs w:val="22"/>
            <w:u w:val="single"/>
            <w:rtl w:val="0"/>
          </w:rPr>
          <w:t xml:space="preserve">microproyecto-tema3</w:t>
        </w:r>
      </w:hyperlink>
      <w:r w:rsidDel="00000000" w:rsidR="00000000" w:rsidRPr="00000000">
        <w:rPr>
          <w:rtl w:val="0"/>
        </w:rPr>
      </w:r>
    </w:p>
    <w:p w:rsidR="00000000" w:rsidDel="00000000" w:rsidP="00000000" w:rsidRDefault="00000000" w:rsidRPr="00000000" w14:paraId="000000CE">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"Evidencia del API desplegado con endpoints principales visibles"]</w:t>
      </w:r>
      <w:r w:rsidDel="00000000" w:rsidR="00000000" w:rsidRPr="00000000">
        <w:rPr>
          <w:rtl w:val="0"/>
        </w:rPr>
      </w:r>
    </w:p>
    <w:p w:rsidR="00000000" w:rsidDel="00000000" w:rsidP="00000000" w:rsidRDefault="00000000" w:rsidRPr="00000000" w14:paraId="000000CF">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"Evidencia del tablero desplegado consumiendo resultados reales de la API"]</w:t>
      </w:r>
      <w:r w:rsidDel="00000000" w:rsidR="00000000" w:rsidRPr="00000000">
        <w:rPr>
          <w:rtl w:val="0"/>
        </w:rPr>
      </w:r>
    </w:p>
    <w:p w:rsidR="00000000" w:rsidDel="00000000" w:rsidP="00000000" w:rsidRDefault="00000000" w:rsidRPr="00000000" w14:paraId="000000D0">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"Evidencia de imágenes o servicios Docker usados para desplegar API y dashboard"]</w:t>
      </w:r>
      <w:r w:rsidDel="00000000" w:rsidR="00000000" w:rsidRPr="00000000">
        <w:rPr>
          <w:rtl w:val="0"/>
        </w:rPr>
      </w:r>
    </w:p>
    <w:p w:rsidR="00000000" w:rsidDel="00000000" w:rsidP="00000000" w:rsidRDefault="00000000" w:rsidRPr="00000000" w14:paraId="000000D1">
      <w:pPr>
        <w:spacing w:after="2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Manual: </w:t>
      </w:r>
      <w:hyperlink r:id="rId8">
        <w:r w:rsidDel="00000000" w:rsidR="00000000" w:rsidRPr="00000000">
          <w:rPr>
            <w:color w:val="1f5aa6"/>
            <w:sz w:val="22"/>
            <w:szCs w:val="22"/>
            <w:u w:val="single"/>
            <w:rtl w:val="0"/>
          </w:rPr>
          <w:t xml:space="preserve">Manual_Usuario.docx (commit 9c9203e)</w:t>
        </w:r>
      </w:hyperlink>
      <w:r w:rsidDel="00000000" w:rsidR="00000000" w:rsidRPr="00000000">
        <w:rPr>
          <w:rtl w:val="0"/>
        </w:rPr>
      </w:r>
    </w:p>
    <w:p w:rsidR="00000000" w:rsidDel="00000000" w:rsidP="00000000" w:rsidRDefault="00000000" w:rsidRPr="00000000" w14:paraId="000000D2">
      <w:pPr>
        <w:spacing w:after="2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Manual: </w:t>
      </w:r>
      <w:hyperlink r:id="rId9">
        <w:r w:rsidDel="00000000" w:rsidR="00000000" w:rsidRPr="00000000">
          <w:rPr>
            <w:color w:val="1f5aa6"/>
            <w:sz w:val="22"/>
            <w:szCs w:val="22"/>
            <w:u w:val="single"/>
            <w:rtl w:val="0"/>
          </w:rPr>
          <w:t xml:space="preserve">Manual_Instalacion.docx (commit 9c9203e)</w:t>
        </w:r>
      </w:hyperlink>
      <w:r w:rsidDel="00000000" w:rsidR="00000000" w:rsidRPr="00000000">
        <w:rPr>
          <w:rtl w:val="0"/>
        </w:rPr>
      </w:r>
    </w:p>
    <w:p w:rsidR="00000000" w:rsidDel="00000000" w:rsidP="00000000" w:rsidRDefault="00000000" w:rsidRPr="00000000" w14:paraId="000000D3">
      <w:pPr>
        <w:spacing w:after="20" w:before="0" w:line="240" w:lineRule="auto"/>
        <w:jc w:val="both"/>
        <w:rPr>
          <w:sz w:val="22"/>
          <w:szCs w:val="22"/>
        </w:rPr>
      </w:pPr>
      <w:r w:rsidDel="00000000" w:rsidR="00000000" w:rsidRPr="00000000">
        <w:rPr>
          <w:b w:val="1"/>
          <w:bCs w:val="1"/>
          <w:sz w:val="22"/>
          <w:szCs w:val="22"/>
          <w:rtl w:val="0"/>
        </w:rPr>
        <w:t xml:space="preserve">Video</w:t>
      </w:r>
      <w:r w:rsidDel="00000000" w:rsidR="00000000" w:rsidRPr="00000000">
        <w:rPr>
          <w:rFonts w:ascii="Arial" w:cs="Arial" w:eastAsia="Arial" w:hAnsi="Arial"/>
          <w:b w:val="1"/>
          <w:bCs w:val="1"/>
          <w:i w:val="0"/>
          <w:iCs w:val="0"/>
          <w:color w:val="203040"/>
          <w:sz w:val="22"/>
          <w:szCs w:val="22"/>
          <w:rtl w:val="0"/>
        </w:rPr>
        <w:t xml:space="preserve">: </w:t>
      </w:r>
      <w:r w:rsidDel="00000000" w:rsidR="00000000" w:rsidRPr="00000000">
        <w:rPr>
          <w:rtl w:val="0"/>
        </w:rPr>
      </w:r>
    </w:p>
    <w:p w:rsidR="00000000" w:rsidDel="00000000" w:rsidP="00000000" w:rsidRDefault="00000000" w:rsidRPr="00000000" w14:paraId="000000D4">
      <w:pPr>
        <w:pStyle w:val="Heading1"/>
        <w:jc w:val="both"/>
        <w:rPr>
          <w:sz w:val="22"/>
          <w:szCs w:val="22"/>
        </w:rPr>
      </w:pPr>
      <w:r w:rsidDel="00000000" w:rsidR="00000000" w:rsidRPr="00000000">
        <w:rPr>
          <w:rtl w:val="0"/>
        </w:rPr>
      </w:r>
    </w:p>
    <w:p w:rsidR="00000000" w:rsidDel="00000000" w:rsidP="00000000" w:rsidRDefault="00000000" w:rsidRPr="00000000" w14:paraId="000000D5">
      <w:pPr>
        <w:pStyle w:val="Heading1"/>
        <w:jc w:val="both"/>
        <w:rPr>
          <w:sz w:val="22"/>
          <w:szCs w:val="22"/>
        </w:rPr>
      </w:pPr>
      <w:r w:rsidDel="00000000" w:rsidR="00000000" w:rsidRPr="00000000">
        <w:rPr>
          <w:sz w:val="22"/>
          <w:szCs w:val="22"/>
          <w:rtl w:val="0"/>
        </w:rPr>
        <w:t xml:space="preserve">9. Reporte de trabajo en equipo</w:t>
      </w:r>
    </w:p>
    <w:tbl>
      <w:tblPr>
        <w:tblStyle w:val="Table7"/>
        <w:tblW w:w="10570.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5285"/>
        <w:gridCol w:w="5285"/>
        <w:tblGridChange w:id="0">
          <w:tblGrid>
            <w:gridCol w:w="5285"/>
            <w:gridCol w:w="5285"/>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D6">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Actividad</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D7">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Responsable(s) / evidencia</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D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Problema, pregunta de negocio, canal endémico y conclusiones</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D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Todos</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DA">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Descarga/consolidación SIVIGILA y preparación de datos</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DB">
            <w:pPr>
              <w:spacing w:after="0" w:before="0" w:line="240" w:lineRule="auto"/>
              <w:jc w:val="both"/>
              <w:rPr>
                <w:sz w:val="22"/>
                <w:szCs w:val="22"/>
              </w:rPr>
            </w:pP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DC">
            <w:pPr>
              <w:spacing w:after="0" w:before="0" w:line="240" w:lineRule="auto"/>
              <w:jc w:val="both"/>
              <w:rPr>
                <w:sz w:val="22"/>
                <w:szCs w:val="22"/>
              </w:rPr>
            </w:pPr>
            <w:r w:rsidDel="00000000" w:rsidR="00000000" w:rsidRPr="00000000">
              <w:rPr>
                <w:sz w:val="22"/>
                <w:szCs w:val="22"/>
                <w:rtl w:val="0"/>
              </w:rPr>
              <w:t xml:space="preserve">Empaquetado de la solución</w:t>
            </w:r>
          </w:p>
        </w:tc>
        <w:tc>
          <w:tcPr>
            <w:tcMar>
              <w:top w:w="45.0" w:type="dxa"/>
              <w:bottom w:w="45.0" w:type="dxa"/>
            </w:tcMar>
            <w:vAlign w:val="top"/>
          </w:tcPr>
          <w:p w:rsidR="00000000" w:rsidDel="00000000" w:rsidP="00000000" w:rsidRDefault="00000000" w:rsidRPr="00000000" w14:paraId="000000DD">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Sergio Ballesteros.</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DE">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DVC, remoto S3 y estructura/versionamiento del repositorio</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DF">
            <w:pPr>
              <w:spacing w:after="0" w:before="0" w:line="240" w:lineRule="auto"/>
              <w:jc w:val="both"/>
              <w:rPr>
                <w:sz w:val="22"/>
                <w:szCs w:val="22"/>
              </w:rPr>
            </w:pPr>
            <w:r w:rsidDel="00000000" w:rsidR="00000000" w:rsidRPr="00000000">
              <w:rPr>
                <w:sz w:val="22"/>
                <w:szCs w:val="22"/>
                <w:rtl w:val="0"/>
              </w:rPr>
              <w:t xml:space="preserve">Todos</w:t>
            </w:r>
          </w:p>
        </w:tc>
      </w:tr>
      <w:tr>
        <w:trPr>
          <w:cantSplit w:val="0"/>
          <w:tblHeader w:val="0"/>
        </w:trPr>
        <w:tc>
          <w:tcPr>
            <w:tcMar>
              <w:top w:w="45.0" w:type="dxa"/>
              <w:bottom w:w="45.0" w:type="dxa"/>
            </w:tcMar>
            <w:vAlign w:val="top"/>
          </w:tcPr>
          <w:p w:rsidR="00000000" w:rsidDel="00000000" w:rsidP="00000000" w:rsidRDefault="00000000" w:rsidRPr="00000000" w14:paraId="000000E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Modelado, comparación y correcciones de métricas T+1/T+2</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E1">
            <w:pPr>
              <w:spacing w:after="0" w:before="0" w:line="240" w:lineRule="auto"/>
              <w:jc w:val="both"/>
              <w:rPr>
                <w:sz w:val="22"/>
                <w:szCs w:val="22"/>
              </w:rPr>
            </w:pP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E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MLflow y evidencias de experimentación</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E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Nicolas Lara y Stevan Ramirez</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E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Dashboard e integración con API</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E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Mauricio Rodriguez</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E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Documentación Entrega 3, manuales y guion</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E7">
            <w:pPr>
              <w:spacing w:after="0" w:before="0" w:line="240" w:lineRule="auto"/>
              <w:jc w:val="both"/>
              <w:rPr>
                <w:sz w:val="22"/>
                <w:szCs w:val="22"/>
              </w:rPr>
            </w:pPr>
            <w:r w:rsidDel="00000000" w:rsidR="00000000" w:rsidRPr="00000000">
              <w:rPr>
                <w:sz w:val="22"/>
                <w:szCs w:val="22"/>
                <w:rtl w:val="0"/>
              </w:rPr>
              <w:t xml:space="preserve">Todos</w:t>
            </w:r>
          </w:p>
        </w:tc>
      </w:tr>
      <w:tr>
        <w:trPr>
          <w:cantSplit w:val="0"/>
          <w:tblHeader w:val="0"/>
        </w:trPr>
        <w:tc>
          <w:tcPr>
            <w:tcMar>
              <w:top w:w="45.0" w:type="dxa"/>
              <w:bottom w:w="45.0" w:type="dxa"/>
            </w:tcMar>
            <w:vAlign w:val="top"/>
          </w:tcPr>
          <w:p w:rsidR="00000000" w:rsidDel="00000000" w:rsidP="00000000" w:rsidRDefault="00000000" w:rsidRPr="00000000" w14:paraId="000000E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Integración, revisión y cierre del reporte/video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E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Todos.</w:t>
            </w:r>
            <w:r w:rsidDel="00000000" w:rsidR="00000000" w:rsidRPr="00000000">
              <w:rPr>
                <w:rtl w:val="0"/>
              </w:rPr>
            </w:r>
          </w:p>
        </w:tc>
      </w:tr>
    </w:tbl>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sz w:val="22"/>
          <w:szCs w:val="22"/>
        </w:rPr>
      </w:pPr>
      <w:r w:rsidDel="00000000" w:rsidR="00000000" w:rsidRPr="00000000">
        <w:rPr>
          <w:rtl w:val="0"/>
        </w:rPr>
      </w:r>
    </w:p>
    <w:sectPr>
      <w:headerReference r:id="rId10" w:type="default"/>
      <w:headerReference r:id="rId11" w:type="first"/>
      <w:footerReference r:id="rId12" w:type="default"/>
      <w:footerReference r:id="rId13" w:type="first"/>
      <w:pgSz w:h="15840" w:w="12240" w:orient="portrait"/>
      <w:pgMar w:bottom="691" w:top="749" w:left="835" w:right="835" w:header="317"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20304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6b7280"/>
        <w:sz w:val="14"/>
        <w:szCs w:val="14"/>
        <w:u w:val="none"/>
        <w:shd w:fill="auto" w:val="clear"/>
        <w:vertAlign w:val="baseline"/>
        <w:rtl w:val="0"/>
      </w:rPr>
      <w:t xml:space="preserve">Página </w:t>
    </w:r>
    <w:r w:rsidDel="00000000" w:rsidR="00000000" w:rsidRPr="00000000">
      <w:rPr>
        <w:rFonts w:ascii="Arial" w:cs="Arial" w:eastAsia="Arial" w:hAnsi="Arial"/>
        <w:b w:val="0"/>
        <w:bCs w:val="0"/>
        <w:i w:val="0"/>
        <w:iCs w:val="0"/>
        <w:smallCaps w:val="0"/>
        <w:strike w:val="0"/>
        <w:color w:val="6b7280"/>
        <w:sz w:val="14"/>
        <w:szCs w:val="1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20304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20304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7a8798"/>
        <w:sz w:val="13"/>
        <w:szCs w:val="13"/>
        <w:u w:val="none"/>
        <w:shd w:fill="auto" w:val="clear"/>
        <w:vertAlign w:val="baseline"/>
        <w:rtl w:val="0"/>
      </w:rPr>
      <w:t xml:space="preserve">SAT-Dengue· Entrega 3</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203040"/>
        <w:sz w:val="16"/>
        <w:szCs w:val="1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03040"/>
        <w:sz w:val="16"/>
        <w:szCs w:val="16"/>
        <w:lang w:val="en"/>
      </w:rPr>
    </w:rPrDefault>
    <w:pPrDefault>
      <w:pPr>
        <w:spacing w:after="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40" w:before="120" w:lineRule="auto"/>
    </w:pPr>
    <w:rPr>
      <w:rFonts w:ascii="Arial" w:cs="Arial" w:eastAsia="Arial" w:hAnsi="Arial"/>
      <w:b w:val="1"/>
      <w:bCs w:val="1"/>
      <w:color w:val="1f5aa6"/>
      <w:sz w:val="29"/>
      <w:szCs w:val="29"/>
    </w:rPr>
  </w:style>
  <w:style w:type="paragraph" w:styleId="Heading2">
    <w:name w:val="heading 2"/>
    <w:basedOn w:val="Normal"/>
    <w:next w:val="Normal"/>
    <w:pPr>
      <w:keepNext w:val="1"/>
      <w:keepLines w:val="1"/>
      <w:spacing w:after="40" w:before="60" w:lineRule="auto"/>
    </w:pPr>
    <w:rPr>
      <w:rFonts w:ascii="Arial" w:cs="Arial" w:eastAsia="Arial" w:hAnsi="Arial"/>
      <w:b w:val="1"/>
      <w:bCs w:val="1"/>
      <w:color w:val="1f5aa6"/>
      <w:sz w:val="21"/>
      <w:szCs w:val="21"/>
    </w:rPr>
  </w:style>
  <w:style w:type="paragraph" w:styleId="Heading3">
    <w:name w:val="heading 3"/>
    <w:basedOn w:val="Normal"/>
    <w:next w:val="Normal"/>
    <w:pPr>
      <w:keepNext w:val="1"/>
      <w:keepLines w:val="1"/>
      <w:spacing w:after="40" w:before="60" w:lineRule="auto"/>
    </w:pPr>
    <w:rPr>
      <w:rFonts w:ascii="Arial" w:cs="Arial" w:eastAsia="Arial" w:hAnsi="Arial"/>
      <w:b w:val="1"/>
      <w:bCs w:val="1"/>
      <w:color w:val="1f5aa6"/>
      <w:sz w:val="18"/>
      <w:szCs w:val="18"/>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spacing w:after="10" w:line="240" w:lineRule="auto"/>
      <w:ind w:left="259" w:hanging="173"/>
      <w:contextualSpacing w:val="1"/>
    </w:pPr>
    <w:rPr>
      <w:rFonts w:ascii="Arial" w:eastAsia="Arial" w:hAnsi="Arial"/>
      <w:sz w:val="16"/>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j-mauro-r/microproyecto-tema3/blob/9c9203e72cdf31b3eb26cbcdeeccf82b5981ad40/docs/Manual_Instalacion.docx"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j-mauro-r/microproyecto-tema3" TargetMode="External"/><Relationship Id="rId8" Type="http://schemas.openxmlformats.org/officeDocument/2006/relationships/hyperlink" Target="https://github.com/j-mauro-r/microproyecto-tema3/blob/9c9203e72cdf31b3eb26cbcdeeccf82b5981ad40/docs/Manual_Usuario.docx"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TJ9w8hPEwIyOmI10yx0Zmi2amA==">CgMxLjAaJAoBMBIfCh0IB0IZCgVBcmlhbBIQQXJpYWwgVW5pY29kZSBNUxokCgExEh8KHQgHQhkKBUFyaWFsEhBBcmlhbCBVbmljb2RlIE1TOAByITFqV3Q4TlB5Umc3dG0zdUhmcFpJcXYtRU14YjMtZW53bA==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Grupo 11 — MAIA</dc:creator>
</cp:coreProperties>
</file>