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/>
          <w:b/>
          <w:i w:val="0"/>
          <w:sz w:val="44"/>
        </w:rPr>
        <w:t>SAT-Dengue</w:t>
      </w:r>
    </w:p>
    <w:p>
      <w:pPr>
        <w:jc w:val="center"/>
      </w:pPr>
      <w:r>
        <w:rPr>
          <w:rFonts w:ascii="Calibri" w:hAnsi="Calibri"/>
          <w:b w:val="0"/>
          <w:i/>
          <w:sz w:val="26"/>
        </w:rPr>
        <w:t>Análisis de Features para Predicción de Brote de Dengue Clásico</w:t>
      </w:r>
    </w:p>
    <w:p>
      <w:pPr>
        <w:jc w:val="center"/>
      </w:pPr>
      <w:r>
        <w:rPr>
          <w:rFonts w:ascii="Calibri" w:hAnsi="Calibri"/>
          <w:b w:val="0"/>
          <w:i w:val="0"/>
          <w:sz w:val="22"/>
        </w:rPr>
      </w:r>
    </w:p>
    <w:p>
      <w:pPr>
        <w:jc w:val="center"/>
      </w:pPr>
      <w:r>
        <w:rPr>
          <w:rFonts w:ascii="Calibri" w:hAnsi="Calibri"/>
          <w:b/>
          <w:i w:val="0"/>
          <w:sz w:val="22"/>
        </w:rPr>
        <w:t>Grupo 11</w:t>
      </w:r>
    </w:p>
    <w:p>
      <w:pPr>
        <w:jc w:val="center"/>
      </w:pPr>
      <w:r>
        <w:rPr>
          <w:rFonts w:ascii="Calibri" w:hAnsi="Calibri"/>
          <w:b w:val="0"/>
          <w:i w:val="0"/>
          <w:sz w:val="22"/>
        </w:rPr>
        <w:t>Proyecto de Desarrollo de Soluciones — MAIA</w:t>
      </w:r>
    </w:p>
    <w:p>
      <w:pPr>
        <w:jc w:val="center"/>
      </w:pPr>
      <w:r>
        <w:rPr>
          <w:rFonts w:ascii="Calibri" w:hAnsi="Calibri"/>
          <w:b w:val="0"/>
          <w:i w:val="0"/>
          <w:sz w:val="22"/>
        </w:rPr>
        <w:t>Universidad de los Andes</w:t>
      </w:r>
    </w:p>
    <w:p>
      <w:r>
        <w:br w:type="page"/>
      </w:r>
    </w:p>
    <w:p>
      <w:pPr>
        <w:spacing w:before="280" w:after="80"/>
      </w:pPr>
      <w:r>
        <w:rPr>
          <w:rFonts w:ascii="Calibri" w:hAnsi="Calibri"/>
          <w:b/>
          <w:i w:val="0"/>
          <w:color w:val="1654A2"/>
          <w:sz w:val="28"/>
        </w:rPr>
        <w:t>1. Descripción del dataset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El dataset construido a partir de los registros individuales del sistema SIVIGILA cubre 1.114 municipios colombianos entre 2007 y 2025 con granularidad mensual, para un total de 253.992 filas. Cada fila representa un par municipio-mes y agrega los casos de dengue clásico y grave notificados en ese período. La fecha de referencia es la fecha de inicio de síntomas (INI_SIN), con la fecha de notificación (FEC_NOT) como respaldo cuando la primera no está disponible.</w:t>
      </w:r>
    </w:p>
    <w:p>
      <w:pPr>
        <w:spacing w:before="280" w:after="80"/>
      </w:pPr>
      <w:r>
        <w:rPr>
          <w:rFonts w:ascii="Calibri" w:hAnsi="Calibri"/>
          <w:b/>
          <w:i w:val="0"/>
          <w:color w:val="1654A2"/>
          <w:sz w:val="28"/>
        </w:rPr>
        <w:t>2. Variable objetivo: brote de dengue clásico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El objetivo de clasificación es la variable binaria brote, que toma el valor 1 cuando los casos de dengue clásico en el mes t superan el percentil 75 del canal endémico histórico calculado para ese municipio y mes calendario. El canal endémico sigue la metodología de Bortman (1999) con el período de referencia 2007-2022.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A nivel del dataset completo, el 19.3% de los registros corresponde a brote (48.965 de 253.992 filas). Sin embargo, la distribución varía significativamente entre particiones: en el conjunto de entrenamiento (2007-2023) la prevalencia es del 16.5%, mientras que en el conjunto de prueba (2024-2025) asciende al 43.0%, indicando un año epidémico severo en Colombia durante ese período.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Adicionalmente se calcula la variable es_inicio, que identifica el primer mes de cada episodio de brote (transición desde estado normal o alerta hacia exceso). Esta variable es el indicador clave de valor operativo del sistema: un municipio en brote no es una novedad, pero anticipar el inicio del episodio sí lo 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c>
          <w:tcPr>
            <w:tcW w:type="dxa" w:w="1474"/>
            <w:shd w:fill="1654A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Partición</w:t>
            </w:r>
          </w:p>
        </w:tc>
        <w:tc>
          <w:tcPr>
            <w:tcW w:type="dxa" w:w="1474"/>
            <w:shd w:fill="1654A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Años</w:t>
            </w:r>
          </w:p>
        </w:tc>
        <w:tc>
          <w:tcPr>
            <w:tcW w:type="dxa" w:w="1474"/>
            <w:shd w:fill="1654A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Filas</w:t>
            </w:r>
          </w:p>
        </w:tc>
        <w:tc>
          <w:tcPr>
            <w:tcW w:type="dxa" w:w="1474"/>
            <w:shd w:fill="1654A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Municipios</w:t>
            </w:r>
          </w:p>
        </w:tc>
        <w:tc>
          <w:tcPr>
            <w:tcW w:type="dxa" w:w="1474"/>
            <w:shd w:fill="1654A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Tasa brote</w:t>
            </w:r>
          </w:p>
        </w:tc>
        <w:tc>
          <w:tcPr>
            <w:tcW w:type="dxa" w:w="1474"/>
            <w:shd w:fill="1654A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Tasa es_inicio</w:t>
            </w:r>
          </w:p>
        </w:tc>
      </w:tr>
      <w:tr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Entrenamiento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2007-2023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227.256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1.114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16.5%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6.9%</w:t>
            </w:r>
          </w:p>
        </w:tc>
      </w:tr>
      <w:tr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Prueba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2024-2025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26.736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1.114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43.0%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9.2%</w:t>
            </w:r>
          </w:p>
        </w:tc>
      </w:tr>
    </w:tbl>
    <w:p/>
    <w:p>
      <w:pPr>
        <w:spacing w:before="280" w:after="80"/>
      </w:pPr>
      <w:r>
        <w:rPr>
          <w:rFonts w:ascii="Calibri" w:hAnsi="Calibri"/>
          <w:b/>
          <w:i w:val="0"/>
          <w:color w:val="1654A2"/>
          <w:sz w:val="28"/>
        </w:rPr>
        <w:t>3. Features de rezago y ventana móvil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El grupo más numeroso de features captura la historia reciente de casos. Se calculan lags de 1, 2, 3, 4 y 6 meses para casos de dengue clásico y para casos de dengue grave, más una suma móvil de 3 meses para cada uno. Todos los rezagos se calculan por DIVIPOLA para evitar mezcla entre municipios. La cobertura es superior al 97% en todos los casos dado que el primer mes de historia de cada municipio no tiene rezago disponible.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La variable brote_lag_1 —el estado de brote del mes anterior— resulta ser la feature más informativa del conjunto con una correlación punto-biserial de 0.54, confirmando que el brote es un estado con alta persistencia. Esto tiene consecuencias directas para la evaluación: cualquier modelo que simplemente propague el estado anterior (baseline de persistencia) tendrá F1 alto pero detectará 0% de los inicios de brote.</w:t>
      </w:r>
    </w:p>
    <w:p>
      <w:pPr>
        <w:spacing w:before="280" w:after="80"/>
      </w:pPr>
      <w:r>
        <w:rPr>
          <w:rFonts w:ascii="Calibri" w:hAnsi="Calibri"/>
          <w:b/>
          <w:i w:val="0"/>
          <w:color w:val="1654A2"/>
          <w:sz w:val="28"/>
        </w:rPr>
        <w:t>4. Features de canal endémico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El canal endémico aporta tres features del estado del mes actual (t). La variable zona_canal clasifica el municipio en zona normal (0), alerta (1) o exceso (2) según si los casos del mes actual están por debajo del P25, entre P25 y P75, o por encima del P75 del canal histórico. En el dataset completo, el 41.1% corresponde a zona normal, el 39.6% a alerta y el 19.4% a exceso. La variable zona_objetivo clasifica los casos actuales contra los umbrales del mes objetivo (t+1), señalando si el nivel actual de transmisión ya supera lo normal para el próximo mes.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El índice SIR (Standardized Incidence Ratio) mide cuántas veces superan los casos actuales la media histórica del municipio y mes. Tiene una cobertura del 84.3% y una media de 1.62, con distribución muy sesgada hacia la derecha. La variable es_endemico indica si el municipio tiene historia epidémica sostenida y afecta a 523 de los 1.114 municipios. Ambas features presentan alta correlación con el objetivo.</w:t>
      </w:r>
    </w:p>
    <w:p>
      <w:pPr>
        <w:spacing w:before="280" w:after="80"/>
      </w:pPr>
      <w:r>
        <w:rPr>
          <w:rFonts w:ascii="Calibri" w:hAnsi="Calibri"/>
          <w:b/>
          <w:i w:val="0"/>
          <w:color w:val="1654A2"/>
          <w:sz w:val="28"/>
        </w:rPr>
        <w:t>5. Features climáticas (ERA5 / CHIRPS)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Las features climáticas provienen del dataset ERA5-Land (temperatura, rocío, viento, radiación solar, humedad del suelo, escorrentía, evapotranspiración) y CHIRPS (precipitación), extraídas por DIVIPOLA vía Google Earth Engine con resolución diaria y agregadas a mensual. Se incluyen los valores del mes actual y lags de 1, 2 y 3 meses para temperatura y precipitación, para un total de 9 variables climáticas base más 6 lags temporales. La cobertura en el panel es del 96.3% (1.108 de 1.114 municipios tienen datos completos desde 2007), siendo la mayor brecha en municipios muy pequeños o costeros con cobertura irregular del reanálisis ERA5.</w:t>
      </w:r>
    </w:p>
    <w:p>
      <w:pPr>
        <w:spacing w:before="280" w:after="80"/>
      </w:pPr>
      <w:r>
        <w:rPr>
          <w:rFonts w:ascii="Calibri" w:hAnsi="Calibri"/>
          <w:b/>
          <w:i w:val="0"/>
          <w:color w:val="1654A2"/>
          <w:sz w:val="28"/>
        </w:rPr>
        <w:t>6. Correlación con el objetivo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La correlación punto-biserial entre cada feature y la variable brote muestra una jerarquía clara. El estado de brote del mes actual (brote, r≈0.55) y el del mes anterior (brote_lag_1, r≈0.54) dominan ampliamente, seguidos por la zona del canal endémico (zona_canal, r≈0.46) y el SIR (sir, r≈0.20). Las features climáticas (temperatura y precipitación actual y sus lags) presentan correlaciones moderadas (r entre 0.05 y 0.12) que complementan las señales epidemiológicas. Los lags de casos graves tienen correlaciones menores (r&lt;0.08) porque el dengue grave es un subconjunto mucho más pequeño y ruidoso.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520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feature_correl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52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 w:val="0"/>
          <w:i/>
          <w:sz w:val="18"/>
        </w:rPr>
        <w:t>Figura 1. Correlación punto-biserial (valor absoluto) entre cada feature y la variable objetivo brote. Top 15 features ordenadas por relevancia.</w:t>
      </w:r>
    </w:p>
    <w:p>
      <w:pPr>
        <w:spacing w:before="280" w:after="80"/>
      </w:pPr>
      <w:r>
        <w:rPr>
          <w:rFonts w:ascii="Calibri" w:hAnsi="Calibri"/>
          <w:b/>
          <w:i w:val="0"/>
          <w:color w:val="1654A2"/>
          <w:sz w:val="28"/>
        </w:rPr>
        <w:t>7. Conclusiones y decisiones de modelado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El análisis confirma que las features más poderosas para predecir brote de dengue clásico son las que reflejan el estado epidémico reciente del propio municipio: el estado de brote actual y del mes anterior, y la zona del canal endémico. Esto es consistente con la naturaleza del fenómeno, donde el brote es un estado con inercia temporal alta.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Las features seleccionadas excluyen variables futuras al período de predicción (objetivo, casos_objetivo, anio_objetivo, mes_objetivo) para evitar data leakage. El dataset final incluye 40+ features predictoras: 12 de rezago de casos, 9 climáticas base más 6 lags de temperatura y precipitación, 5 de canal endémico y estacionalidad, y la variable brote_lag_1 que captura la persistencia del estado epidémico.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La integración de datos climáticos ERA5+CHIRPS con cobertura del 96.3% es el avance más significativo respecto a versiones anteriores. La literatura epidemiológica documenta que temperatura y precipitación son predictores relevantes de dengue con horizonte de 1 a 3 meses; su incorporación efectiva en el modelo permitirá reducir la dependencia en el estado de brote anterior y mejorar específicamente la detección de inicios de episodio.</w:t>
      </w:r>
    </w:p>
    <w:sectPr w:rsidR="00FC693F" w:rsidRPr="0006063C" w:rsidSect="00034616">
      <w:pgSz w:w="12240" w:h="15840"/>
      <w:pgMar w:top="1440" w:right="1699" w:bottom="1440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