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Arial" w:hAnsi="Arial" w:cs="Arial"/>
          <w:b w:val="0"/>
          <w:color w:val="B00000"/>
          <w:sz w:val="24"/>
          <w:rtl/>
          <w:szCs w:val="24"/>
        </w:rPr>
        <w:t>وثيقة وهمية لأغراض العرض في الهاكاثون فقط — ليست منافسة حقيقية</w:t>
      </w:r>
    </w:p>
    <w:p>
      <w:pPr>
        <w:bidi/>
      </w:pPr>
      <w:r>
        <w:rPr>
          <w:rFonts w:ascii="Arial" w:hAnsi="Arial" w:cs="Arial"/>
          <w:b w:val="0"/>
          <w:sz w:val="24"/>
          <w:rtl/>
          <w:szCs w:val="24"/>
        </w:rPr>
        <w:t>وزارة الخدمات الرقمية الوهمية — الإدارة العامة للمشتريات</w:t>
      </w:r>
    </w:p>
    <w:p>
      <w:pPr>
        <w:bidi/>
      </w:pPr>
      <w:r>
        <w:rPr>
          <w:rFonts w:ascii="Arial" w:hAnsi="Arial" w:cs="Arial"/>
          <w:b/>
          <w:color w:val="0F6E56"/>
          <w:sz w:val="32"/>
          <w:rtl/>
          <w:szCs w:val="32"/>
          <w:bCs/>
        </w:rPr>
        <w:t>كراسة الشروط والمواصفات: تطوير وتشغيل منصة ذكاء اصطناعي لتصنيف المعاملات الواردة وتوجيهها</w:t>
      </w:r>
    </w:p>
    <w:p>
      <w:pPr>
        <w:bidi/>
      </w:pPr>
      <w:r>
        <w:rPr>
          <w:rFonts w:ascii="Arial" w:hAnsi="Arial" w:cs="Arial"/>
          <w:b w:val="0"/>
          <w:sz w:val="24"/>
          <w:rtl/>
          <w:szCs w:val="24"/>
        </w:rPr>
        <w:t>رقم المنافسة: 2026-0457 · نوع المنافسة: منافسة عامة</w:t>
      </w:r>
    </w:p>
    <w:p>
      <w:pPr>
        <w:bidi/>
      </w:pPr>
      <w:r>
        <w:rPr>
          <w:rFonts w:ascii="Arial" w:hAnsi="Arial" w:cs="Arial"/>
          <w:b/>
          <w:color w:val="0F6E56"/>
          <w:sz w:val="26"/>
          <w:rtl/>
          <w:szCs w:val="26"/>
          <w:bCs/>
        </w:rPr>
        <w:t>القسم الأول: مقدمة</w:t>
      </w:r>
    </w:p>
    <w:tbl>
      <w:tblPr>
        <w:tblStyle w:val="TableGrid"/>
        <w:tblW w:type="auto" w:w="0"/>
        <w:tblLook w:firstColumn="1" w:firstRow="1" w:lastColumn="0" w:lastRow="0" w:noHBand="0" w:noVBand="1" w:val="04A0"/>
        <w:bidiVisual/>
      </w:tblPr>
      <w:tblGrid>
        <w:gridCol w:w="4320"/>
        <w:gridCol w:w="4320"/>
      </w:tblGrid>
      <w:tr>
        <w:tc>
          <w:tcPr>
            <w:tcW w:type="dxa" w:w="4320"/>
          </w:tcPr>
          <w:p>
            <w:pPr>
              <w:bidi/>
            </w:pPr>
            <w:r>
              <w:rPr>
                <w:rFonts w:ascii="Arial" w:hAnsi="Arial" w:cs="Arial"/>
                <w:b w:val="0"/>
                <w:sz w:val="22"/>
                <w:rtl/>
                <w:szCs w:val="22"/>
              </w:rPr>
              <w:t>القيمة التقديرية</w:t>
            </w:r>
          </w:p>
        </w:tc>
        <w:tc>
          <w:tcPr>
            <w:tcW w:type="dxa" w:w="4320"/>
          </w:tcPr>
          <w:p>
            <w:pPr>
              <w:bidi/>
            </w:pPr>
            <w:r>
              <w:rPr>
                <w:rFonts w:ascii="Arial" w:hAnsi="Arial" w:cs="Arial"/>
                <w:b w:val="0"/>
                <w:sz w:val="22"/>
                <w:rtl/>
                <w:szCs w:val="22"/>
              </w:rPr>
              <w:t>5,200,000 ريال سعودي</w:t>
            </w:r>
          </w:p>
        </w:tc>
      </w:tr>
      <w:tr>
        <w:tc>
          <w:tcPr>
            <w:tcW w:type="dxa" w:w="4320"/>
          </w:tcPr>
          <w:p>
            <w:pPr>
              <w:bidi/>
            </w:pPr>
            <w:r>
              <w:rPr>
                <w:rFonts w:ascii="Arial" w:hAnsi="Arial" w:cs="Arial"/>
                <w:b w:val="0"/>
                <w:sz w:val="22"/>
                <w:rtl/>
                <w:szCs w:val="22"/>
              </w:rPr>
              <w:t>مدة العقد</w:t>
            </w:r>
          </w:p>
        </w:tc>
        <w:tc>
          <w:tcPr>
            <w:tcW w:type="dxa" w:w="4320"/>
          </w:tcPr>
          <w:p>
            <w:pPr>
              <w:bidi/>
            </w:pPr>
            <w:r>
              <w:rPr>
                <w:rFonts w:ascii="Arial" w:hAnsi="Arial" w:cs="Arial"/>
                <w:b w:val="0"/>
                <w:sz w:val="22"/>
                <w:rtl/>
                <w:szCs w:val="22"/>
              </w:rPr>
              <w:t>14 شهراً</w:t>
            </w:r>
          </w:p>
        </w:tc>
      </w:tr>
      <w:tr>
        <w:tc>
          <w:tcPr>
            <w:tcW w:type="dxa" w:w="4320"/>
          </w:tcPr>
          <w:p>
            <w:pPr>
              <w:bidi/>
            </w:pPr>
            <w:r>
              <w:rPr>
                <w:rFonts w:ascii="Arial" w:hAnsi="Arial" w:cs="Arial"/>
                <w:b w:val="0"/>
                <w:sz w:val="22"/>
                <w:rtl/>
                <w:szCs w:val="22"/>
              </w:rPr>
              <w:t>آخر موعد لاستلام الاستفسارات</w:t>
            </w:r>
          </w:p>
        </w:tc>
        <w:tc>
          <w:tcPr>
            <w:tcW w:type="dxa" w:w="4320"/>
          </w:tcPr>
          <w:p>
            <w:pPr>
              <w:bidi/>
            </w:pPr>
            <w:r>
              <w:rPr>
                <w:rFonts w:ascii="Arial" w:hAnsi="Arial" w:cs="Arial"/>
                <w:b w:val="0"/>
                <w:sz w:val="22"/>
                <w:rtl/>
                <w:szCs w:val="22"/>
              </w:rPr>
              <w:t>1448/05/20هـ</w:t>
            </w:r>
          </w:p>
        </w:tc>
      </w:tr>
      <w:tr>
        <w:tc>
          <w:tcPr>
            <w:tcW w:type="dxa" w:w="4320"/>
          </w:tcPr>
          <w:p>
            <w:pPr>
              <w:bidi/>
            </w:pPr>
            <w:r>
              <w:rPr>
                <w:rFonts w:ascii="Arial" w:hAnsi="Arial" w:cs="Arial"/>
                <w:b w:val="0"/>
                <w:sz w:val="22"/>
                <w:rtl/>
                <w:szCs w:val="22"/>
              </w:rPr>
              <w:t>آخر موعد لتقديم العروض</w:t>
            </w:r>
          </w:p>
        </w:tc>
        <w:tc>
          <w:tcPr>
            <w:tcW w:type="dxa" w:w="4320"/>
          </w:tcPr>
          <w:p>
            <w:pPr>
              <w:bidi/>
            </w:pPr>
            <w:r>
              <w:rPr>
                <w:rFonts w:ascii="Arial" w:hAnsi="Arial" w:cs="Arial"/>
                <w:b w:val="0"/>
                <w:sz w:val="22"/>
                <w:rtl/>
                <w:szCs w:val="22"/>
              </w:rPr>
              <w:t>1448/06/01هـ، الساعة 10:00 صباحاً</w:t>
            </w:r>
          </w:p>
        </w:tc>
      </w:tr>
      <w:tr>
        <w:tc>
          <w:tcPr>
            <w:tcW w:type="dxa" w:w="4320"/>
          </w:tcPr>
          <w:p>
            <w:pPr>
              <w:bidi/>
            </w:pPr>
            <w:r>
              <w:rPr>
                <w:rFonts w:ascii="Arial" w:hAnsi="Arial" w:cs="Arial"/>
                <w:b w:val="0"/>
                <w:sz w:val="22"/>
                <w:rtl/>
                <w:szCs w:val="22"/>
              </w:rPr>
              <w:t>مكان التنفيذ</w:t>
            </w:r>
          </w:p>
        </w:tc>
        <w:tc>
          <w:tcPr>
            <w:tcW w:type="dxa" w:w="4320"/>
          </w:tcPr>
          <w:p>
            <w:pPr>
              <w:bidi/>
            </w:pPr>
            <w:r>
              <w:rPr>
                <w:rFonts w:ascii="Arial" w:hAnsi="Arial" w:cs="Arial"/>
                <w:b w:val="0"/>
                <w:sz w:val="22"/>
                <w:rtl/>
                <w:szCs w:val="22"/>
              </w:rPr>
              <w:t>داخل المملكة — الرياض</w:t>
            </w:r>
          </w:p>
        </w:tc>
      </w:tr>
    </w:tbl>
    <w:p>
      <w:pPr>
        <w:bidi/>
      </w:pPr>
      <w:r>
        <w:rPr>
          <w:rFonts w:ascii="Arial" w:hAnsi="Arial" w:cs="Arial"/>
          <w:b/>
          <w:color w:val="0F6E56"/>
          <w:sz w:val="26"/>
          <w:rtl/>
          <w:szCs w:val="26"/>
          <w:bCs/>
        </w:rPr>
        <w:t>1. تعريف عن المنافسة</w:t>
      </w:r>
    </w:p>
    <w:p>
      <w:pPr>
        <w:bidi/>
      </w:pPr>
      <w:r>
        <w:rPr>
          <w:rFonts w:ascii="Arial" w:hAnsi="Arial" w:cs="Arial"/>
          <w:b w:val="0"/>
          <w:sz w:val="24"/>
          <w:rtl/>
          <w:szCs w:val="24"/>
        </w:rPr>
        <w:t>تستقبل الوزارة نحو 60,000 معاملة شهرياً عبر البوابة الإلكترونية والبريد الرسمي، ويتم فرزها يدوياً. وترغب الوزارة في التعاقد مع جهة متخصصة لتطوير منصة تعتمد على الذكاء الاصطناعي لقراءة المعاملات العربية وتصنيفها واستخراج بياناتها وتوجيهها آلياً إلى الإدارة المختصة.</w:t>
      </w:r>
    </w:p>
    <w:p>
      <w:pPr>
        <w:bidi/>
      </w:pPr>
      <w:r>
        <w:rPr>
          <w:rFonts w:ascii="Arial" w:hAnsi="Arial" w:cs="Arial"/>
          <w:b/>
          <w:color w:val="0F6E56"/>
          <w:sz w:val="26"/>
          <w:rtl/>
          <w:szCs w:val="26"/>
          <w:bCs/>
        </w:rPr>
        <w:t>2. أهلية مقدمي العروض</w:t>
      </w:r>
    </w:p>
    <w:p>
      <w:pPr>
        <w:bidi/>
      </w:pPr>
      <w:r>
        <w:rPr>
          <w:rFonts w:ascii="Arial" w:hAnsi="Arial" w:cs="Arial"/>
          <w:b w:val="0"/>
          <w:sz w:val="24"/>
          <w:rtl/>
          <w:szCs w:val="24"/>
        </w:rPr>
        <w:t>يجب على المتنافس تقديم الوثائق التالية سارية المفعول:</w:t>
      </w:r>
    </w:p>
    <w:p>
      <w:pPr>
        <w:bidi/>
      </w:pPr>
      <w:r>
        <w:rPr>
          <w:rFonts w:ascii="Arial" w:hAnsi="Arial" w:cs="Arial"/>
          <w:b w:val="0"/>
          <w:sz w:val="24"/>
          <w:rtl/>
          <w:szCs w:val="24"/>
        </w:rPr>
        <w:t>1. السجل التجاري.</w:t>
      </w:r>
    </w:p>
    <w:p>
      <w:pPr>
        <w:bidi/>
      </w:pPr>
      <w:r>
        <w:rPr>
          <w:rFonts w:ascii="Arial" w:hAnsi="Arial" w:cs="Arial"/>
          <w:b w:val="0"/>
          <w:sz w:val="24"/>
          <w:rtl/>
          <w:szCs w:val="24"/>
        </w:rPr>
        <w:t>2. شهادة الزكاة من هيئة الزكاة والضريبة والجمارك.</w:t>
      </w:r>
    </w:p>
    <w:p>
      <w:pPr>
        <w:bidi/>
      </w:pPr>
      <w:r>
        <w:rPr>
          <w:rFonts w:ascii="Arial" w:hAnsi="Arial" w:cs="Arial"/>
          <w:b w:val="0"/>
          <w:sz w:val="24"/>
          <w:rtl/>
          <w:szCs w:val="24"/>
        </w:rPr>
        <w:t>3. شهادة المؤسسة العامة للتأمينات الاجتماعية.</w:t>
      </w:r>
    </w:p>
    <w:p>
      <w:pPr>
        <w:bidi/>
      </w:pPr>
      <w:r>
        <w:rPr>
          <w:rFonts w:ascii="Arial" w:hAnsi="Arial" w:cs="Arial"/>
          <w:b w:val="0"/>
          <w:sz w:val="24"/>
          <w:rtl/>
          <w:szCs w:val="24"/>
        </w:rPr>
        <w:t>4. شهادة نطاقات (النطاق الأخضر أو أعلى).</w:t>
      </w:r>
    </w:p>
    <w:p>
      <w:pPr>
        <w:bidi/>
      </w:pPr>
      <w:r>
        <w:rPr>
          <w:rFonts w:ascii="Arial" w:hAnsi="Arial" w:cs="Arial"/>
          <w:b w:val="0"/>
          <w:sz w:val="24"/>
          <w:rtl/>
          <w:szCs w:val="24"/>
        </w:rPr>
        <w:t>5. شهادة الاشتراك في الغرفة التجارية.</w:t>
      </w:r>
    </w:p>
    <w:p>
      <w:pPr>
        <w:bidi/>
      </w:pPr>
      <w:r>
        <w:rPr>
          <w:rFonts w:ascii="Arial" w:hAnsi="Arial" w:cs="Arial"/>
          <w:b w:val="0"/>
          <w:sz w:val="24"/>
          <w:rtl/>
          <w:szCs w:val="24"/>
        </w:rPr>
        <w:t>6. شهادة التسجيل في ضريبة القيمة المضافة.</w:t>
      </w:r>
    </w:p>
    <w:p>
      <w:pPr>
        <w:bidi/>
      </w:pPr>
      <w:r>
        <w:rPr>
          <w:rFonts w:ascii="Arial" w:hAnsi="Arial" w:cs="Arial"/>
          <w:b/>
          <w:color w:val="0F6E56"/>
          <w:sz w:val="26"/>
          <w:rtl/>
          <w:szCs w:val="26"/>
          <w:bCs/>
        </w:rPr>
        <w:t>3. نطاق العمل</w:t>
      </w:r>
    </w:p>
    <w:p>
      <w:pPr>
        <w:bidi/>
      </w:pPr>
      <w:r>
        <w:rPr>
          <w:rFonts w:ascii="Arial" w:hAnsi="Arial" w:cs="Arial"/>
          <w:b w:val="0"/>
          <w:sz w:val="24"/>
          <w:rtl/>
          <w:szCs w:val="24"/>
        </w:rPr>
        <w:t>1. تطوير نموذج لتصنيف المعاملات العربية إلى 45 فئة على الأقل بدقة لا تقل عن 90%.</w:t>
      </w:r>
    </w:p>
    <w:p>
      <w:pPr>
        <w:bidi/>
      </w:pPr>
      <w:r>
        <w:rPr>
          <w:rFonts w:ascii="Arial" w:hAnsi="Arial" w:cs="Arial"/>
          <w:b w:val="0"/>
          <w:sz w:val="24"/>
          <w:rtl/>
          <w:szCs w:val="24"/>
        </w:rPr>
        <w:t>2. استخراج البيانات الأساسية من المعاملة: رقم المعاملة، التاريخ، الجهة المرسلة، الموضوع.</w:t>
      </w:r>
    </w:p>
    <w:p>
      <w:pPr>
        <w:bidi/>
      </w:pPr>
      <w:r>
        <w:rPr>
          <w:rFonts w:ascii="Arial" w:hAnsi="Arial" w:cs="Arial"/>
          <w:b w:val="0"/>
          <w:sz w:val="24"/>
          <w:rtl/>
          <w:szCs w:val="24"/>
        </w:rPr>
        <w:t>3. التكامل مع نظام الاتصالات الإدارية في الوزارة.</w:t>
      </w:r>
    </w:p>
    <w:p>
      <w:pPr>
        <w:bidi/>
      </w:pPr>
      <w:r>
        <w:rPr>
          <w:rFonts w:ascii="Arial" w:hAnsi="Arial" w:cs="Arial"/>
          <w:b w:val="0"/>
          <w:sz w:val="24"/>
          <w:rtl/>
          <w:szCs w:val="24"/>
        </w:rPr>
        <w:t>4. لوحة متابعة لقياس زمن إنجاز المعاملات.</w:t>
      </w:r>
    </w:p>
    <w:p>
      <w:pPr>
        <w:bidi/>
      </w:pPr>
      <w:r>
        <w:rPr>
          <w:rFonts w:ascii="Arial" w:hAnsi="Arial" w:cs="Arial"/>
          <w:b w:val="0"/>
          <w:sz w:val="24"/>
          <w:rtl/>
          <w:szCs w:val="24"/>
        </w:rPr>
        <w:t>5. التشغيل والدعم الفني لمدة ستة أشهر بعد الإطلاق.</w:t>
      </w:r>
    </w:p>
    <w:p>
      <w:pPr>
        <w:bidi/>
      </w:pPr>
      <w:r>
        <w:rPr>
          <w:rFonts w:ascii="Arial" w:hAnsi="Arial" w:cs="Arial"/>
          <w:b/>
          <w:color w:val="0F6E56"/>
          <w:sz w:val="26"/>
          <w:rtl/>
          <w:szCs w:val="26"/>
          <w:bCs/>
        </w:rPr>
        <w:t>4. المتطلبات الفنية</w:t>
      </w:r>
    </w:p>
    <w:p>
      <w:pPr>
        <w:bidi/>
      </w:pPr>
      <w:r>
        <w:rPr>
          <w:rFonts w:ascii="Arial" w:hAnsi="Arial" w:cs="Arial"/>
          <w:b w:val="0"/>
          <w:sz w:val="24"/>
          <w:rtl/>
          <w:szCs w:val="24"/>
        </w:rPr>
        <w:t>1. أن يكون المتنافس قد نفذ مشروعين على الأقل في مجال معالجة اللغة العربية أو تصنيف الوثائق خلال آخر خمس سنوات. (إلزامي)</w:t>
      </w:r>
    </w:p>
    <w:p>
      <w:pPr>
        <w:bidi/>
      </w:pPr>
      <w:r>
        <w:rPr>
          <w:rFonts w:ascii="Arial" w:hAnsi="Arial" w:cs="Arial"/>
          <w:b w:val="0"/>
          <w:sz w:val="24"/>
          <w:rtl/>
          <w:szCs w:val="24"/>
        </w:rPr>
        <w:t>2. استضافة جميع البيانات والنماذج داخل المملكة العربية السعودية. (إلزامي)</w:t>
      </w:r>
    </w:p>
    <w:p>
      <w:pPr>
        <w:bidi/>
      </w:pPr>
      <w:r>
        <w:rPr>
          <w:rFonts w:ascii="Arial" w:hAnsi="Arial" w:cs="Arial"/>
          <w:b w:val="0"/>
          <w:sz w:val="24"/>
          <w:rtl/>
          <w:szCs w:val="24"/>
        </w:rPr>
        <w:t>3. الالتزام بالضوابط الأساسية للأمن السيبراني الصادرة عن الهيئة الوطنية للأمن السيبراني. (إلزامي)</w:t>
      </w:r>
    </w:p>
    <w:p>
      <w:pPr>
        <w:bidi/>
      </w:pPr>
      <w:r>
        <w:rPr>
          <w:rFonts w:ascii="Arial" w:hAnsi="Arial" w:cs="Arial"/>
          <w:b w:val="0"/>
          <w:sz w:val="24"/>
          <w:rtl/>
          <w:szCs w:val="24"/>
        </w:rPr>
        <w:t>4. الحصول على شهادة ISO/IEC 27001 سارية. (إلزامي)</w:t>
      </w:r>
    </w:p>
    <w:p>
      <w:pPr>
        <w:bidi/>
      </w:pPr>
      <w:r>
        <w:rPr>
          <w:rFonts w:ascii="Arial" w:hAnsi="Arial" w:cs="Arial"/>
          <w:b/>
          <w:color w:val="0F6E56"/>
          <w:sz w:val="26"/>
          <w:rtl/>
          <w:szCs w:val="26"/>
          <w:bCs/>
        </w:rPr>
        <w:t>القسم الثاني: الأحكام العامة</w:t>
      </w:r>
    </w:p>
    <w:p>
      <w:pPr>
        <w:bidi/>
      </w:pPr>
      <w:r>
        <w:rPr>
          <w:rFonts w:ascii="Arial" w:hAnsi="Arial" w:cs="Arial"/>
          <w:b/>
          <w:color w:val="0F6E56"/>
          <w:sz w:val="26"/>
          <w:rtl/>
          <w:szCs w:val="26"/>
          <w:bCs/>
        </w:rPr>
        <w:t>10. المساواة والشفافية</w:t>
      </w:r>
    </w:p>
    <w:p>
      <w:pPr>
        <w:bidi/>
      </w:pPr>
      <w:r>
        <w:rPr>
          <w:rFonts w:ascii="Arial" w:hAnsi="Arial" w:cs="Arial"/>
          <w:b w:val="0"/>
          <w:sz w:val="24"/>
          <w:rtl/>
          <w:szCs w:val="24"/>
        </w:rPr>
        <w:t>تلتزم الجهة الحكومية بإتاحة المعلومات لجميع المتنافسين في وقت واحد، ولا يجوز تمييز أي متنافس.</w:t>
      </w:r>
    </w:p>
    <w:p>
      <w:pPr>
        <w:bidi/>
      </w:pPr>
      <w:r>
        <w:rPr>
          <w:rFonts w:ascii="Arial" w:hAnsi="Arial" w:cs="Arial"/>
          <w:b/>
          <w:color w:val="0F6E56"/>
          <w:sz w:val="26"/>
          <w:rtl/>
          <w:szCs w:val="26"/>
          <w:bCs/>
        </w:rPr>
        <w:t>11. تعارض المصالح</w:t>
      </w:r>
    </w:p>
    <w:p>
      <w:pPr>
        <w:bidi/>
      </w:pPr>
      <w:r>
        <w:rPr>
          <w:rFonts w:ascii="Arial" w:hAnsi="Arial" w:cs="Arial"/>
          <w:b w:val="0"/>
          <w:sz w:val="24"/>
          <w:rtl/>
          <w:szCs w:val="24"/>
        </w:rPr>
        <w:t>يلتزم المتنافس بالإفصاح عن أي حالة تعارض مصالح قبل تقديم العرض.</w:t>
      </w:r>
    </w:p>
    <w:p>
      <w:pPr>
        <w:bidi/>
      </w:pPr>
      <w:r>
        <w:rPr>
          <w:rFonts w:ascii="Arial" w:hAnsi="Arial" w:cs="Arial"/>
          <w:b/>
          <w:color w:val="0F6E56"/>
          <w:sz w:val="26"/>
          <w:rtl/>
          <w:szCs w:val="26"/>
          <w:bCs/>
        </w:rPr>
        <w:t>16. المحتوى المحلي</w:t>
      </w:r>
    </w:p>
    <w:p>
      <w:pPr>
        <w:bidi/>
      </w:pPr>
      <w:r>
        <w:rPr>
          <w:rFonts w:ascii="Arial" w:hAnsi="Arial" w:cs="Arial"/>
          <w:b w:val="0"/>
          <w:sz w:val="24"/>
          <w:rtl/>
          <w:szCs w:val="24"/>
        </w:rPr>
        <w:t>تطبق على هذه المنافسة لائحة تفضيل المحتوى المحلي. ويشترط ألا تقل نسبة المحتوى المحلي للمتنافس عن 60% وفق شهادة معتمدة من هيئة المحتوى المحلي والمشتريات الحكومية، ويستبعد كل عرض لا يحقق هذه النسبة دون النظر في عرضه الفني.</w:t>
      </w:r>
    </w:p>
    <w:p>
      <w:pPr>
        <w:bidi/>
      </w:pPr>
      <w:r>
        <w:rPr>
          <w:rFonts w:ascii="Arial" w:hAnsi="Arial" w:cs="Arial"/>
          <w:b/>
          <w:color w:val="0F6E56"/>
          <w:sz w:val="26"/>
          <w:rtl/>
          <w:szCs w:val="26"/>
          <w:bCs/>
        </w:rPr>
        <w:t>19. الاستبعاد من المنافسة</w:t>
      </w:r>
    </w:p>
    <w:p>
      <w:pPr>
        <w:bidi/>
      </w:pPr>
      <w:r>
        <w:rPr>
          <w:rFonts w:ascii="Arial" w:hAnsi="Arial" w:cs="Arial"/>
          <w:b w:val="0"/>
          <w:sz w:val="24"/>
          <w:rtl/>
          <w:szCs w:val="24"/>
        </w:rPr>
        <w:t>يحق للجهة الحكومية استبعاد أي عرض غير مكتمل الوثائق أو مخالف لشروط الكراسة.</w:t>
      </w:r>
    </w:p>
    <w:p>
      <w:pPr>
        <w:bidi/>
      </w:pPr>
      <w:r>
        <w:rPr>
          <w:rFonts w:ascii="Arial" w:hAnsi="Arial" w:cs="Arial"/>
          <w:b/>
          <w:color w:val="0F6E56"/>
          <w:sz w:val="26"/>
          <w:rtl/>
          <w:szCs w:val="26"/>
          <w:bCs/>
        </w:rPr>
        <w:t>القسم الثالث: إعداد العروض</w:t>
      </w:r>
    </w:p>
    <w:p>
      <w:pPr>
        <w:bidi/>
      </w:pPr>
      <w:r>
        <w:rPr>
          <w:rFonts w:ascii="Arial" w:hAnsi="Arial" w:cs="Arial"/>
          <w:b w:val="0"/>
          <w:sz w:val="24"/>
          <w:rtl/>
          <w:szCs w:val="24"/>
        </w:rPr>
        <w:t>1. لغة العرض: العربية، ويجوز إرفاق المستندات الفنية باللغة الإنجليزية.</w:t>
      </w:r>
    </w:p>
    <w:p>
      <w:pPr>
        <w:bidi/>
      </w:pPr>
      <w:r>
        <w:rPr>
          <w:rFonts w:ascii="Arial" w:hAnsi="Arial" w:cs="Arial"/>
          <w:b w:val="0"/>
          <w:sz w:val="24"/>
          <w:rtl/>
          <w:szCs w:val="24"/>
        </w:rPr>
        <w:t>2. صلاحية العروض: 90 يوماً من تاريخ فتح العروض.</w:t>
      </w:r>
    </w:p>
    <w:p>
      <w:pPr>
        <w:bidi/>
      </w:pPr>
      <w:r>
        <w:rPr>
          <w:rFonts w:ascii="Arial" w:hAnsi="Arial" w:cs="Arial"/>
          <w:b w:val="0"/>
          <w:sz w:val="24"/>
          <w:rtl/>
          <w:szCs w:val="24"/>
        </w:rPr>
        <w:t>3. الضمان الابتدائي: 1% من قيمة العرض، ساري المفعول لمدة 90 يوماً.</w:t>
      </w:r>
    </w:p>
    <w:p>
      <w:pPr>
        <w:bidi/>
      </w:pPr>
      <w:r>
        <w:rPr>
          <w:rFonts w:ascii="Arial" w:hAnsi="Arial" w:cs="Arial"/>
          <w:b w:val="0"/>
          <w:sz w:val="24"/>
          <w:rtl/>
          <w:szCs w:val="24"/>
        </w:rPr>
        <w:t>4. معايير التقييم: العرض الفني 65%، العرض المالي 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