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 — Design, build and operate a bilingual AI virtual assistant for citizen services</w:t>
      </w:r>
    </w:p>
    <w:p>
      <w:r>
        <w:t>Tender: T101_citizen_ai_assistant   |   Issuer: General Authority for Citizen Services (fictional)   |   Deadline: 2026-12-01</w:t>
      </w:r>
    </w:p>
    <w:p>
      <w:r>
        <w:rPr>
          <w:i/>
        </w:rPr>
        <w:t>DRAFT r1 prepared by TenderPilot for human review. Recommendation: BID (fit 86/100).</w:t>
      </w:r>
    </w:p>
    <w:p>
      <w:pPr>
        <w:pStyle w:val="Heading1"/>
      </w:pPr>
      <w:r>
        <w:t>1. Executive summary</w:t>
      </w:r>
    </w:p>
    <w:p>
      <w:r>
        <w:t>Falak AI Solutions Co. (Riyadh, founded 2019, 42 full-time employees) is pleased to respond to the General Authority for Citizen Services' tender for a bilingual (Arabic/English) AI virtual assistant for citizen services. The assistant will serve the web portal, mobile app and WhatsApp, with handover to human agents.</w:t>
      </w:r>
    </w:p>
    <w:p>
      <w:r>
        <w:t>Our core business is Arabic NLP and conversational AI, with AI model hosting in Saudi in-Kingdom cloud regions only. Two recent projects are directly comparable to this scope:</w:t>
      </w:r>
    </w:p>
    <w:p>
      <w:r>
        <w:t>- P1, an Arabic/English customer-service chatbot for a Saudi retail bank (SAR 3.2 million, 2023-2024). It ran on web, mobile and WhatsApp with Najdi and Hijazi dialect support and handover to human agents. 61% of conversations were resolved without an agent and CSAT was 4.4/5.</w:t>
      </w:r>
    </w:p>
    <w:p>
      <w:r>
        <w:t>- P2, a government services virtual assistant for a semi-government authority (SAR 4.8 million, 2024-2025). It handled citizen enquiries, was integrated with a case-management system, was hosted in-Kingdom and was NCA ECC compliant. It handled 1.2 million conversations in its first 6 months.</w:t>
      </w:r>
    </w:p>
    <w:p>
      <w:r>
        <w:t>We hold the mandatory eligibility documents (Commercial Registration, Zakat, GOSI, Nitaqat, ISO/IEC 27001, and a 52% LCGPA-certified local content score against the 40% minimum). We also have 3 PMP-certified project managers and a 24/7 support and operations rota.</w:t>
      </w:r>
    </w:p>
    <w:p>
      <w:r>
        <w:t>This is a first draft. Items not evidenced in our files are marked [TO CONFIRM] and listed in Section 7 for human review before submission.</w:t>
      </w:r>
    </w:p>
    <w:p>
      <w:r>
        <w:t>[TO CONFIRM: the Zakat certificate (ZATCA-ZK-55821) expires 2026-12-05, four days after the 2026-12-01 deadline. Renewal should be started before submission.]</w:t>
      </w:r>
    </w:p>
    <w:p>
      <w:pPr>
        <w:pStyle w:val="Heading1"/>
      </w:pPr>
      <w:r>
        <w:t>2. Understanding of requirements</w:t>
      </w:r>
    </w:p>
    <w:p>
      <w:r>
        <w:t>The Authority requires a conversational AI assistant that:</w:t>
      </w:r>
    </w:p>
    <w:p>
      <w:r>
        <w:t>- Is delivered on three channels: web portal, mobile app and WhatsApp (R15).</w:t>
      </w:r>
    </w:p>
    <w:p>
      <w:r>
        <w:t>- Supports English and Arabic, including Modern Standard Arabic and Saudi dialects. Najdi and Hijazi are mandatory; Gulf and Southern dialects are desirable (R16, R22-R25).</w:t>
      </w:r>
    </w:p>
    <w:p>
      <w:r>
        <w:t>- Handles about 400,000 enquiries per month, with human handover that carries full conversation context (R14).</w:t>
      </w:r>
    </w:p>
    <w:p>
      <w:r>
        <w:t>- Integrates with the Authority's case-management system via REST APIs (R17).</w:t>
      </w:r>
    </w:p>
    <w:p>
      <w:r>
        <w:t>- Includes an admin console for content updates and an analytics dashboard (R18, R19).</w:t>
      </w:r>
    </w:p>
    <w:p>
      <w:r>
        <w:t>- Runs for 6 months of operation and support after go-live at 99.5% availability (R20, R21).</w:t>
      </w:r>
    </w:p>
    <w:p>
      <w:r>
        <w:t>- Hosts all data, models and logs inside the Kingdom (R10), complies with NCA ECC (R11) and PDPL (R12), and is managed by a PMP-certified project manager (R13).</w:t>
      </w:r>
    </w:p>
    <w:p>
      <w:r>
        <w:t>The contract runs 18 months: a 12-month build followed by 6 months of operation (R26). The estimated budget is SAR 6.5 million.</w:t>
      </w:r>
    </w:p>
    <w:p>
      <w:r>
        <w:t>Administrative requirements:</w:t>
      </w:r>
    </w:p>
    <w:p>
      <w:r>
        <w:t>- Eligibility: Commercial Registration, Zakat, GOSI, Nitaqat, ISO/IEC 27001 and local content of at least 40% (R1-R6).</w:t>
      </w:r>
    </w:p>
    <w:p>
      <w:r>
        <w:t>- Experience: two conversational AI projects in the last five years, each above SAR 2 million, with client reference letters (R7-R9).</w:t>
      </w:r>
    </w:p>
    <w:p>
      <w:r>
        <w:t>- Submission: technical and financial envelopes submitted separately (R29, R30), a bid bond of 1% of bid value valid for 90 days (R31), and a compliance matrix covering Sections 3 and 4 (R32).</w:t>
      </w:r>
    </w:p>
    <w:p>
      <w:r>
        <w:t>- Deadlines: proposal by 2026-12-01 at 13:00 Riyadh time (R27); clarification questions by 2026-11-15 (R28).</w:t>
      </w:r>
    </w:p>
    <w:p>
      <w:r>
        <w:t>- Evaluation: the technical proposal must score at least 65%. Technical carries 70% (experience 25%, methodology 25%, team 20%) and financial 30% (R33).</w:t>
      </w:r>
    </w:p>
    <w:p>
      <w:r>
        <w:t>Scale observation: 400,000 enquiries per month is roughly double the average monthly volume of P2 (1.2 million conversations in its first 6 months, about 200,000 per month). We have no documented evidence of performance at the Authority's target volume. [TO CONFIRM: load and capacity evidence at about 400,000 enquiries per month.]</w:t>
      </w:r>
    </w:p>
    <w:p>
      <w:r>
        <w:t>Questions we propose to raise with the Authority before 2026-11-15 (R28):</w:t>
      </w:r>
    </w:p>
    <w:p>
      <w:r>
        <w:t>- The REST API specification of the case-management system.</w:t>
      </w:r>
    </w:p>
    <w:p>
      <w:r>
        <w:t>- The SLA definition and measurement method for 99.5% availability.</w:t>
      </w:r>
    </w:p>
    <w:p>
      <w:r>
        <w:t>- The expected handover context format.</w:t>
      </w:r>
    </w:p>
    <w:p>
      <w:pPr>
        <w:pStyle w:val="Heading1"/>
      </w:pPr>
      <w:r>
        <w:t>3. Technical approach and methodology</w:t>
      </w:r>
    </w:p>
    <w:p>
      <w:r>
        <w:t>Note: this section describes our proposed approach, which is a commitment to be validated by the delivery team. It is informed by the scope and results of P1 and P2. Specific technologies, architectures and tools are not named because they are not documented in the company files. [TO CONFIRM: solution architecture, product components and technology stack to be supplied by the technical lead.]</w:t>
      </w:r>
    </w:p>
    <w:p>
      <w:r>
        <w:t>Proposed phasing of the 12-month build, then 6 months of operation (R26). [TO CONFIRM: detailed 12+6 month plan and milestones; no schedule evidence exists in the files.]</w:t>
      </w:r>
    </w:p>
    <w:p>
      <w:r>
        <w:t>1. Mobilisation and discovery</w:t>
      </w:r>
    </w:p>
    <w:p>
      <w:r>
        <w:t>- Confirm scope, channels, enquiry categories and the case-management integration with the Authority.</w:t>
      </w:r>
    </w:p>
    <w:p>
      <w:r>
        <w:t>- Establish governance led by a PMP-certified project manager.</w:t>
      </w:r>
    </w:p>
    <w:p>
      <w:r>
        <w:t>2. Conversation design and language</w:t>
      </w:r>
    </w:p>
    <w:p>
      <w:r>
        <w:t>- Arabic-first conversation and interface design by our UX team.</w:t>
      </w:r>
    </w:p>
    <w:p>
      <w:r>
        <w:t>- Arabic (Modern Standard Arabic, with Najdi and Hijazi dialects) and English support, building on P1's bilingual Najdi/Hijazi delivery. [TO CONFIRM: Modern Standard Arabic support is not explicitly stated for P1 or P2.]</w:t>
      </w:r>
    </w:p>
    <w:p>
      <w:r>
        <w:t>- Gulf and Southern dialects are optional. [TO CONFIRM: no evidence in the files; decide whether to offer them.]</w:t>
      </w:r>
    </w:p>
    <w:p>
      <w:r>
        <w:t>3. Channels</w:t>
      </w:r>
    </w:p>
    <w:p>
      <w:r>
        <w:t>- Web portal, mobile app and WhatsApp, as delivered together in P1.</w:t>
      </w:r>
    </w:p>
    <w:p>
      <w:r>
        <w:t>4. Integration</w:t>
      </w:r>
    </w:p>
    <w:p>
      <w:r>
        <w:t>- Integration with the Authority's case-management system, building on our P2 integration with a case-management system. [TO CONFIRM: use of REST APIs is not stated in the P2 record.]</w:t>
      </w:r>
    </w:p>
    <w:p>
      <w:r>
        <w:t>5. Human handover</w:t>
      </w:r>
    </w:p>
    <w:p>
      <w:r>
        <w:t>- Escalation to human agents as delivered in P1. [TO CONFIRM: the transfer of full conversation context to the agent is not explicitly documented.]</w:t>
      </w:r>
    </w:p>
    <w:p>
      <w:r>
        <w:t>6. Administration and analytics</w:t>
      </w:r>
    </w:p>
    <w:p>
      <w:r>
        <w:t>- An admin console for content updates. [TO CONFIRM: no file documents this capability.]</w:t>
      </w:r>
    </w:p>
    <w:p>
      <w:r>
        <w:t>- An analytics dashboard. We have data-platform and executive-dashboard experience (P4), but no conversational AI analytics dashboard is documented. [TO CONFIRM.]</w:t>
      </w:r>
    </w:p>
    <w:p>
      <w:r>
        <w:t>7. Hosting, security and data protection</w:t>
      </w:r>
    </w:p>
    <w:p>
      <w:r>
        <w:t>- Hosting entirely in in-Kingdom data centres (Riyadh and Jeddah regions), covering data, models and logs (R10). [TO CONFIRM: that logs, backups and any third-party services also remain in-Kingdom.]</w:t>
      </w:r>
    </w:p>
    <w:p>
      <w:r>
        <w:t>- NCA ECC compliance. Our last ECC assessment was March 2026 (report ECC-2026-03), and P2 was ECC compliant.</w:t>
      </w:r>
    </w:p>
    <w:p>
      <w:r>
        <w:t>- PDPL: a PDPL programme and an appointed DPO are in place. [TO CONFIRM: no certificate or audit evidence in the files.]</w:t>
      </w:r>
    </w:p>
    <w:p>
      <w:r>
        <w:t>8. Testing, go-live and 6-month operation</w:t>
      </w:r>
    </w:p>
    <w:p>
      <w:r>
        <w:t>- 6 months of operation and support after go-live, supported by our 24/7 operations rota (6 support and operations staff). [TO CONFIRM: support-contract evidence.]</w:t>
      </w:r>
    </w:p>
    <w:p>
      <w:r>
        <w:t>- Target of 99.5% availability. [TO CONFIRM: no past SLA or availability record; the measurement method is to be agreed with the Authority.]</w:t>
      </w:r>
    </w:p>
    <w:p>
      <w:pPr>
        <w:pStyle w:val="Heading1"/>
      </w:pPr>
      <w:r>
        <w:t>4. Relevant experience</w:t>
      </w:r>
    </w:p>
    <w:p>
      <w:r>
        <w:t>Qualifying conversational AI projects (R7-R9), both within the last five years, above SAR 2,000,000, and supported by reference letters:</w:t>
      </w:r>
    </w:p>
    <w:p>
      <w:r>
        <w:t>- P1. Arabic customer-service chatbot, regional Saudi retail bank (client name withheld), 2023-2024, SAR 3.2 million. Scope: bilingual Arabic/English chatbot on web, mobile and WhatsApp, with Najdi and Hijazi dialect support and handover to human agents. Results: 61% of conversations resolved without an agent; CSAT 4.4/5. Reference letter: yes. Relevance: the same channels, dialects and handover as this tender.</w:t>
      </w:r>
    </w:p>
    <w:p>
      <w:r>
        <w:t>- P2. Government services virtual assistant, semi-government authority, 2024-2025, SAR 4.8 million. Scope: conversational AI for citizen enquiries, integrated with a case-management system, hosted in-Kingdom and NCA ECC compliant. Results: 1.2 million conversations in the first 6 months. Reference letter: yes. Relevance: the same citizen-services context, case-management integration, in-Kingdom hosting and ECC compliance.</w:t>
      </w:r>
    </w:p>
    <w:p>
      <w:r>
        <w:t>Supporting projects:</w:t>
      </w:r>
    </w:p>
    <w:p>
      <w:r>
        <w:t>- P3. Archive digitization and Arabic OCR, public university, 2022-2023, SAR 2.1 million. It digitised 1.8 million pages of Arabic documents and delivered a search portal. Reference letter: yes. It demonstrates Arabic language-processing depth, but is not a conversational AI project.</w:t>
      </w:r>
    </w:p>
    <w:p>
      <w:r>
        <w:t>- P4. Municipal performance dashboard, municipality, 2021-2022, SAR 1.4 million. It delivered a data platform and executive dashboards. Reference letter: yes. It is relevant to the analytics dashboard requirement (R19).</w:t>
      </w:r>
    </w:p>
    <w:p>
      <w:r>
        <w:t>Project P5 (contract-document classification, SAR 0.9 million, 2025) has a pending reference letter and is not relied upon.</w:t>
      </w:r>
    </w:p>
    <w:p>
      <w:r>
        <w:t>[TO CONFIRM: that the P1 and P2 reference letters are current and acceptable to the Authority, since the P1 client name is withheld. Also confirm which project figures can be disclosed.]</w:t>
      </w:r>
    </w:p>
    <w:p>
      <w:pPr>
        <w:pStyle w:val="Heading1"/>
      </w:pPr>
      <w:r>
        <w:t>5. Team</w:t>
      </w:r>
    </w:p>
    <w:p>
      <w:r>
        <w:t>Our team (company-wide capacity per team.md):</w:t>
      </w:r>
    </w:p>
    <w:p>
      <w:r>
        <w:t>- Project managers (PMP certified): 3, one with 12 years of government project experience.</w:t>
      </w:r>
    </w:p>
    <w:p>
      <w:r>
        <w:t>- ML / NLP engineers: 9, two of whom hold PhDs in Arabic NLP.</w:t>
      </w:r>
    </w:p>
    <w:p>
      <w:r>
        <w:t>- Software engineers: 14 (Python, TypeScript, cloud).</w:t>
      </w:r>
    </w:p>
    <w:p>
      <w:r>
        <w:t>- Data engineers: 5.</w:t>
      </w:r>
    </w:p>
    <w:p>
      <w:r>
        <w:t>- Cybersecurity specialists: 2, one holding CISSP.</w:t>
      </w:r>
    </w:p>
    <w:p>
      <w:r>
        <w:t>- UX designers: 3, with Arabic-first interface design.</w:t>
      </w:r>
    </w:p>
    <w:p>
      <w:r>
        <w:t>- Support and operations: 6, with a 24/7 rota available.</w:t>
      </w:r>
    </w:p>
    <w:p>
      <w:r>
        <w:t>Proposed project manager (R13): one of our three PMP-certified project managers. The PMP requirement is met by the team, but the named individual is not yet selected. [TO CONFIRM: select and name the project manager, with CV, PMP certificate number and validity. The project manager with 12 years of government experience is a candidate.]</w:t>
      </w:r>
    </w:p>
    <w:p>
      <w:r>
        <w:t>[TO CONFIRM: names, CVs, roles and allocation percentages for all proposed staff across the 18-month contract, and availability alongside other commitments. The files give headcounts only.]</w:t>
      </w:r>
    </w:p>
    <w:p>
      <w:pPr>
        <w:pStyle w:val="Heading1"/>
      </w:pPr>
      <w:r>
        <w:t>6. Compliance statement</w:t>
      </w:r>
    </w:p>
    <w:p>
      <w:r>
        <w:t>R1: Complied. Commercial Registration CR-1010-XXXXXX, valid until 2027-08-14 (certifications.json).</w:t>
      </w:r>
    </w:p>
    <w:p>
      <w:r>
        <w:t>R2: Complied. ZATCA Zakat certificate ZATCA-ZK-55821, valid until 2026-12-05, which is after the 2026-12-01 deadline. [TO CONFIRM: it expires four days after the deadline, so renewal is advisable.]</w:t>
      </w:r>
    </w:p>
    <w:p>
      <w:r>
        <w:t>R3: Complied. GOSI certificate GOSI-778812, valid until 2027-01-31.</w:t>
      </w:r>
    </w:p>
    <w:p>
      <w:r>
        <w:t>R4: Complied. Saudization (Nitaqat) certificate NTQ-PLAT-2026, Platinum band, valid until 2027-03-01.</w:t>
      </w:r>
    </w:p>
    <w:p>
      <w:r>
        <w:t>R5: Complied. ISO/IEC 27001:2022 certificate ISO27001-FA-2024, valid until 2027-05-30.</w:t>
      </w:r>
    </w:p>
    <w:p>
      <w:r>
        <w:t>R6: Complied. LCGPA-certified local content certificate LC-52-2026 shows 52%, above the 40% minimum, valid until 2027-06-30.</w:t>
      </w:r>
    </w:p>
    <w:p>
      <w:r>
        <w:t>R7: Complied. P1 (2023-2024) and P2 (2024-2025) are two conversational AI projects within the last five years.</w:t>
      </w:r>
    </w:p>
    <w:p>
      <w:r>
        <w:t>R8: Complied. P1 is SAR 3.2 million and P2 is SAR 4.8 million, both above SAR 2,000,000.</w:t>
      </w:r>
    </w:p>
    <w:p>
      <w:r>
        <w:t>R9: Complied. Client reference letters are available for P1 and P2. [TO CONFIRM: attach the letters.]</w:t>
      </w:r>
    </w:p>
    <w:p>
      <w:r>
        <w:t>R10: Complied. All production workloads, including AI model hosting, run in in-Kingdom data centres (Riyadh and Jeddah); P2 was hosted in-Kingdom. [TO CONFIRM: that logs and backups are also in-Kingdom.]</w:t>
      </w:r>
    </w:p>
    <w:p>
      <w:r>
        <w:t>R11: Complied. ECC compliance report ECC-2026-03, valid until 2027-03-31; P2 was NCA ECC compliant.</w:t>
      </w:r>
    </w:p>
    <w:p>
      <w:r>
        <w:t>R12: Partially evidenced. A PDPL programme and an appointed DPO are in place. [TO CONFIRM: PDPL certificate or audit evidence, which is not in the files.]</w:t>
      </w:r>
    </w:p>
    <w:p>
      <w:r>
        <w:t>R13: Complied at company level. We have 3 PMP-certified project managers. [TO CONFIRM: named project manager and PMP certificate.]</w:t>
      </w:r>
    </w:p>
    <w:p>
      <w:r>
        <w:t>R14: Partially evidenced. P1 included handover to human agents. [TO CONFIRM: that full conversation context is passed to the agent.]</w:t>
      </w:r>
    </w:p>
    <w:p>
      <w:r>
        <w:t>R15: Complied. P1 delivered a chatbot on web, mobile and WhatsApp.</w:t>
      </w:r>
    </w:p>
    <w:p>
      <w:r>
        <w:t>R16: Partially evidenced. P1 was bilingual Arabic/English with Najdi and Hijazi support. [TO CONFIRM: Modern Standard Arabic support.]</w:t>
      </w:r>
    </w:p>
    <w:p>
      <w:r>
        <w:t>R17: Partially evidenced. P2 integrated with a case-management system. [TO CONFIRM: that the integration used REST APIs.]</w:t>
      </w:r>
    </w:p>
    <w:p>
      <w:r>
        <w:t>R18: Not evidenced. [TO CONFIRM: admin console for content updates; no file mentions it.]</w:t>
      </w:r>
    </w:p>
    <w:p>
      <w:r>
        <w:t>R19: Partially evidenced. We have dashboard and analytics experience (P4). [TO CONFIRM: conversational AI analytics dashboard capability.]</w:t>
      </w:r>
    </w:p>
    <w:p>
      <w:r>
        <w:t>R20: Partially evidenced. A 24/7 support and operations rota exists, and P2 reported 6 months of live operation. [TO CONFIRM: support-contract evidence.]</w:t>
      </w:r>
    </w:p>
    <w:p>
      <w:r>
        <w:t>R21: Not evidenced. [TO CONFIRM: ability to maintain 99.5% availability; no past SLA or availability record is provided.]</w:t>
      </w:r>
    </w:p>
    <w:p>
      <w:r>
        <w:t>R22: Complied. P1 included Najdi dialect support.</w:t>
      </w:r>
    </w:p>
    <w:p>
      <w:r>
        <w:t>R23: Complied. P1 included Hijazi dialect support.</w:t>
      </w:r>
    </w:p>
    <w:p>
      <w:r>
        <w:t>R24: Not evidenced (optional). [TO CONFIRM: Gulf dialect support.]</w:t>
      </w:r>
    </w:p>
    <w:p>
      <w:r>
        <w:t>R25: Not evidenced (optional). [TO CONFIRM: Southern dialect support.]</w:t>
      </w:r>
    </w:p>
    <w:p>
      <w:r>
        <w:t>R26: Commitment to be confirmed. [TO CONFIRM: 12-month build plus 6-month operation schedule; no evidence on this in the files.]</w:t>
      </w:r>
    </w:p>
    <w:p>
      <w:r>
        <w:t>R27: Submission formality. We will submit by 2026-12-01 at 13:00 Riyadh time. [TO CONFIRM: submission owner and logistics.]</w:t>
      </w:r>
    </w:p>
    <w:p>
      <w:r>
        <w:t>R28: Optional formality. [TO CONFIRM: whether to submit clarification questions by 2026-11-15, for example on REST API specifications and the SLA.]</w:t>
      </w:r>
    </w:p>
    <w:p>
      <w:r>
        <w:t>R29: Submission formality. The technical proposal will be a separate envelope. [TO CONFIRM: bid-team assembly.]</w:t>
      </w:r>
    </w:p>
    <w:p>
      <w:r>
        <w:t>R30: Submission formality. The financial proposal will be a separate envelope. [TO CONFIRM: bid-team assembly.]</w:t>
      </w:r>
    </w:p>
    <w:p>
      <w:r>
        <w:t>R31: Not evidenced. [TO CONFIRM: bid bond of 1% of bid value (about SAR 65,000 on the SAR 6.5 million estimate) valid 90 days; no bank guarantee facility is documented.]</w:t>
      </w:r>
    </w:p>
    <w:p>
      <w:r>
        <w:t>R32: Being prepared. This section serves as the draft basis for the compliance matrix. [TO CONFIRM: final matrix covering all of Sections 3 and 4.]</w:t>
      </w:r>
    </w:p>
    <w:p>
      <w:r>
        <w:t>R33: Cannot be verified. [TO CONFIRM: the 65% technical pass mark depends on the Authority's evaluation.]</w:t>
      </w:r>
    </w:p>
    <w:p>
      <w:pPr>
        <w:pStyle w:val="Heading1"/>
      </w:pPr>
      <w:r>
        <w:t>7. Open items for human review</w:t>
      </w:r>
    </w:p>
    <w:p>
      <w:r>
        <w:t>Requirements with status partial, unknown or gap (R12-R14 are mandatory and need priority resolution):</w:t>
      </w:r>
    </w:p>
    <w:p>
      <w:r>
        <w:t>Partial:</w:t>
      </w:r>
    </w:p>
    <w:p>
      <w:r>
        <w:t>- R12 (mandatory): PDPL. Programme and DPO exist; no certificate or audit evidence in the files. Obtain evidence.</w:t>
      </w:r>
    </w:p>
    <w:p>
      <w:r>
        <w:t>- R14 (mandatory): Human handover with full conversation context. P1 included handover, but context transfer is not documented. Confirm product capability.</w:t>
      </w:r>
    </w:p>
    <w:p>
      <w:r>
        <w:t>- R16 (mandatory): Arabic MSA and Saudi dialects. Najdi and Hijazi are documented; MSA is not explicitly stated.</w:t>
      </w:r>
    </w:p>
    <w:p>
      <w:r>
        <w:t>- R17 (mandatory): REST API integration with the case-management system. P2 integrated with a case-management system; REST is not stated.</w:t>
      </w:r>
    </w:p>
    <w:p>
      <w:r>
        <w:t>- R19 (mandatory): Analytics dashboard. Dashboard experience exists (P4); no conversational AI analytics dashboard is documented.</w:t>
      </w:r>
    </w:p>
    <w:p>
      <w:r>
        <w:t>- R20 (mandatory): 6 months of operation and support. A 24/7 rota exists and P2 had 6 months live; support-contract evidence is missing.</w:t>
      </w:r>
    </w:p>
    <w:p>
      <w:r>
        <w:t>Unknown:</w:t>
      </w:r>
    </w:p>
    <w:p>
      <w:r>
        <w:t>- R18 (mandatory): Admin console for content updates. No file mentions it.</w:t>
      </w:r>
    </w:p>
    <w:p>
      <w:r>
        <w:t>- R21 (mandatory): 99.5% availability. No past SLA or availability record.</w:t>
      </w:r>
    </w:p>
    <w:p>
      <w:r>
        <w:t>- R24 (optional): Gulf dialects. Not documented.</w:t>
      </w:r>
    </w:p>
    <w:p>
      <w:r>
        <w:t>- R25 (optional): Southern dialects. Not documented.</w:t>
      </w:r>
    </w:p>
    <w:p>
      <w:r>
        <w:t>- R26 (mandatory): 12+6 month plan. No schedule evidence.</w:t>
      </w:r>
    </w:p>
    <w:p>
      <w:r>
        <w:t>- R27 (mandatory): Deadline 2026-12-01 at 13:00 Riyadh time. Assign an owner and plan submission logistics.</w:t>
      </w:r>
    </w:p>
    <w:p>
      <w:r>
        <w:t>- R28 (optional): Clarification questions by 2026-11-15. Suggested topics: REST API specification, SLA definition, handover context format.</w:t>
      </w:r>
    </w:p>
    <w:p>
      <w:r>
        <w:t>- R29 (mandatory): Separate technical envelope.</w:t>
      </w:r>
    </w:p>
    <w:p>
      <w:r>
        <w:t>- R30 (mandatory): Separate financial envelope.</w:t>
      </w:r>
    </w:p>
    <w:p>
      <w:r>
        <w:t>- R31 (mandatory): Bid bond of 1% of bid value valid 90 days. No bank guarantee facility is documented; arrange it.</w:t>
      </w:r>
    </w:p>
    <w:p>
      <w:r>
        <w:t>- R32 (mandatory): Compliance matrix for all of Sections 3 and 4.</w:t>
      </w:r>
    </w:p>
    <w:p>
      <w:r>
        <w:t>- R33 (mandatory): 65% technical pass mark. Cannot be verified from the files.</w:t>
      </w:r>
    </w:p>
    <w:p>
      <w:r>
        <w:t>Other points for reviewers:</w:t>
      </w:r>
    </w:p>
    <w:p>
      <w:r>
        <w:t>- Zakat certificate (R2) is marked as met, but it expires 2026-12-05, four days after the deadline. Start renewal now and confirm it remains valid through award.</w:t>
      </w:r>
    </w:p>
    <w:p>
      <w:r>
        <w:t>- The named project manager (R13) and all team members need names, CVs and allocations.</w:t>
      </w:r>
    </w:p>
    <w:p>
      <w:r>
        <w:t>- Scale: 400,000 enquiries per month is about double P2's average monthly volume. Capacity and load-handling evidence is needed.</w:t>
      </w:r>
    </w:p>
    <w:p>
      <w:r>
        <w:t>- Technical architecture, technology stack, project schedule and pricing are not in the company files and must be provided by the delivery and finance teams.</w:t>
      </w:r>
    </w:p>
    <w:p>
      <w:r>
        <w:t>- Confirm that the P1 and P2 reference letters can be attached and disclosed.</w:t>
      </w:r>
    </w:p>
    <w:p>
      <w:pPr>
        <w:pStyle w:val="Heading1"/>
      </w:pPr>
      <w:r>
        <w:t>Compliance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Requirement</w:t>
            </w:r>
          </w:p>
        </w:tc>
        <w:tc>
          <w:tcPr>
            <w:tcW w:type="dxa" w:w="1728"/>
          </w:tcPr>
          <w:p>
            <w:r>
              <w:t>Mandatory</w:t>
            </w:r>
          </w:p>
        </w:tc>
        <w:tc>
          <w:tcPr>
            <w:tcW w:type="dxa" w:w="1728"/>
          </w:tcPr>
          <w:p>
            <w:r>
              <w:t>Status</w:t>
            </w:r>
          </w:p>
        </w:tc>
        <w:tc>
          <w:tcPr>
            <w:tcW w:type="dxa" w:w="1728"/>
          </w:tcPr>
          <w:p>
            <w:r>
              <w:t>Evidence / note</w:t>
            </w:r>
          </w:p>
        </w:tc>
      </w:tr>
      <w:tr>
        <w:tc>
          <w:tcPr>
            <w:tcW w:type="dxa" w:w="1728"/>
          </w:tcPr>
          <w:p>
            <w:r>
              <w:t>R1</w:t>
            </w:r>
          </w:p>
        </w:tc>
        <w:tc>
          <w:tcPr>
            <w:tcW w:type="dxa" w:w="1728"/>
          </w:tcPr>
          <w:p>
            <w:r>
              <w:t>Bidder must hold a valid Commercial Registration. (Section 3.1)</w:t>
            </w:r>
          </w:p>
        </w:tc>
        <w:tc>
          <w:tcPr>
            <w:tcW w:type="dxa" w:w="1728"/>
          </w:tcPr>
          <w:p>
            <w:r>
              <w:t>Yes</w:t>
            </w:r>
          </w:p>
        </w:tc>
        <w:tc>
          <w:tcPr>
            <w:tcW w:type="dxa" w:w="1728"/>
          </w:tcPr>
          <w:p>
            <w:r>
              <w:rPr>
                <w:b/>
                <w:color w:val="1B7F3B"/>
              </w:rPr>
              <w:t>MET</w:t>
            </w:r>
          </w:p>
        </w:tc>
        <w:tc>
          <w:tcPr>
            <w:tcW w:type="dxa" w:w="1728"/>
          </w:tcPr>
          <w:p>
            <w:r>
              <w:t>certifications.json — Commercial Registration CR-1010-XXXXXX is valid until 2027-08-14.</w:t>
            </w:r>
          </w:p>
        </w:tc>
      </w:tr>
      <w:tr>
        <w:tc>
          <w:tcPr>
            <w:tcW w:type="dxa" w:w="1728"/>
          </w:tcPr>
          <w:p>
            <w:r>
              <w:t>R2</w:t>
            </w:r>
          </w:p>
        </w:tc>
        <w:tc>
          <w:tcPr>
            <w:tcW w:type="dxa" w:w="1728"/>
          </w:tcPr>
          <w:p>
            <w:r>
              <w:t>Bidder must hold a valid Zakat certificate from ZATCA. (Section 3.2)</w:t>
            </w:r>
          </w:p>
        </w:tc>
        <w:tc>
          <w:tcPr>
            <w:tcW w:type="dxa" w:w="1728"/>
          </w:tcPr>
          <w:p>
            <w:r>
              <w:t>Yes</w:t>
            </w:r>
          </w:p>
        </w:tc>
        <w:tc>
          <w:tcPr>
            <w:tcW w:type="dxa" w:w="1728"/>
          </w:tcPr>
          <w:p>
            <w:r>
              <w:rPr>
                <w:b/>
                <w:color w:val="1B7F3B"/>
              </w:rPr>
              <w:t>MET</w:t>
            </w:r>
          </w:p>
        </w:tc>
        <w:tc>
          <w:tcPr>
            <w:tcW w:type="dxa" w:w="1728"/>
          </w:tcPr>
          <w:p>
            <w:r>
              <w:t>certifications.json — ZATCA Zakat certificate is valid until 2026-12-05, which is after the 2026-12-01 deadline; it expires only 4 days later, so renew it early.</w:t>
            </w:r>
          </w:p>
        </w:tc>
      </w:tr>
      <w:tr>
        <w:tc>
          <w:tcPr>
            <w:tcW w:type="dxa" w:w="1728"/>
          </w:tcPr>
          <w:p>
            <w:r>
              <w:t>R3</w:t>
            </w:r>
          </w:p>
        </w:tc>
        <w:tc>
          <w:tcPr>
            <w:tcW w:type="dxa" w:w="1728"/>
          </w:tcPr>
          <w:p>
            <w:r>
              <w:t>Bidder must hold a valid GOSI certificate. (Section 3.3)</w:t>
            </w:r>
          </w:p>
        </w:tc>
        <w:tc>
          <w:tcPr>
            <w:tcW w:type="dxa" w:w="1728"/>
          </w:tcPr>
          <w:p>
            <w:r>
              <w:t>Yes</w:t>
            </w:r>
          </w:p>
        </w:tc>
        <w:tc>
          <w:tcPr>
            <w:tcW w:type="dxa" w:w="1728"/>
          </w:tcPr>
          <w:p>
            <w:r>
              <w:rPr>
                <w:b/>
                <w:color w:val="1B7F3B"/>
              </w:rPr>
              <w:t>MET</w:t>
            </w:r>
          </w:p>
        </w:tc>
        <w:tc>
          <w:tcPr>
            <w:tcW w:type="dxa" w:w="1728"/>
          </w:tcPr>
          <w:p>
            <w:r>
              <w:t>certifications.json — GOSI certificate is valid until 2027-01-31.</w:t>
            </w:r>
          </w:p>
        </w:tc>
      </w:tr>
      <w:tr>
        <w:tc>
          <w:tcPr>
            <w:tcW w:type="dxa" w:w="1728"/>
          </w:tcPr>
          <w:p>
            <w:r>
              <w:t>R4</w:t>
            </w:r>
          </w:p>
        </w:tc>
        <w:tc>
          <w:tcPr>
            <w:tcW w:type="dxa" w:w="1728"/>
          </w:tcPr>
          <w:p>
            <w:r>
              <w:t>Bidder must hold a valid Saudization (Nitaqat) certificate. (Section 3.4)</w:t>
            </w:r>
          </w:p>
        </w:tc>
        <w:tc>
          <w:tcPr>
            <w:tcW w:type="dxa" w:w="1728"/>
          </w:tcPr>
          <w:p>
            <w:r>
              <w:t>Yes</w:t>
            </w:r>
          </w:p>
        </w:tc>
        <w:tc>
          <w:tcPr>
            <w:tcW w:type="dxa" w:w="1728"/>
          </w:tcPr>
          <w:p>
            <w:r>
              <w:rPr>
                <w:b/>
                <w:color w:val="1B7F3B"/>
              </w:rPr>
              <w:t>MET</w:t>
            </w:r>
          </w:p>
        </w:tc>
        <w:tc>
          <w:tcPr>
            <w:tcW w:type="dxa" w:w="1728"/>
          </w:tcPr>
          <w:p>
            <w:r>
              <w:t>certifications.json — Nitaqat certificate (Platinum band) is valid until 2027-03-01.</w:t>
            </w:r>
          </w:p>
        </w:tc>
      </w:tr>
      <w:tr>
        <w:tc>
          <w:tcPr>
            <w:tcW w:type="dxa" w:w="1728"/>
          </w:tcPr>
          <w:p>
            <w:r>
              <w:t>R5</w:t>
            </w:r>
          </w:p>
        </w:tc>
        <w:tc>
          <w:tcPr>
            <w:tcW w:type="dxa" w:w="1728"/>
          </w:tcPr>
          <w:p>
            <w:r>
              <w:t>Bidder must hold ISO/IEC 27001 certification that is valid at the time of submission. (Section 3.5)</w:t>
            </w:r>
          </w:p>
        </w:tc>
        <w:tc>
          <w:tcPr>
            <w:tcW w:type="dxa" w:w="1728"/>
          </w:tcPr>
          <w:p>
            <w:r>
              <w:t>Yes</w:t>
            </w:r>
          </w:p>
        </w:tc>
        <w:tc>
          <w:tcPr>
            <w:tcW w:type="dxa" w:w="1728"/>
          </w:tcPr>
          <w:p>
            <w:r>
              <w:rPr>
                <w:b/>
                <w:color w:val="1B7F3B"/>
              </w:rPr>
              <w:t>MET</w:t>
            </w:r>
          </w:p>
        </w:tc>
        <w:tc>
          <w:tcPr>
            <w:tcW w:type="dxa" w:w="1728"/>
          </w:tcPr>
          <w:p>
            <w:r>
              <w:t>certifications.json — ISO/IEC 27001:2022 is valid until 2027-05-30.</w:t>
            </w:r>
          </w:p>
        </w:tc>
      </w:tr>
      <w:tr>
        <w:tc>
          <w:tcPr>
            <w:tcW w:type="dxa" w:w="1728"/>
          </w:tcPr>
          <w:p>
            <w:r>
              <w:t>R6</w:t>
            </w:r>
          </w:p>
        </w:tc>
        <w:tc>
          <w:tcPr>
            <w:tcW w:type="dxa" w:w="1728"/>
          </w:tcPr>
          <w:p>
            <w:r>
              <w:t>Bidder must achieve a minimum local content score of 40%, certified by LCGPA. (Section 3.6)</w:t>
            </w:r>
          </w:p>
        </w:tc>
        <w:tc>
          <w:tcPr>
            <w:tcW w:type="dxa" w:w="1728"/>
          </w:tcPr>
          <w:p>
            <w:r>
              <w:t>Yes</w:t>
            </w:r>
          </w:p>
        </w:tc>
        <w:tc>
          <w:tcPr>
            <w:tcW w:type="dxa" w:w="1728"/>
          </w:tcPr>
          <w:p>
            <w:r>
              <w:rPr>
                <w:b/>
                <w:color w:val="1B7F3B"/>
              </w:rPr>
              <w:t>MET</w:t>
            </w:r>
          </w:p>
        </w:tc>
        <w:tc>
          <w:tcPr>
            <w:tcW w:type="dxa" w:w="1728"/>
          </w:tcPr>
          <w:p>
            <w:r>
              <w:t>certifications.json — The LCGPA-certified local content score is 52%, above the 40% minimum, and valid until 2027-06-30.</w:t>
            </w:r>
          </w:p>
        </w:tc>
      </w:tr>
      <w:tr>
        <w:tc>
          <w:tcPr>
            <w:tcW w:type="dxa" w:w="1728"/>
          </w:tcPr>
          <w:p>
            <w:r>
              <w:t>R7</w:t>
            </w:r>
          </w:p>
        </w:tc>
        <w:tc>
          <w:tcPr>
            <w:tcW w:type="dxa" w:w="1728"/>
          </w:tcPr>
          <w:p>
            <w:r>
              <w:t>Bidder must have delivered at least two conversational AI projects in the last five years. (Section 4.1)</w:t>
            </w:r>
          </w:p>
        </w:tc>
        <w:tc>
          <w:tcPr>
            <w:tcW w:type="dxa" w:w="1728"/>
          </w:tcPr>
          <w:p>
            <w:r>
              <w:t>Yes</w:t>
            </w:r>
          </w:p>
        </w:tc>
        <w:tc>
          <w:tcPr>
            <w:tcW w:type="dxa" w:w="1728"/>
          </w:tcPr>
          <w:p>
            <w:r>
              <w:rPr>
                <w:b/>
                <w:color w:val="1B7F3B"/>
              </w:rPr>
              <w:t>MET</w:t>
            </w:r>
          </w:p>
        </w:tc>
        <w:tc>
          <w:tcPr>
            <w:tcW w:type="dxa" w:w="1728"/>
          </w:tcPr>
          <w:p>
            <w:r>
              <w:t>past_projects.md — P1 (2023-24) and P2 (2024-25) are two conversational AI projects within the last five years.</w:t>
            </w:r>
          </w:p>
        </w:tc>
      </w:tr>
      <w:tr>
        <w:tc>
          <w:tcPr>
            <w:tcW w:type="dxa" w:w="1728"/>
          </w:tcPr>
          <w:p>
            <w:r>
              <w:t>R8</w:t>
            </w:r>
          </w:p>
        </w:tc>
        <w:tc>
          <w:tcPr>
            <w:tcW w:type="dxa" w:w="1728"/>
          </w:tcPr>
          <w:p>
            <w:r>
              <w:t>Each of the two referenced conversational AI projects must be valued above SAR 2,000,000. (Section 4.1)</w:t>
            </w:r>
          </w:p>
        </w:tc>
        <w:tc>
          <w:tcPr>
            <w:tcW w:type="dxa" w:w="1728"/>
          </w:tcPr>
          <w:p>
            <w:r>
              <w:t>Yes</w:t>
            </w:r>
          </w:p>
        </w:tc>
        <w:tc>
          <w:tcPr>
            <w:tcW w:type="dxa" w:w="1728"/>
          </w:tcPr>
          <w:p>
            <w:r>
              <w:rPr>
                <w:b/>
                <w:color w:val="1B7F3B"/>
              </w:rPr>
              <w:t>MET</w:t>
            </w:r>
          </w:p>
        </w:tc>
        <w:tc>
          <w:tcPr>
            <w:tcW w:type="dxa" w:w="1728"/>
          </w:tcPr>
          <w:p>
            <w:r>
              <w:t>past_projects.md — P1 is SAR 3.2M and P2 is SAR 4.8M, both above SAR 2M.</w:t>
            </w:r>
          </w:p>
        </w:tc>
      </w:tr>
      <w:tr>
        <w:tc>
          <w:tcPr>
            <w:tcW w:type="dxa" w:w="1728"/>
          </w:tcPr>
          <w:p>
            <w:r>
              <w:t>R9</w:t>
            </w:r>
          </w:p>
        </w:tc>
        <w:tc>
          <w:tcPr>
            <w:tcW w:type="dxa" w:w="1728"/>
          </w:tcPr>
          <w:p>
            <w:r>
              <w:t>Past conversational AI projects must be supported by client reference letters. (Section 4.1)</w:t>
            </w:r>
          </w:p>
        </w:tc>
        <w:tc>
          <w:tcPr>
            <w:tcW w:type="dxa" w:w="1728"/>
          </w:tcPr>
          <w:p>
            <w:r>
              <w:t>Yes</w:t>
            </w:r>
          </w:p>
        </w:tc>
        <w:tc>
          <w:tcPr>
            <w:tcW w:type="dxa" w:w="1728"/>
          </w:tcPr>
          <w:p>
            <w:r>
              <w:rPr>
                <w:b/>
                <w:color w:val="1B7F3B"/>
              </w:rPr>
              <w:t>MET</w:t>
            </w:r>
          </w:p>
        </w:tc>
        <w:tc>
          <w:tcPr>
            <w:tcW w:type="dxa" w:w="1728"/>
          </w:tcPr>
          <w:p>
            <w:r>
              <w:t>past_projects.md — Reference letters are available for both P1 and P2.</w:t>
            </w:r>
          </w:p>
        </w:tc>
      </w:tr>
      <w:tr>
        <w:tc>
          <w:tcPr>
            <w:tcW w:type="dxa" w:w="1728"/>
          </w:tcPr>
          <w:p>
            <w:r>
              <w:t>R10</w:t>
            </w:r>
          </w:p>
        </w:tc>
        <w:tc>
          <w:tcPr>
            <w:tcW w:type="dxa" w:w="1728"/>
          </w:tcPr>
          <w:p>
            <w:r>
              <w:t>All data, models and logs must be hosted inside the Kingdom of Saudi Arabia. (Section 4.2)</w:t>
            </w:r>
          </w:p>
        </w:tc>
        <w:tc>
          <w:tcPr>
            <w:tcW w:type="dxa" w:w="1728"/>
          </w:tcPr>
          <w:p>
            <w:r>
              <w:t>Yes</w:t>
            </w:r>
          </w:p>
        </w:tc>
        <w:tc>
          <w:tcPr>
            <w:tcW w:type="dxa" w:w="1728"/>
          </w:tcPr>
          <w:p>
            <w:r>
              <w:rPr>
                <w:b/>
                <w:color w:val="1B7F3B"/>
              </w:rPr>
              <w:t>MET</w:t>
            </w:r>
          </w:p>
        </w:tc>
        <w:tc>
          <w:tcPr>
            <w:tcW w:type="dxa" w:w="1728"/>
          </w:tcPr>
          <w:p>
            <w:r>
              <w:t>profile.md — All production workloads are hosted in in-Kingdom data centers (Riyadh and Jeddah); P2 was also hosted in-Kingdom.</w:t>
            </w:r>
          </w:p>
        </w:tc>
      </w:tr>
      <w:tr>
        <w:tc>
          <w:tcPr>
            <w:tcW w:type="dxa" w:w="1728"/>
          </w:tcPr>
          <w:p>
            <w:r>
              <w:t>R11</w:t>
            </w:r>
          </w:p>
        </w:tc>
        <w:tc>
          <w:tcPr>
            <w:tcW w:type="dxa" w:w="1728"/>
          </w:tcPr>
          <w:p>
            <w:r>
              <w:t>The solution must comply with NCA Essential Cybersecurity Controls (ECC). (Section 4.3)</w:t>
            </w:r>
          </w:p>
        </w:tc>
        <w:tc>
          <w:tcPr>
            <w:tcW w:type="dxa" w:w="1728"/>
          </w:tcPr>
          <w:p>
            <w:r>
              <w:t>Yes</w:t>
            </w:r>
          </w:p>
        </w:tc>
        <w:tc>
          <w:tcPr>
            <w:tcW w:type="dxa" w:w="1728"/>
          </w:tcPr>
          <w:p>
            <w:r>
              <w:rPr>
                <w:b/>
                <w:color w:val="1B7F3B"/>
              </w:rPr>
              <w:t>MET</w:t>
            </w:r>
          </w:p>
        </w:tc>
        <w:tc>
          <w:tcPr>
            <w:tcW w:type="dxa" w:w="1728"/>
          </w:tcPr>
          <w:p>
            <w:r>
              <w:t>certifications.json — An ECC compliance report (ECC-2026-03) is valid until 2027-03-31, and P2 was ECC compliant.</w:t>
            </w:r>
          </w:p>
        </w:tc>
      </w:tr>
      <w:tr>
        <w:tc>
          <w:tcPr>
            <w:tcW w:type="dxa" w:w="1728"/>
          </w:tcPr>
          <w:p>
            <w:r>
              <w:t>R12</w:t>
            </w:r>
          </w:p>
        </w:tc>
        <w:tc>
          <w:tcPr>
            <w:tcW w:type="dxa" w:w="1728"/>
          </w:tcPr>
          <w:p>
            <w:r>
              <w:t>Personal data processing must comply with the Personal Data Protection Law (PDPL). (Section 4.4)</w:t>
            </w:r>
          </w:p>
        </w:tc>
        <w:tc>
          <w:tcPr>
            <w:tcW w:type="dxa" w:w="1728"/>
          </w:tcPr>
          <w:p>
            <w:r>
              <w:t>Yes</w:t>
            </w:r>
          </w:p>
        </w:tc>
        <w:tc>
          <w:tcPr>
            <w:tcW w:type="dxa" w:w="1728"/>
          </w:tcPr>
          <w:p>
            <w:r>
              <w:rPr>
                <w:b/>
                <w:color w:val="B26B00"/>
              </w:rPr>
              <w:t>PARTIAL</w:t>
            </w:r>
          </w:p>
        </w:tc>
        <w:tc>
          <w:tcPr>
            <w:tcW w:type="dxa" w:w="1728"/>
          </w:tcPr>
          <w:p>
            <w:r>
              <w:t>profile.md — A PDPL program and an appointed DPO are in place, but there is no certificate or audit evidence in the files.</w:t>
            </w:r>
          </w:p>
        </w:tc>
      </w:tr>
      <w:tr>
        <w:tc>
          <w:tcPr>
            <w:tcW w:type="dxa" w:w="1728"/>
          </w:tcPr>
          <w:p>
            <w:r>
              <w:t>R13</w:t>
            </w:r>
          </w:p>
        </w:tc>
        <w:tc>
          <w:tcPr>
            <w:tcW w:type="dxa" w:w="1728"/>
          </w:tcPr>
          <w:p>
            <w:r>
              <w:t>The proposed project manager must hold PMP or an equivalent certification. (Section 4.5)</w:t>
            </w:r>
          </w:p>
        </w:tc>
        <w:tc>
          <w:tcPr>
            <w:tcW w:type="dxa" w:w="1728"/>
          </w:tcPr>
          <w:p>
            <w:r>
              <w:t>Yes</w:t>
            </w:r>
          </w:p>
        </w:tc>
        <w:tc>
          <w:tcPr>
            <w:tcW w:type="dxa" w:w="1728"/>
          </w:tcPr>
          <w:p>
            <w:r>
              <w:rPr>
                <w:b/>
                <w:color w:val="1B7F3B"/>
              </w:rPr>
              <w:t>MET</w:t>
            </w:r>
          </w:p>
        </w:tc>
        <w:tc>
          <w:tcPr>
            <w:tcW w:type="dxa" w:w="1728"/>
          </w:tcPr>
          <w:p>
            <w:r>
              <w:t>team.md — The company has 3 PMP-certified project managers, one with 12 years of government experience; the named PM must be selected for the proposal.</w:t>
            </w:r>
          </w:p>
        </w:tc>
      </w:tr>
      <w:tr>
        <w:tc>
          <w:tcPr>
            <w:tcW w:type="dxa" w:w="1728"/>
          </w:tcPr>
          <w:p>
            <w:r>
              <w:t>R14</w:t>
            </w:r>
          </w:p>
        </w:tc>
        <w:tc>
          <w:tcPr>
            <w:tcW w:type="dxa" w:w="1728"/>
          </w:tcPr>
          <w:p>
            <w:r>
              <w:t>The solution must provide human handover with full conversation context. (Section 4.6)</w:t>
            </w:r>
          </w:p>
        </w:tc>
        <w:tc>
          <w:tcPr>
            <w:tcW w:type="dxa" w:w="1728"/>
          </w:tcPr>
          <w:p>
            <w:r>
              <w:t>Yes</w:t>
            </w:r>
          </w:p>
        </w:tc>
        <w:tc>
          <w:tcPr>
            <w:tcW w:type="dxa" w:w="1728"/>
          </w:tcPr>
          <w:p>
            <w:r>
              <w:rPr>
                <w:b/>
                <w:color w:val="B26B00"/>
              </w:rPr>
              <w:t>PARTIAL</w:t>
            </w:r>
          </w:p>
        </w:tc>
        <w:tc>
          <w:tcPr>
            <w:tcW w:type="dxa" w:w="1728"/>
          </w:tcPr>
          <w:p>
            <w:r>
              <w:t>past_projects.md — P1 included handover to human agents, but passing full conversation context is not explicitly documented.</w:t>
            </w:r>
          </w:p>
        </w:tc>
      </w:tr>
      <w:tr>
        <w:tc>
          <w:tcPr>
            <w:tcW w:type="dxa" w:w="1728"/>
          </w:tcPr>
          <w:p>
            <w:r>
              <w:t>R15</w:t>
            </w:r>
          </w:p>
        </w:tc>
        <w:tc>
          <w:tcPr>
            <w:tcW w:type="dxa" w:w="1728"/>
          </w:tcPr>
          <w:p>
            <w:r>
              <w:t>Deliver a conversational AI assistant on the web portal, mobile app and WhatsApp. (Section 2, item 1)</w:t>
            </w:r>
          </w:p>
        </w:tc>
        <w:tc>
          <w:tcPr>
            <w:tcW w:type="dxa" w:w="1728"/>
          </w:tcPr>
          <w:p>
            <w:r>
              <w:t>Yes</w:t>
            </w:r>
          </w:p>
        </w:tc>
        <w:tc>
          <w:tcPr>
            <w:tcW w:type="dxa" w:w="1728"/>
          </w:tcPr>
          <w:p>
            <w:r>
              <w:rPr>
                <w:b/>
                <w:color w:val="1B7F3B"/>
              </w:rPr>
              <w:t>MET</w:t>
            </w:r>
          </w:p>
        </w:tc>
        <w:tc>
          <w:tcPr>
            <w:tcW w:type="dxa" w:w="1728"/>
          </w:tcPr>
          <w:p>
            <w:r>
              <w:t>past_projects.md — P1 delivered a chatbot on web, mobile and WhatsApp.</w:t>
            </w:r>
          </w:p>
        </w:tc>
      </w:tr>
      <w:tr>
        <w:tc>
          <w:tcPr>
            <w:tcW w:type="dxa" w:w="1728"/>
          </w:tcPr>
          <w:p>
            <w:r>
              <w:t>R16</w:t>
            </w:r>
          </w:p>
        </w:tc>
        <w:tc>
          <w:tcPr>
            <w:tcW w:type="dxa" w:w="1728"/>
          </w:tcPr>
          <w:p>
            <w:r>
              <w:t>The assistant must support Arabic (Modern Standard Arabic and Saudi dialects) and English. (Section 2, item 2)</w:t>
            </w:r>
          </w:p>
        </w:tc>
        <w:tc>
          <w:tcPr>
            <w:tcW w:type="dxa" w:w="1728"/>
          </w:tcPr>
          <w:p>
            <w:r>
              <w:t>Yes</w:t>
            </w:r>
          </w:p>
        </w:tc>
        <w:tc>
          <w:tcPr>
            <w:tcW w:type="dxa" w:w="1728"/>
          </w:tcPr>
          <w:p>
            <w:r>
              <w:rPr>
                <w:b/>
                <w:color w:val="B26B00"/>
              </w:rPr>
              <w:t>PARTIAL</w:t>
            </w:r>
          </w:p>
        </w:tc>
        <w:tc>
          <w:tcPr>
            <w:tcW w:type="dxa" w:w="1728"/>
          </w:tcPr>
          <w:p>
            <w:r>
              <w:t>past_projects.md — P1 was bilingual Arabic/English with Najdi and Hijazi support, but Modern Standard Arabic support is not explicitly stated.</w:t>
            </w:r>
          </w:p>
        </w:tc>
      </w:tr>
      <w:tr>
        <w:tc>
          <w:tcPr>
            <w:tcW w:type="dxa" w:w="1728"/>
          </w:tcPr>
          <w:p>
            <w:r>
              <w:t>R17</w:t>
            </w:r>
          </w:p>
        </w:tc>
        <w:tc>
          <w:tcPr>
            <w:tcW w:type="dxa" w:w="1728"/>
          </w:tcPr>
          <w:p>
            <w:r>
              <w:t>Integrate the assistant with the Authority's case-management system via REST APIs. (Section 2, item 3)</w:t>
            </w:r>
          </w:p>
        </w:tc>
        <w:tc>
          <w:tcPr>
            <w:tcW w:type="dxa" w:w="1728"/>
          </w:tcPr>
          <w:p>
            <w:r>
              <w:t>Yes</w:t>
            </w:r>
          </w:p>
        </w:tc>
        <w:tc>
          <w:tcPr>
            <w:tcW w:type="dxa" w:w="1728"/>
          </w:tcPr>
          <w:p>
            <w:r>
              <w:rPr>
                <w:b/>
                <w:color w:val="B26B00"/>
              </w:rPr>
              <w:t>PARTIAL</w:t>
            </w:r>
          </w:p>
        </w:tc>
        <w:tc>
          <w:tcPr>
            <w:tcW w:type="dxa" w:w="1728"/>
          </w:tcPr>
          <w:p>
            <w:r>
              <w:t>past_projects.md — P2 integrated with a case-management system, but the use of REST APIs is not stated.</w:t>
            </w:r>
          </w:p>
        </w:tc>
      </w:tr>
      <w:tr>
        <w:tc>
          <w:tcPr>
            <w:tcW w:type="dxa" w:w="1728"/>
          </w:tcPr>
          <w:p>
            <w:r>
              <w:t>R18</w:t>
            </w:r>
          </w:p>
        </w:tc>
        <w:tc>
          <w:tcPr>
            <w:tcW w:type="dxa" w:w="1728"/>
          </w:tcPr>
          <w:p>
            <w:r>
              <w:t>Provide an admin console for content updates. (Section 2, item 4)</w:t>
            </w:r>
          </w:p>
        </w:tc>
        <w:tc>
          <w:tcPr>
            <w:tcW w:type="dxa" w:w="1728"/>
          </w:tcPr>
          <w:p>
            <w:r>
              <w:t>Yes</w:t>
            </w:r>
          </w:p>
        </w:tc>
        <w:tc>
          <w:tcPr>
            <w:tcW w:type="dxa" w:w="1728"/>
          </w:tcPr>
          <w:p>
            <w:r>
              <w:rPr>
                <w:b/>
                <w:color w:val="555555"/>
              </w:rPr>
              <w:t>UNKNOWN</w:t>
            </w:r>
          </w:p>
        </w:tc>
        <w:tc>
          <w:tcPr>
            <w:tcW w:type="dxa" w:w="1728"/>
          </w:tcPr>
          <w:p>
            <w:r>
              <w:t xml:space="preserve"> — No file mentions an admin console for content updates; confirm the product capability.</w:t>
            </w:r>
          </w:p>
        </w:tc>
      </w:tr>
      <w:tr>
        <w:tc>
          <w:tcPr>
            <w:tcW w:type="dxa" w:w="1728"/>
          </w:tcPr>
          <w:p>
            <w:r>
              <w:t>R19</w:t>
            </w:r>
          </w:p>
        </w:tc>
        <w:tc>
          <w:tcPr>
            <w:tcW w:type="dxa" w:w="1728"/>
          </w:tcPr>
          <w:p>
            <w:r>
              <w:t>Provide an analytics dashboard. (Section 2, item 4)</w:t>
            </w:r>
          </w:p>
        </w:tc>
        <w:tc>
          <w:tcPr>
            <w:tcW w:type="dxa" w:w="1728"/>
          </w:tcPr>
          <w:p>
            <w:r>
              <w:t>Yes</w:t>
            </w:r>
          </w:p>
        </w:tc>
        <w:tc>
          <w:tcPr>
            <w:tcW w:type="dxa" w:w="1728"/>
          </w:tcPr>
          <w:p>
            <w:r>
              <w:rPr>
                <w:b/>
                <w:color w:val="B26B00"/>
              </w:rPr>
              <w:t>PARTIAL</w:t>
            </w:r>
          </w:p>
        </w:tc>
        <w:tc>
          <w:tcPr>
            <w:tcW w:type="dxa" w:w="1728"/>
          </w:tcPr>
          <w:p>
            <w:r>
              <w:t>profile.md — The company builds dashboards and analytics (P4), but no conversational AI analytics dashboard is documented.</w:t>
            </w:r>
          </w:p>
        </w:tc>
      </w:tr>
      <w:tr>
        <w:tc>
          <w:tcPr>
            <w:tcW w:type="dxa" w:w="1728"/>
          </w:tcPr>
          <w:p>
            <w:r>
              <w:t>R20</w:t>
            </w:r>
          </w:p>
        </w:tc>
        <w:tc>
          <w:tcPr>
            <w:tcW w:type="dxa" w:w="1728"/>
          </w:tcPr>
          <w:p>
            <w:r>
              <w:t>Provide six months of operation and support after go-live. (Section 2, item 5)</w:t>
            </w:r>
          </w:p>
        </w:tc>
        <w:tc>
          <w:tcPr>
            <w:tcW w:type="dxa" w:w="1728"/>
          </w:tcPr>
          <w:p>
            <w:r>
              <w:t>Yes</w:t>
            </w:r>
          </w:p>
        </w:tc>
        <w:tc>
          <w:tcPr>
            <w:tcW w:type="dxa" w:w="1728"/>
          </w:tcPr>
          <w:p>
            <w:r>
              <w:rPr>
                <w:b/>
                <w:color w:val="B26B00"/>
              </w:rPr>
              <w:t>PARTIAL</w:t>
            </w:r>
          </w:p>
        </w:tc>
        <w:tc>
          <w:tcPr>
            <w:tcW w:type="dxa" w:w="1728"/>
          </w:tcPr>
          <w:p>
            <w:r>
              <w:t>team.md — A 24/7 support and operations rota exists and P2 reported 6 months of live operation, but there is no explicit support-contract evidence.</w:t>
            </w:r>
          </w:p>
        </w:tc>
      </w:tr>
      <w:tr>
        <w:tc>
          <w:tcPr>
            <w:tcW w:type="dxa" w:w="1728"/>
          </w:tcPr>
          <w:p>
            <w:r>
              <w:t>R21</w:t>
            </w:r>
          </w:p>
        </w:tc>
        <w:tc>
          <w:tcPr>
            <w:tcW w:type="dxa" w:w="1728"/>
          </w:tcPr>
          <w:p>
            <w:r>
              <w:t>Maintain 99.5% availability during the operation and support period. (Section 2, item 5)</w:t>
            </w:r>
          </w:p>
        </w:tc>
        <w:tc>
          <w:tcPr>
            <w:tcW w:type="dxa" w:w="1728"/>
          </w:tcPr>
          <w:p>
            <w:r>
              <w:t>Yes</w:t>
            </w:r>
          </w:p>
        </w:tc>
        <w:tc>
          <w:tcPr>
            <w:tcW w:type="dxa" w:w="1728"/>
          </w:tcPr>
          <w:p>
            <w:r>
              <w:rPr>
                <w:b/>
                <w:color w:val="555555"/>
              </w:rPr>
              <w:t>UNKNOWN</w:t>
            </w:r>
          </w:p>
        </w:tc>
        <w:tc>
          <w:tcPr>
            <w:tcW w:type="dxa" w:w="1728"/>
          </w:tcPr>
          <w:p>
            <w:r>
              <w:t xml:space="preserve"> — No past SLA or availability record is provided for 99.5%; this is a delivery commitment to confirm.</w:t>
            </w:r>
          </w:p>
        </w:tc>
      </w:tr>
      <w:tr>
        <w:tc>
          <w:tcPr>
            <w:tcW w:type="dxa" w:w="1728"/>
          </w:tcPr>
          <w:p>
            <w:r>
              <w:t>R22</w:t>
            </w:r>
          </w:p>
        </w:tc>
        <w:tc>
          <w:tcPr>
            <w:tcW w:type="dxa" w:w="1728"/>
          </w:tcPr>
          <w:p>
            <w:r>
              <w:t>The assistant must understand at minimum the Najdi dialect. (Appendix A)</w:t>
            </w:r>
          </w:p>
        </w:tc>
        <w:tc>
          <w:tcPr>
            <w:tcW w:type="dxa" w:w="1728"/>
          </w:tcPr>
          <w:p>
            <w:r>
              <w:t>Yes</w:t>
            </w:r>
          </w:p>
        </w:tc>
        <w:tc>
          <w:tcPr>
            <w:tcW w:type="dxa" w:w="1728"/>
          </w:tcPr>
          <w:p>
            <w:r>
              <w:rPr>
                <w:b/>
                <w:color w:val="1B7F3B"/>
              </w:rPr>
              <w:t>MET</w:t>
            </w:r>
          </w:p>
        </w:tc>
        <w:tc>
          <w:tcPr>
            <w:tcW w:type="dxa" w:w="1728"/>
          </w:tcPr>
          <w:p>
            <w:r>
              <w:t>past_projects.md — P1 included Najdi dialect support.</w:t>
            </w:r>
          </w:p>
        </w:tc>
      </w:tr>
      <w:tr>
        <w:tc>
          <w:tcPr>
            <w:tcW w:type="dxa" w:w="1728"/>
          </w:tcPr>
          <w:p>
            <w:r>
              <w:t>R23</w:t>
            </w:r>
          </w:p>
        </w:tc>
        <w:tc>
          <w:tcPr>
            <w:tcW w:type="dxa" w:w="1728"/>
          </w:tcPr>
          <w:p>
            <w:r>
              <w:t>The assistant must understand at minimum the Hijazi dialect. (Appendix A)</w:t>
            </w:r>
          </w:p>
        </w:tc>
        <w:tc>
          <w:tcPr>
            <w:tcW w:type="dxa" w:w="1728"/>
          </w:tcPr>
          <w:p>
            <w:r>
              <w:t>Yes</w:t>
            </w:r>
          </w:p>
        </w:tc>
        <w:tc>
          <w:tcPr>
            <w:tcW w:type="dxa" w:w="1728"/>
          </w:tcPr>
          <w:p>
            <w:r>
              <w:rPr>
                <w:b/>
                <w:color w:val="1B7F3B"/>
              </w:rPr>
              <w:t>MET</w:t>
            </w:r>
          </w:p>
        </w:tc>
        <w:tc>
          <w:tcPr>
            <w:tcW w:type="dxa" w:w="1728"/>
          </w:tcPr>
          <w:p>
            <w:r>
              <w:t>past_projects.md — P1 included Hijazi dialect support.</w:t>
            </w:r>
          </w:p>
        </w:tc>
      </w:tr>
      <w:tr>
        <w:tc>
          <w:tcPr>
            <w:tcW w:type="dxa" w:w="1728"/>
          </w:tcPr>
          <w:p>
            <w:r>
              <w:t>R24</w:t>
            </w:r>
          </w:p>
        </w:tc>
        <w:tc>
          <w:tcPr>
            <w:tcW w:type="dxa" w:w="1728"/>
          </w:tcPr>
          <w:p>
            <w:r>
              <w:t>The assistant should support Gulf dialects. (Appendix A)</w:t>
            </w:r>
          </w:p>
        </w:tc>
        <w:tc>
          <w:tcPr>
            <w:tcW w:type="dxa" w:w="1728"/>
          </w:tcPr>
          <w:p>
            <w:r>
              <w:t>No</w:t>
            </w:r>
          </w:p>
        </w:tc>
        <w:tc>
          <w:tcPr>
            <w:tcW w:type="dxa" w:w="1728"/>
          </w:tcPr>
          <w:p>
            <w:r>
              <w:rPr>
                <w:b/>
                <w:color w:val="555555"/>
              </w:rPr>
              <w:t>UNKNOWN</w:t>
            </w:r>
          </w:p>
        </w:tc>
        <w:tc>
          <w:tcPr>
            <w:tcW w:type="dxa" w:w="1728"/>
          </w:tcPr>
          <w:p>
            <w:r>
              <w:t xml:space="preserve"> — Gulf dialect support is optional and not documented in the files.</w:t>
            </w:r>
          </w:p>
        </w:tc>
      </w:tr>
      <w:tr>
        <w:tc>
          <w:tcPr>
            <w:tcW w:type="dxa" w:w="1728"/>
          </w:tcPr>
          <w:p>
            <w:r>
              <w:t>R25</w:t>
            </w:r>
          </w:p>
        </w:tc>
        <w:tc>
          <w:tcPr>
            <w:tcW w:type="dxa" w:w="1728"/>
          </w:tcPr>
          <w:p>
            <w:r>
              <w:t>The assistant should support Southern dialects. (Appendix A)</w:t>
            </w:r>
          </w:p>
        </w:tc>
        <w:tc>
          <w:tcPr>
            <w:tcW w:type="dxa" w:w="1728"/>
          </w:tcPr>
          <w:p>
            <w:r>
              <w:t>No</w:t>
            </w:r>
          </w:p>
        </w:tc>
        <w:tc>
          <w:tcPr>
            <w:tcW w:type="dxa" w:w="1728"/>
          </w:tcPr>
          <w:p>
            <w:r>
              <w:rPr>
                <w:b/>
                <w:color w:val="555555"/>
              </w:rPr>
              <w:t>UNKNOWN</w:t>
            </w:r>
          </w:p>
        </w:tc>
        <w:tc>
          <w:tcPr>
            <w:tcW w:type="dxa" w:w="1728"/>
          </w:tcPr>
          <w:p>
            <w:r>
              <w:t xml:space="preserve"> — Southern dialect support is optional and not documented in the files.</w:t>
            </w:r>
          </w:p>
        </w:tc>
      </w:tr>
      <w:tr>
        <w:tc>
          <w:tcPr>
            <w:tcW w:type="dxa" w:w="1728"/>
          </w:tcPr>
          <w:p>
            <w:r>
              <w:t>R26</w:t>
            </w:r>
          </w:p>
        </w:tc>
        <w:tc>
          <w:tcPr>
            <w:tcW w:type="dxa" w:w="1728"/>
          </w:tcPr>
          <w:p>
            <w:r>
              <w:t>Complete the build within 12 months, followed by 6 months of operation (18-month contract total). (Header (Contract duration); Section 2, item 5)</w:t>
            </w:r>
          </w:p>
        </w:tc>
        <w:tc>
          <w:tcPr>
            <w:tcW w:type="dxa" w:w="1728"/>
          </w:tcPr>
          <w:p>
            <w:r>
              <w:t>Yes</w:t>
            </w:r>
          </w:p>
        </w:tc>
        <w:tc>
          <w:tcPr>
            <w:tcW w:type="dxa" w:w="1728"/>
          </w:tcPr>
          <w:p>
            <w:r>
              <w:rPr>
                <w:b/>
                <w:color w:val="555555"/>
              </w:rPr>
              <w:t>UNKNOWN</w:t>
            </w:r>
          </w:p>
        </w:tc>
        <w:tc>
          <w:tcPr>
            <w:tcW w:type="dxa" w:w="1728"/>
          </w:tcPr>
          <w:p>
            <w:r>
              <w:t xml:space="preserve"> — No evidence on an 12+6 month plan; P1 and P2 show similar delivery capability, and the schedule is a proposal commitment.</w:t>
            </w:r>
          </w:p>
        </w:tc>
      </w:tr>
      <w:tr>
        <w:tc>
          <w:tcPr>
            <w:tcW w:type="dxa" w:w="1728"/>
          </w:tcPr>
          <w:p>
            <w:r>
              <w:t>R27</w:t>
            </w:r>
          </w:p>
        </w:tc>
        <w:tc>
          <w:tcPr>
            <w:tcW w:type="dxa" w:w="1728"/>
          </w:tcPr>
          <w:p>
            <w:r>
              <w:t>Submit the proposal by 2026-12-01 at 13:00 Riyadh time. (Header (Submission deadline))</w:t>
            </w:r>
          </w:p>
        </w:tc>
        <w:tc>
          <w:tcPr>
            <w:tcW w:type="dxa" w:w="1728"/>
          </w:tcPr>
          <w:p>
            <w:r>
              <w:t>Yes</w:t>
            </w:r>
          </w:p>
        </w:tc>
        <w:tc>
          <w:tcPr>
            <w:tcW w:type="dxa" w:w="1728"/>
          </w:tcPr>
          <w:p>
            <w:r>
              <w:rPr>
                <w:b/>
                <w:color w:val="555555"/>
              </w:rPr>
              <w:t>UNKNOWN</w:t>
            </w:r>
          </w:p>
        </w:tc>
        <w:tc>
          <w:tcPr>
            <w:tcW w:type="dxa" w:w="1728"/>
          </w:tcPr>
          <w:p>
            <w:r>
              <w:t xml:space="preserve"> — Submission formality: about 32 days remain from 2026-10-30 to the 2026-12-01 13:00 Riyadh deadline.</w:t>
            </w:r>
          </w:p>
        </w:tc>
      </w:tr>
      <w:tr>
        <w:tc>
          <w:tcPr>
            <w:tcW w:type="dxa" w:w="1728"/>
          </w:tcPr>
          <w:p>
            <w:r>
              <w:t>R28</w:t>
            </w:r>
          </w:p>
        </w:tc>
        <w:tc>
          <w:tcPr>
            <w:tcW w:type="dxa" w:w="1728"/>
          </w:tcPr>
          <w:p>
            <w:r>
              <w:t>Submit any clarification questions by 2026-11-15. (Header (Questions deadline))</w:t>
            </w:r>
          </w:p>
        </w:tc>
        <w:tc>
          <w:tcPr>
            <w:tcW w:type="dxa" w:w="1728"/>
          </w:tcPr>
          <w:p>
            <w:r>
              <w:t>No</w:t>
            </w:r>
          </w:p>
        </w:tc>
        <w:tc>
          <w:tcPr>
            <w:tcW w:type="dxa" w:w="1728"/>
          </w:tcPr>
          <w:p>
            <w:r>
              <w:rPr>
                <w:b/>
                <w:color w:val="555555"/>
              </w:rPr>
              <w:t>UNKNOWN</w:t>
            </w:r>
          </w:p>
        </w:tc>
        <w:tc>
          <w:tcPr>
            <w:tcW w:type="dxa" w:w="1728"/>
          </w:tcPr>
          <w:p>
            <w:r>
              <w:t xml:space="preserve"> — Formality: submit any clarification questions (for example on the REST API specs and SLA) by 2026-11-15.</w:t>
            </w:r>
          </w:p>
        </w:tc>
      </w:tr>
      <w:tr>
        <w:tc>
          <w:tcPr>
            <w:tcW w:type="dxa" w:w="1728"/>
          </w:tcPr>
          <w:p>
            <w:r>
              <w:t>R29</w:t>
            </w:r>
          </w:p>
        </w:tc>
        <w:tc>
          <w:tcPr>
            <w:tcW w:type="dxa" w:w="1728"/>
          </w:tcPr>
          <w:p>
            <w:r>
              <w:t>Submit the technical proposal in a separate envelope from the financial proposal. (Section 6)</w:t>
            </w:r>
          </w:p>
        </w:tc>
        <w:tc>
          <w:tcPr>
            <w:tcW w:type="dxa" w:w="1728"/>
          </w:tcPr>
          <w:p>
            <w:r>
              <w:t>Yes</w:t>
            </w:r>
          </w:p>
        </w:tc>
        <w:tc>
          <w:tcPr>
            <w:tcW w:type="dxa" w:w="1728"/>
          </w:tcPr>
          <w:p>
            <w:r>
              <w:rPr>
                <w:b/>
                <w:color w:val="555555"/>
              </w:rPr>
              <w:t>UNKNOWN</w:t>
            </w:r>
          </w:p>
        </w:tc>
        <w:tc>
          <w:tcPr>
            <w:tcW w:type="dxa" w:w="1728"/>
          </w:tcPr>
          <w:p>
            <w:r>
              <w:t xml:space="preserve"> — Formality: prepare the technical envelope separately.</w:t>
            </w:r>
          </w:p>
        </w:tc>
      </w:tr>
      <w:tr>
        <w:tc>
          <w:tcPr>
            <w:tcW w:type="dxa" w:w="1728"/>
          </w:tcPr>
          <w:p>
            <w:r>
              <w:t>R30</w:t>
            </w:r>
          </w:p>
        </w:tc>
        <w:tc>
          <w:tcPr>
            <w:tcW w:type="dxa" w:w="1728"/>
          </w:tcPr>
          <w:p>
            <w:r>
              <w:t>Submit the financial proposal in a separate envelope from the technical proposal. (Section 6)</w:t>
            </w:r>
          </w:p>
        </w:tc>
        <w:tc>
          <w:tcPr>
            <w:tcW w:type="dxa" w:w="1728"/>
          </w:tcPr>
          <w:p>
            <w:r>
              <w:t>Yes</w:t>
            </w:r>
          </w:p>
        </w:tc>
        <w:tc>
          <w:tcPr>
            <w:tcW w:type="dxa" w:w="1728"/>
          </w:tcPr>
          <w:p>
            <w:r>
              <w:rPr>
                <w:b/>
                <w:color w:val="555555"/>
              </w:rPr>
              <w:t>UNKNOWN</w:t>
            </w:r>
          </w:p>
        </w:tc>
        <w:tc>
          <w:tcPr>
            <w:tcW w:type="dxa" w:w="1728"/>
          </w:tcPr>
          <w:p>
            <w:r>
              <w:t xml:space="preserve"> — Formality: prepare the financial envelope separately.</w:t>
            </w:r>
          </w:p>
        </w:tc>
      </w:tr>
      <w:tr>
        <w:tc>
          <w:tcPr>
            <w:tcW w:type="dxa" w:w="1728"/>
          </w:tcPr>
          <w:p>
            <w:r>
              <w:t>R31</w:t>
            </w:r>
          </w:p>
        </w:tc>
        <w:tc>
          <w:tcPr>
            <w:tcW w:type="dxa" w:w="1728"/>
          </w:tcPr>
          <w:p>
            <w:r>
              <w:t>Provide a bid bond of 1% of the bid value, valid for 90 days. (Section 6)</w:t>
            </w:r>
          </w:p>
        </w:tc>
        <w:tc>
          <w:tcPr>
            <w:tcW w:type="dxa" w:w="1728"/>
          </w:tcPr>
          <w:p>
            <w:r>
              <w:t>Yes</w:t>
            </w:r>
          </w:p>
        </w:tc>
        <w:tc>
          <w:tcPr>
            <w:tcW w:type="dxa" w:w="1728"/>
          </w:tcPr>
          <w:p>
            <w:r>
              <w:rPr>
                <w:b/>
                <w:color w:val="555555"/>
              </w:rPr>
              <w:t>UNKNOWN</w:t>
            </w:r>
          </w:p>
        </w:tc>
        <w:tc>
          <w:tcPr>
            <w:tcW w:type="dxa" w:w="1728"/>
          </w:tcPr>
          <w:p>
            <w:r>
              <w:t xml:space="preserve"> — Formality: a bid bond of about SAR 65,000 (1% of SAR 6.5M estimate) valid 90 days; no bank guarantee facility is documented, so arrange it.</w:t>
            </w:r>
          </w:p>
        </w:tc>
      </w:tr>
      <w:tr>
        <w:tc>
          <w:tcPr>
            <w:tcW w:type="dxa" w:w="1728"/>
          </w:tcPr>
          <w:p>
            <w:r>
              <w:t>R32</w:t>
            </w:r>
          </w:p>
        </w:tc>
        <w:tc>
          <w:tcPr>
            <w:tcW w:type="dxa" w:w="1728"/>
          </w:tcPr>
          <w:p>
            <w:r>
              <w:t>Provide a compliance matrix responding to every requirement in Sections 3 and 4. (Section 6)</w:t>
            </w:r>
          </w:p>
        </w:tc>
        <w:tc>
          <w:tcPr>
            <w:tcW w:type="dxa" w:w="1728"/>
          </w:tcPr>
          <w:p>
            <w:r>
              <w:t>Yes</w:t>
            </w:r>
          </w:p>
        </w:tc>
        <w:tc>
          <w:tcPr>
            <w:tcW w:type="dxa" w:w="1728"/>
          </w:tcPr>
          <w:p>
            <w:r>
              <w:rPr>
                <w:b/>
                <w:color w:val="555555"/>
              </w:rPr>
              <w:t>UNKNOWN</w:t>
            </w:r>
          </w:p>
        </w:tc>
        <w:tc>
          <w:tcPr>
            <w:tcW w:type="dxa" w:w="1728"/>
          </w:tcPr>
          <w:p>
            <w:r>
              <w:t xml:space="preserve"> — Formality: prepare a compliance matrix for all of Sections 3 and 4.</w:t>
            </w:r>
          </w:p>
        </w:tc>
      </w:tr>
      <w:tr>
        <w:tc>
          <w:tcPr>
            <w:tcW w:type="dxa" w:w="1728"/>
          </w:tcPr>
          <w:p>
            <w:r>
              <w:t>R33</w:t>
            </w:r>
          </w:p>
        </w:tc>
        <w:tc>
          <w:tcPr>
            <w:tcW w:type="dxa" w:w="1728"/>
          </w:tcPr>
          <w:p>
            <w:r>
              <w:t>Technical proposal must score at least 65% in the technical evaluation to pass (technical weighted 70%: experience 25%, methodology 25%, team 20%; financial 30%). (Section 5)</w:t>
            </w:r>
          </w:p>
        </w:tc>
        <w:tc>
          <w:tcPr>
            <w:tcW w:type="dxa" w:w="1728"/>
          </w:tcPr>
          <w:p>
            <w:r>
              <w:t>Yes</w:t>
            </w:r>
          </w:p>
        </w:tc>
        <w:tc>
          <w:tcPr>
            <w:tcW w:type="dxa" w:w="1728"/>
          </w:tcPr>
          <w:p>
            <w:r>
              <w:rPr>
                <w:b/>
                <w:color w:val="555555"/>
              </w:rPr>
              <w:t>UNKNOWN</w:t>
            </w:r>
          </w:p>
        </w:tc>
        <w:tc>
          <w:tcPr>
            <w:tcW w:type="dxa" w:w="1728"/>
          </w:tcPr>
          <w:p>
            <w:r>
              <w:t xml:space="preserve"> — Evaluation threshold: the 65% technical pass mark cannot be verified, though the experience and team evidence looks strong.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