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ellenraster"/>
        <w:tblW w:w="1544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36"/>
        <w:gridCol w:w="11309"/>
      </w:tblGrid>
      <w:tr>
        <w:trPr>
          <w:trHeight w:val="519" w:hRule="atLeast"/>
        </w:trPr>
        <w:tc>
          <w:tcPr>
            <w:tcW w:w="413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Diagnose und Förderkartei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Test ………….</w:t>
            </w:r>
          </w:p>
        </w:tc>
        <w:tc>
          <w:tcPr>
            <w:tcW w:w="1130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Name:               Klasse: 2d                   Datum: 08.11.2022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 xml:space="preserve">Geb.:                                 Förderplan: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19" w:hRule="atLeast"/>
        </w:trPr>
        <w:tc>
          <w:tcPr>
            <w:tcW w:w="413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1130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Style w:val="Tabellenraster"/>
        <w:tblW w:w="15475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737"/>
        <w:gridCol w:w="7737"/>
      </w:tblGrid>
      <w:tr>
        <w:trPr>
          <w:trHeight w:val="2640" w:hRule="atLeast"/>
        </w:trPr>
        <w:tc>
          <w:tcPr>
            <w:tcW w:w="773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u w:val="single"/>
                <w:lang w:val="de-DE" w:eastAsia="en-US" w:bidi="ar-SA"/>
              </w:rPr>
              <w:t>Ressourcen (vorhandene Kompetenzen)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773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u w:val="single"/>
                <w:lang w:val="de-DE" w:eastAsia="en-US" w:bidi="ar-SA"/>
              </w:rPr>
              <w:t>Sichtbare Schwierigkeiten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Style w:val="Tabellenraster"/>
        <w:tblW w:w="15391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58"/>
        <w:gridCol w:w="2858"/>
        <w:gridCol w:w="5625"/>
        <w:gridCol w:w="2272"/>
        <w:gridCol w:w="1778"/>
      </w:tblGrid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4"/>
                <w:szCs w:val="24"/>
                <w:lang w:val="de-DE" w:eastAsia="en-US" w:bidi="ar-SA"/>
              </w:rPr>
              <w:t>Karte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/>
                <w:bCs/>
                <w:sz w:val="22"/>
                <w:szCs w:val="22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2"/>
                <w:szCs w:val="22"/>
                <w:lang w:val="de-DE" w:eastAsia="en-US" w:bidi="ar-SA"/>
              </w:rPr>
              <w:t>Förderschwerpunkte</w:t>
            </w:r>
          </w:p>
        </w:tc>
        <w:tc>
          <w:tcPr>
            <w:tcW w:w="56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4"/>
                <w:lang w:val="de-DE" w:eastAsia="en-US" w:bidi="ar-SA"/>
              </w:rPr>
              <w:t>Fördermöglichkeiten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4"/>
                <w:lang w:val="de-DE" w:eastAsia="en-US" w:bidi="ar-SA"/>
              </w:rPr>
              <w:t>Mögliches Übungsmaterial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kern w:val="0"/>
                <w:sz w:val="24"/>
                <w:szCs w:val="24"/>
                <w:lang w:val="de-DE" w:eastAsia="en-US" w:bidi="ar-SA"/>
              </w:rPr>
              <w:t>Evaluation</w:t>
            </w:r>
          </w:p>
        </w:tc>
      </w:tr>
      <w:tr>
        <w:trPr>
          <w:trHeight w:val="539" w:hRule="atLeast"/>
        </w:trPr>
        <w:tc>
          <w:tcPr>
            <w:tcW w:w="15391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/>
                <w:bCs/>
                <w:color w:val="70AD47" w:themeColor="accent6" w:themeShade="ff" w:themeTint="ff"/>
                <w:sz w:val="22"/>
                <w:szCs w:val="22"/>
              </w:rPr>
            </w:pPr>
            <w:r>
              <w:rPr>
                <w:rFonts w:eastAsia="Calibri" w:cs="Arial" w:ascii="Arial" w:hAnsi="Arial"/>
                <w:b/>
                <w:bCs/>
                <w:color w:val="70AD47" w:themeColor="accent6" w:themeShade="ff" w:themeTint="ff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/>
                <w:bCs/>
                <w:color w:val="70AD47" w:themeColor="accent6" w:themeShade="ff" w:themeTint="ff"/>
                <w:sz w:val="22"/>
                <w:szCs w:val="22"/>
              </w:rPr>
            </w:pPr>
            <w:r>
              <w:rPr>
                <w:rFonts w:eastAsia="Calibri" w:cs="Arial" w:ascii="Arial" w:hAnsi="Arial"/>
                <w:b/>
                <w:bCs/>
                <w:color w:val="70AD47" w:themeColor="accent6" w:themeShade="ff" w:themeTint="ff"/>
                <w:kern w:val="0"/>
                <w:sz w:val="22"/>
                <w:szCs w:val="22"/>
                <w:lang w:val="de-DE" w:eastAsia="en-US" w:bidi="ar-SA"/>
              </w:rPr>
              <w:t xml:space="preserve">Zählen </w:t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Zählen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59"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  <w:lang w:val="de-DE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Plättchen zählen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Rechenplättchen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2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Zahlenfolge bis 20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59"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  <w:lang w:val="de-DE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Zahlen ordnen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Zahlenkarten bis 20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3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Zahlenfolge bis 100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23"/>
              </w:numPr>
              <w:bidi w:val="0"/>
              <w:spacing w:lineRule="auto" w:line="259" w:beforeAutospacing="0" w:before="0" w:afterAutospacing="0" w:after="0"/>
              <w:ind w:left="720" w:right="0" w:hanging="36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  <w:lang w:val="de-DE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Regelmäßigkeit des Zehnersystems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Hundertertafel zum Zerschneiden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4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Zahlenfolge bis 100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Nachbarzahlen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Zahlenband bis 100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5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Zahlenfolge bis 100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Nachbarzahlen finden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Spielkarten „Die grüne 50“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6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In Zweierschritten zählen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Zweierschritte am Rechenschiffchen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7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In Zweierschritten zählen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In Zweierschritten Würfel zählen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24 Holzwürfel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8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Zahlenfolge im bis 100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Zahlenfolgen in der Hundertertafel verstehen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Hundertertafel,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9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Zahlenfolge im bis 100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Zählen in Schritten in der Hundertertafel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Hundertertafel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10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Zahlen Ordnen bis 20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sz w:val="22"/>
                <w:szCs w:val="22"/>
                <w:lang w:val="de-D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 xml:space="preserve">Zahlenkarten bis 20 auf dem Rechenstrich ordnen </w:t>
              <w:br/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Zahlenkarten bis 20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11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Zahlen ordnen bis 100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Ausgewählte Zahlenkarten bis 100 auf dem Rechenstrich ordnen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Zahlenkarten bis 100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15391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val="FFD966" w:themeColor="accent4" w:themeShade="ff" w:themeTint="99"/>
                <w:sz w:val="22"/>
                <w:szCs w:val="22"/>
              </w:rPr>
            </w:pPr>
            <w:r>
              <w:rPr>
                <w:rFonts w:eastAsia="Calibri" w:cs="Arial" w:ascii="Arial" w:hAnsi="Arial"/>
                <w:color w:val="FFD966" w:themeColor="accent4" w:themeShade="ff" w:themeTint="99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/>
                <w:bCs/>
                <w:color w:val="FFD966" w:themeColor="accent4" w:themeShade="ff" w:themeTint="99"/>
                <w:sz w:val="22"/>
                <w:szCs w:val="22"/>
              </w:rPr>
            </w:pPr>
            <w:r>
              <w:rPr>
                <w:rFonts w:eastAsia="Calibri" w:cs="Arial" w:ascii="Arial" w:hAnsi="Arial"/>
                <w:b/>
                <w:bCs/>
                <w:color w:val="FFD966" w:themeColor="accent4" w:themeShade="ff" w:themeTint="99"/>
                <w:kern w:val="0"/>
                <w:sz w:val="22"/>
                <w:szCs w:val="22"/>
                <w:lang w:val="de-DE" w:eastAsia="en-US" w:bidi="ar-SA"/>
              </w:rPr>
              <w:t>Zahlzerlegung und schnelles Sehen</w:t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Zahlzerlegung ZR 10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  <w:lang w:val="de-DE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Zerlegungen 2 bis 9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Vorlage, Rechenplättchen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2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Zahlzerlegung ZR 10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  <w:lang w:val="de-DE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Zerlegungen 2 bis 9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Rechenschiffchen, Stift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3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Zahlzerlegung ZR 10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  <w:lang w:val="de-DE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Alle Zerlegunen der 10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Stift, Hände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4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Zahlzerlegung ZR 20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Alle Zerlegungen der 20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Stift und Tuch. Hände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5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Zahlzerlegung ZR 20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  <w:lang w:val="de-DE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 xml:space="preserve">Zahlzerlegung bis 12 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Spiel: „Klapp die Karten“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6</w:t>
            </w:r>
          </w:p>
        </w:tc>
        <w:tc>
          <w:tcPr>
            <w:tcW w:w="28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Schnelles Sehen ZR 10</w:t>
            </w:r>
          </w:p>
        </w:tc>
        <w:tc>
          <w:tcPr>
            <w:tcW w:w="5625" w:type="dxa"/>
            <w:tcBorders>
              <w:top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  <w:lang w:val="de-DE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Bewusstes und schnelles Sehen</w:t>
            </w:r>
          </w:p>
        </w:tc>
        <w:tc>
          <w:tcPr>
            <w:tcW w:w="2272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Wendeplättchen</w:t>
            </w:r>
          </w:p>
        </w:tc>
        <w:tc>
          <w:tcPr>
            <w:tcW w:w="177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7</w:t>
            </w:r>
          </w:p>
        </w:tc>
        <w:tc>
          <w:tcPr>
            <w:tcW w:w="28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Schnelles sehen ZR 10</w:t>
            </w:r>
          </w:p>
        </w:tc>
        <w:tc>
          <w:tcPr>
            <w:tcW w:w="5625" w:type="dxa"/>
            <w:tcBorders>
              <w:top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  <w:lang w:val="de-DE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Zahldarstellung bis 10 — bewusstes Sehen</w:t>
            </w:r>
          </w:p>
        </w:tc>
        <w:tc>
          <w:tcPr>
            <w:tcW w:w="2272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Wendeplättchen</w:t>
            </w:r>
          </w:p>
        </w:tc>
        <w:tc>
          <w:tcPr>
            <w:tcW w:w="177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8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Schnelles sehen ZR 20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20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Zahldarstellung bis 20 — bewusstes Sehen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Wendeplättchen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9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Zahlzerlegung ZR 20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Zahlzerlegung am Rechenschiffchen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10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Schnelles sehen ZR 20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18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Zeichnen des Rechenschiffchens aus der Erinnerung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Rechenschiffchen, Tuch, Papier, Stift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11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Schnelles sehen ZR 20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17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Schnelles Sehen am Rechenschiffchen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sz w:val="22"/>
                <w:szCs w:val="22"/>
                <w:lang w:val="de-D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Rechenschiffchen, Tuch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12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Schnelles sehen ZR 20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Würfelburg“: Gruppen sehen und addieren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sz w:val="22"/>
                <w:szCs w:val="22"/>
                <w:lang w:val="de-D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40 Holzwürfel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13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Schnelles sehen ZR 100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15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Wie viele im Hunderterpunktefeld?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sz w:val="22"/>
                <w:szCs w:val="22"/>
                <w:lang w:val="de-D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Hunderterpunktefeld, Abdeckwinkel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14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Zahlzerlegung ZR 20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before="0" w:after="0"/>
              <w:contextualSpacing/>
              <w:jc w:val="left"/>
              <w:rPr>
                <w:sz w:val="22"/>
                <w:szCs w:val="22"/>
                <w:lang w:val="de-D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 xml:space="preserve">Ergänzen bis 10 mit den Fingern 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Finger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15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Zahlzerlegung ZR 100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14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Ergänzen bis 100 — Zerlegung der 100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sz w:val="22"/>
                <w:szCs w:val="22"/>
                <w:lang w:val="de-D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Hunderterpunktefeld und Abdeckwinkel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15391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val="5B9BD5" w:themeColor="accent5" w:themeShade="ff" w:themeTint="ff"/>
                <w:sz w:val="22"/>
                <w:szCs w:val="22"/>
              </w:rPr>
            </w:pPr>
            <w:r>
              <w:rPr>
                <w:rFonts w:eastAsia="Calibri" w:cs="Arial" w:ascii="Arial" w:hAnsi="Arial"/>
                <w:color w:val="5B9BD5" w:themeColor="accent5" w:themeShade="ff" w:themeTint="ff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color w:val="5B9BD5" w:themeColor="accent5" w:themeShade="ff" w:themeTint="ff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b/>
                <w:bCs/>
                <w:color w:val="5B9BD5" w:themeColor="accent5" w:themeShade="ff" w:themeTint="ff"/>
                <w:kern w:val="0"/>
                <w:sz w:val="22"/>
                <w:szCs w:val="22"/>
                <w:lang w:val="de-DE" w:eastAsia="en-US" w:bidi="ar-SA"/>
              </w:rPr>
              <w:t>Stellenwerte verstehen und Zahlen lesen und schreiben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color w:val="5B9BD5" w:themeColor="accent5" w:themeShade="ff" w:themeTint="ff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b/>
                <w:bCs/>
                <w:color w:val="5B9BD5" w:themeColor="accent5" w:themeShade="ff" w:themeTint="ff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Zehnerbündelung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13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Bündeln bis 100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100 Holzwürfel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2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Stellenwertsystem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12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Zahldarstellung mit Mehrsystemblöcken (1)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Mehrsystemblöcke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3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Stellenwertsystem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11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Zahldarstellung mit Mehrsystemblöcken (2)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Mehrsystemblöcke, Stellentafel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4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Stellenwertsystem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left"/>
              <w:rPr>
                <w:sz w:val="22"/>
                <w:szCs w:val="22"/>
                <w:lang w:val="de-D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 xml:space="preserve">Zahlen hören und schreiben bis 100 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Mehrsystemblöcke, Stellentafel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5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Stellenwertsystem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Kraft der 10 (Spiel: „Zehner-Einer-Quiz“)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-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6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Stellenwertsystem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numPr>
                <w:ilvl w:val="0"/>
                <w:numId w:val="9"/>
              </w:numPr>
              <w:spacing w:before="0" w:after="0"/>
              <w:contextualSpacing/>
              <w:jc w:val="left"/>
              <w:rPr>
                <w:rFonts w:ascii="Calibri" w:hAnsi="Calibri" w:eastAsia="Calibri" w:cs="Calibri" w:asciiTheme="minorAscii" w:cstheme="minorAscii" w:eastAsiaTheme="minorAscii" w:hAnsiTheme="minorAscii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de-DE" w:eastAsia="en-US" w:bidi="ar-SA"/>
              </w:rPr>
              <w:t>Zahlen in die Hundertertafel schreiben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Hundertertafel (aus-gefüllt und teilweise aufgefüllt)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15391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val="7030A0"/>
                <w:sz w:val="22"/>
                <w:szCs w:val="22"/>
              </w:rPr>
            </w:pPr>
            <w:r>
              <w:rPr>
                <w:rFonts w:eastAsia="Calibri" w:cs="Arial" w:ascii="Arial" w:hAnsi="Arial"/>
                <w:color w:val="7030A0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color w:val="7030A0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b/>
                <w:bCs/>
                <w:color w:val="7030A0"/>
                <w:kern w:val="0"/>
                <w:sz w:val="22"/>
                <w:szCs w:val="22"/>
                <w:lang w:val="de-DE" w:eastAsia="en-US" w:bidi="ar-SA"/>
              </w:rPr>
              <w:t>Grundstrategien der Addition und Subtraktion</w:t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Schnelles sehen</w:t>
            </w:r>
          </w:p>
        </w:tc>
        <w:tc>
          <w:tcPr>
            <w:tcW w:w="56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„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Fingerblitz“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Finger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2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Addition und Subtraktion im ZR 10</w:t>
            </w:r>
          </w:p>
        </w:tc>
        <w:tc>
          <w:tcPr>
            <w:tcW w:w="56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Erstes Rechnen (Finger klappen)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Finger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3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Mehr/weniger</w:t>
            </w:r>
          </w:p>
        </w:tc>
        <w:tc>
          <w:tcPr>
            <w:tcW w:w="56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1 oder 2 mehr/weniger (Finger klappen)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Finger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4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Mehr/weniger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Mehr/weniger (Spiel: „Hamstern“)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Spielvorlage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5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Mehr/weniger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1 oder 2 mehr/weniger (Spiel: Würfeln)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Würfel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6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Mehr/weniger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Gegensinniges Verändern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Rechenplättchen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7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Verdoppeln im ZR 10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Verdoppeln mit dem Spiegel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Rechenplättchen, Spiegel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8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Verdoppeln im ZR 20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Verdoppeln mit den Fingern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Finger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9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Verdoppeln im ZR 20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Verdoppeln am Rechenschiffchen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Rechneschiffchen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10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Verdoppeln im ZR 100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 xml:space="preserve"> 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Verdoppeln von Zehnerzahlen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Zehnerstreifen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11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Stellenwertsystem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Rechnen mit Zehnerzahlen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Zehnerstreifen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12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Halbieren im ZR 20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 xml:space="preserve">Halbieren bis 20 </w:t>
            </w:r>
            <w:r>
              <w:rPr>
                <w:kern w:val="0"/>
                <w:sz w:val="22"/>
                <w:szCs w:val="22"/>
                <w:lang w:val="de-DE" w:eastAsia="en-US" w:bidi="ar-SA"/>
              </w:rPr>
              <w:br/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Punktematerial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13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Halbieren im ZR 20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 xml:space="preserve">Halbieren am Rechenschiffchen </w:t>
            </w:r>
            <w:r>
              <w:rPr>
                <w:kern w:val="0"/>
                <w:sz w:val="22"/>
                <w:szCs w:val="22"/>
                <w:lang w:val="de-DE" w:eastAsia="en-US" w:bidi="ar-SA"/>
              </w:rPr>
              <w:br/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14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Halbieren im ZR 100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Halbieren von Zehnerzahlen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Punktematerial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15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Rechenstrategien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Gerade und ungerade Zahlen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Rechenschiffchen, Tabelle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16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Rechenstrategien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Geschicktes Rechnen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3 Spielwürfel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17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Rechenstrategien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Geschicktes Rechnen (Spiel: „Würfelraten“)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3 Spielwürfel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18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Gleichungen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 xml:space="preserve">Gleichungen — Was ist gleich? </w:t>
            </w:r>
            <w:r>
              <w:rPr>
                <w:kern w:val="0"/>
                <w:sz w:val="22"/>
                <w:szCs w:val="22"/>
                <w:lang w:val="de-DE" w:eastAsia="en-US" w:bidi="ar-SA"/>
              </w:rPr>
              <w:br/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Waage, Holzwürfel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19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Tauschaufgaben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 xml:space="preserve">Tauschaufgaben am Rechenschiffchen 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20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Zehneranalogien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Rechnen mit Zehnerzahlen (10 + 3 und 10 — 7)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21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Zehneranalogien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Rechnen mit Zehnerzahlen bis 100 (30 + 7 und 80 — 3)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Punktematerial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22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Zehneranalogien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Zehner Analogien (Spiel: „Aufgabenpaare finden“)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Karten mit Aufgabenpaaren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23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  <w:t>Zehneranalogien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Zehner-Analogien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-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15391" w:type="dxa"/>
            <w:gridSpan w:val="5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val="A6A6A6" w:themeColor="background1" w:themeShade="a6" w:themeTint="ff"/>
                <w:sz w:val="22"/>
                <w:szCs w:val="22"/>
              </w:rPr>
            </w:pPr>
            <w:r>
              <w:rPr>
                <w:rFonts w:eastAsia="Calibri" w:cs="Arial" w:ascii="Arial" w:hAnsi="Arial"/>
                <w:color w:val="A6A6A6" w:themeColor="background1" w:themeShade="a6" w:themeTint="ff"/>
                <w:kern w:val="0"/>
                <w:sz w:val="22"/>
                <w:szCs w:val="22"/>
                <w:lang w:val="de-DE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b/>
                <w:b/>
                <w:bCs/>
                <w:color w:val="A6A6A6" w:themeColor="background1" w:themeShade="a6" w:themeTint="ff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b/>
                <w:bCs/>
                <w:color w:val="A6A6A6" w:themeColor="background1" w:themeShade="a6" w:themeTint="ff"/>
                <w:kern w:val="0"/>
                <w:sz w:val="22"/>
                <w:szCs w:val="22"/>
                <w:lang w:val="de-DE" w:eastAsia="en-US" w:bidi="ar-SA"/>
              </w:rPr>
              <w:t>Kombinierte Strategien der Addition und Subtraktion</w:t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sz w:val="22"/>
                <w:szCs w:val="22"/>
                <w:lang w:val="de-DE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 xml:space="preserve">Verdoppeln und Nachbaraufgaben 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Rechenschiffchen,  Handlungskarten, Verdopplungsaufgaben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2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Verdoppeln/Halbieren +/— 1 (oder 2)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3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Kraft der 5 und Ableitungen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Rechenschiffchen,  Handlungskarten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4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Kraft der 5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Rechenschiffchen, Aufgabenkarten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5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Addition und Subtraktion von 10 (4 + 10 und 14 — 10)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6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Kraft der 10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Aufgabenkarten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7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Gegensinniges Verändern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8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Teilschrittverfahren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Rechenschiffchen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9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Zahlenmauern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Zahlenmauern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10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Rechendreiecke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Rechendreiecke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11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Additionsaufgaben bis 100 (Zahlenblick schulen)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Punktematerial, Handlungskarten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12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Addition mit Übergang (27 + 8)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Punktematerial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13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Subtraktionsaufgaben bis 100 (Zahlenblick schulen)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Punktematerial, Handlungskarten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14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Subtraktion mit Übergang (44 — 9)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Punktematerial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15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Addition zweistelliger Zahlen mit Übergang (55 + 38)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Punktematerial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16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Subtraktion zweistelliger Zahlen mit Übergang (64 — 28)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Punktematerial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17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Verdoppeln zweistelliger Zahlen bis 100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Punktematerial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18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Halbieren zweistelliger Zahlen bis 100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Punktematerial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19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Spiel: „Genau daneben“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Zahlenfeld, Würfel, Wendeplättchen, Spielfigur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  <w:tr>
        <w:trPr>
          <w:trHeight w:val="539" w:hRule="atLeast"/>
        </w:trPr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de-DE" w:eastAsia="en-US" w:bidi="ar-SA"/>
              </w:rPr>
              <w:t>20</w:t>
            </w:r>
          </w:p>
        </w:tc>
        <w:tc>
          <w:tcPr>
            <w:tcW w:w="28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2"/>
                <w:szCs w:val="22"/>
                <w:lang w:val="de-DE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Kombinierte Rechenstrategien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  <w:tc>
          <w:tcPr>
            <w:tcW w:w="5625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de-DE" w:eastAsia="en-US" w:bidi="ar-SA"/>
              </w:rPr>
              <w:t>Geschicktes Rechnen am Zahlenfeld</w:t>
            </w:r>
          </w:p>
        </w:tc>
        <w:tc>
          <w:tcPr>
            <w:tcW w:w="227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eastAsia="en-US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de-DE" w:eastAsia="en-US" w:bidi="ar-SA"/>
              </w:rPr>
              <w:t>Zahlenfeld</w:t>
            </w:r>
          </w:p>
        </w:tc>
        <w:tc>
          <w:tcPr>
            <w:tcW w:w="177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de-DE" w:eastAsia="en-US" w:bidi="ar-SA"/>
              </w:rPr>
            </w:r>
          </w:p>
        </w:tc>
      </w:tr>
    </w:tbl>
    <w:p>
      <w:pPr>
        <w:pStyle w:val="Normal"/>
        <w:widowControl/>
        <w:bidi w:val="0"/>
        <w:spacing w:before="0" w:after="160"/>
        <w:jc w:val="left"/>
        <w:rPr/>
      </w:pPr>
      <w:r>
        <w:rPr/>
      </w:r>
    </w:p>
    <w:sectPr>
      <w:footerReference w:type="default" r:id="rId2"/>
      <w:type w:val="nextPage"/>
      <w:pgSz w:orient="landscape" w:w="16838" w:h="11906"/>
      <w:pgMar w:left="720" w:right="720" w:gutter="0" w:header="0" w:top="720" w:footer="708" w:bottom="76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870996692"/>
    </w:sdtPr>
    <w:sdtContent>
      <w:p>
        <w:pPr>
          <w:pStyle w:val="Fuzeile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uzeile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Kopfzeile"/>
    <w:uiPriority w:val="99"/>
    <w:qFormat/>
    <w:rsid w:val="00927806"/>
    <w:rPr/>
  </w:style>
  <w:style w:type="character" w:styleId="FuzeileZchn" w:customStyle="1">
    <w:name w:val="Fußzeile Zchn"/>
    <w:basedOn w:val="DefaultParagraphFont"/>
    <w:link w:val="Fuzeile"/>
    <w:uiPriority w:val="99"/>
    <w:qFormat/>
    <w:rsid w:val="00927806"/>
    <w:rPr/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Aufzhlung">
    <w:name w:val="List"/>
    <w:basedOn w:val="Textkrper"/>
    <w:pPr/>
    <w:rPr>
      <w:rFonts w:cs="Lucida Sans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KopfundFuzeile">
    <w:name w:val="Kopf- und Fußzeile"/>
    <w:basedOn w:val="Normal"/>
    <w:qFormat/>
    <w:pPr/>
    <w:rPr/>
  </w:style>
  <w:style w:type="paragraph" w:styleId="Kopfzeile">
    <w:name w:val="Header"/>
    <w:basedOn w:val="Normal"/>
    <w:link w:val="KopfzeileZchn"/>
    <w:uiPriority w:val="99"/>
    <w:unhideWhenUsed/>
    <w:rsid w:val="00927806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Fuzeile">
    <w:name w:val="Footer"/>
    <w:basedOn w:val="Normal"/>
    <w:link w:val="FuzeileZchn"/>
    <w:uiPriority w:val="99"/>
    <w:unhideWhenUsed/>
    <w:rsid w:val="00927806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ListParagraph">
    <w:name w:val="List Paragraph"/>
    <w:basedOn w:val="Normal"/>
    <w:uiPriority w:val="34"/>
    <w:qFormat/>
    <w:rsid w:val="00847a7d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92780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glossaryDocument" Target="glossary/document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3d43f-735b-4a1b-8deb-d3cf48c3c485}"/>
      </w:docPartPr>
      <w:docPartBody>
        <w:p w14:paraId="3546E20D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20B35DDF7DF6F4B9748AC7988568603" ma:contentTypeVersion="2" ma:contentTypeDescription="Ein neues Dokument erstellen." ma:contentTypeScope="" ma:versionID="fac93c99fa55bc94cfe87f55fad0eb6b">
  <xsd:schema xmlns:xsd="http://www.w3.org/2001/XMLSchema" xmlns:xs="http://www.w3.org/2001/XMLSchema" xmlns:p="http://schemas.microsoft.com/office/2006/metadata/properties" xmlns:ns2="38cb94dc-f931-4f77-bc71-11d8ac61ae8f" targetNamespace="http://schemas.microsoft.com/office/2006/metadata/properties" ma:root="true" ma:fieldsID="ce89bea27ca2260dc2b6ee904e4e47a2" ns2:_="">
    <xsd:import namespace="38cb94dc-f931-4f77-bc71-11d8ac61ae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b94dc-f931-4f77-bc71-11d8ac61a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DCAE26-D343-458A-8E5A-B1A12FD63897}"/>
</file>

<file path=customXml/itemProps2.xml><?xml version="1.0" encoding="utf-8"?>
<ds:datastoreItem xmlns:ds="http://schemas.openxmlformats.org/officeDocument/2006/customXml" ds:itemID="{9712465C-2034-4E9D-BA37-9334DE4F40AE}"/>
</file>

<file path=customXml/itemProps3.xml><?xml version="1.0" encoding="utf-8"?>
<ds:datastoreItem xmlns:ds="http://schemas.openxmlformats.org/officeDocument/2006/customXml" ds:itemID="{2187B1FB-C487-4D9E-9DE8-BA327DF94A58}"/>
</file>

<file path=docProps/app.xml><?xml version="1.0" encoding="utf-8"?>
<Properties xmlns="http://schemas.openxmlformats.org/officeDocument/2006/extended-properties" xmlns:vt="http://schemas.openxmlformats.org/officeDocument/2006/docPropsVTypes">
  <Template>Förderplan Melissa.dotx</Template>
  <TotalTime>5</TotalTime>
  <Application>LibreOffice/7.2.5.2$Windows_X86_64 LibreOffice_project/499f9727c189e6ef3471021d6132d4c694f357e5</Application>
  <AppVersion>15.0000</AppVersion>
  <Pages>6</Pages>
  <Words>783</Words>
  <Characters>5413</Characters>
  <CharactersWithSpaces>5937</CharactersWithSpaces>
  <Paragraphs>318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2020-10-25T07:15:00Z</dcterms:created>
  <dc:creator>Admin</dc:creator>
  <dc:description/>
  <dc:language>de-DE</dc:language>
  <cp:lastModifiedBy/>
  <dcterms:modified xsi:type="dcterms:W3CDTF">2022-11-16T08:27:40Z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0x010100520B35DDF7DF6F4B9748AC7988568603</vt:lpwstr>
  </property>
</Properties>
</file>