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52B8" w14:textId="77777777" w:rsidR="00667017" w:rsidRPr="00667017" w:rsidRDefault="00667017" w:rsidP="00667017">
      <w:r w:rsidRPr="00667017">
        <w:rPr>
          <w:b/>
          <w:bCs/>
        </w:rPr>
        <w:t>Title:</w:t>
      </w:r>
      <w:r w:rsidRPr="00667017">
        <w:t xml:space="preserve"> LMS Dashboard Analysis Report</w:t>
      </w:r>
    </w:p>
    <w:p w14:paraId="2F48211B" w14:textId="77777777" w:rsidR="00667017" w:rsidRPr="00667017" w:rsidRDefault="00000000" w:rsidP="00667017">
      <w:r>
        <w:pict w14:anchorId="11E56909">
          <v:rect id="_x0000_i1025" style="width:0;height:1.5pt" o:hralign="center" o:hrstd="t" o:hr="t" fillcolor="#a0a0a0" stroked="f"/>
        </w:pict>
      </w:r>
    </w:p>
    <w:p w14:paraId="7D2ACE7D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1. Introduction</w:t>
      </w:r>
    </w:p>
    <w:p w14:paraId="6E408EC3" w14:textId="77777777" w:rsidR="00667017" w:rsidRPr="00667017" w:rsidRDefault="00667017" w:rsidP="00667017">
      <w:r w:rsidRPr="00667017">
        <w:t xml:space="preserve">This report provides an analysis of employee learning engagement, training compliance, and performance trends using data visualized in Tableau. The dataset includes employee information such as role, location, </w:t>
      </w:r>
      <w:proofErr w:type="spellStart"/>
      <w:r w:rsidRPr="00667017">
        <w:t>enrollment</w:t>
      </w:r>
      <w:proofErr w:type="spellEnd"/>
      <w:r w:rsidRPr="00667017">
        <w:t xml:space="preserve"> dates, last access dates, </w:t>
      </w:r>
      <w:proofErr w:type="spellStart"/>
      <w:r w:rsidRPr="00667017">
        <w:t>SkillScore</w:t>
      </w:r>
      <w:proofErr w:type="spellEnd"/>
      <w:r w:rsidRPr="00667017">
        <w:t xml:space="preserve"> ratings, and device usage.</w:t>
      </w:r>
      <w:r w:rsidRPr="00667017">
        <w:br/>
        <w:t>The goal is to monitor compliance with mandatory training, identify overdue trends, measure time spent on courses, and evaluate performance indicators such as skill gaps and review scores.</w:t>
      </w:r>
    </w:p>
    <w:p w14:paraId="3DB1CAB2" w14:textId="77777777" w:rsidR="00667017" w:rsidRPr="00667017" w:rsidRDefault="00000000" w:rsidP="00667017">
      <w:r>
        <w:pict w14:anchorId="28FB2F20">
          <v:rect id="_x0000_i1026" style="width:0;height:1.5pt" o:hralign="center" o:hrstd="t" o:hr="t" fillcolor="#a0a0a0" stroked="f"/>
        </w:pict>
      </w:r>
    </w:p>
    <w:p w14:paraId="68B9F23E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2. Compliance &amp; Training Summary</w:t>
      </w:r>
    </w:p>
    <w:p w14:paraId="408F1DB9" w14:textId="77777777" w:rsidR="00667017" w:rsidRPr="00667017" w:rsidRDefault="00667017" w:rsidP="00667017">
      <w:pPr>
        <w:numPr>
          <w:ilvl w:val="0"/>
          <w:numId w:val="1"/>
        </w:numPr>
      </w:pPr>
      <w:r w:rsidRPr="00667017">
        <w:rPr>
          <w:b/>
          <w:bCs/>
        </w:rPr>
        <w:t>% of Completed Mandatory Courses</w:t>
      </w:r>
      <w:r w:rsidRPr="00667017">
        <w:br/>
        <w:t>We calculated completion percentages for each team and role by dividing completed mandatory courses by total mandatory courses.</w:t>
      </w:r>
      <w:r w:rsidRPr="00667017">
        <w:br/>
      </w:r>
      <w:r w:rsidRPr="00667017">
        <w:rPr>
          <w:b/>
          <w:bCs/>
        </w:rPr>
        <w:t>Key findings:</w:t>
      </w:r>
    </w:p>
    <w:p w14:paraId="4D741CF2" w14:textId="77777777" w:rsidR="00667017" w:rsidRPr="00667017" w:rsidRDefault="00667017" w:rsidP="00667017">
      <w:pPr>
        <w:numPr>
          <w:ilvl w:val="1"/>
          <w:numId w:val="1"/>
        </w:numPr>
      </w:pPr>
      <w:r w:rsidRPr="00667017">
        <w:t xml:space="preserve">IT team: </w:t>
      </w:r>
      <w:r w:rsidRPr="00667017">
        <w:rPr>
          <w:b/>
          <w:bCs/>
        </w:rPr>
        <w:t>82.79%</w:t>
      </w:r>
      <w:r w:rsidRPr="00667017">
        <w:t xml:space="preserve"> completion</w:t>
      </w:r>
    </w:p>
    <w:p w14:paraId="7A87487A" w14:textId="77777777" w:rsidR="00667017" w:rsidRPr="00667017" w:rsidRDefault="00667017" w:rsidP="00667017">
      <w:pPr>
        <w:numPr>
          <w:ilvl w:val="1"/>
          <w:numId w:val="1"/>
        </w:numPr>
      </w:pPr>
      <w:r w:rsidRPr="00667017">
        <w:t xml:space="preserve">Facilities team: </w:t>
      </w:r>
      <w:r w:rsidRPr="00667017">
        <w:rPr>
          <w:b/>
          <w:bCs/>
        </w:rPr>
        <w:t>81.52%</w:t>
      </w:r>
    </w:p>
    <w:p w14:paraId="32F464FC" w14:textId="77777777" w:rsidR="00667017" w:rsidRPr="00667017" w:rsidRDefault="00667017" w:rsidP="00667017">
      <w:pPr>
        <w:numPr>
          <w:ilvl w:val="1"/>
          <w:numId w:val="1"/>
        </w:numPr>
      </w:pPr>
      <w:r w:rsidRPr="00667017">
        <w:t xml:space="preserve">Repairs: </w:t>
      </w:r>
      <w:r w:rsidRPr="00667017">
        <w:rPr>
          <w:b/>
          <w:bCs/>
        </w:rPr>
        <w:t>79.55%</w:t>
      </w:r>
    </w:p>
    <w:p w14:paraId="64D2EA57" w14:textId="77777777" w:rsidR="00667017" w:rsidRPr="00667017" w:rsidRDefault="00667017" w:rsidP="00667017">
      <w:pPr>
        <w:numPr>
          <w:ilvl w:val="0"/>
          <w:numId w:val="1"/>
        </w:numPr>
      </w:pPr>
      <w:r w:rsidRPr="00667017">
        <w:rPr>
          <w:b/>
          <w:bCs/>
        </w:rPr>
        <w:t>Overdue Training Trends</w:t>
      </w:r>
      <w:r w:rsidRPr="00667017">
        <w:br/>
        <w:t xml:space="preserve">Trend analysis was performed on overdue completion status by </w:t>
      </w:r>
      <w:proofErr w:type="spellStart"/>
      <w:r w:rsidRPr="00667017">
        <w:t>enrollment</w:t>
      </w:r>
      <w:proofErr w:type="spellEnd"/>
      <w:r w:rsidRPr="00667017">
        <w:t xml:space="preserve"> date. This shows patterns over time and year-over-year changes.</w:t>
      </w:r>
      <w:r w:rsidRPr="00667017">
        <w:br/>
      </w:r>
      <w:r w:rsidRPr="00667017">
        <w:rPr>
          <w:b/>
          <w:bCs/>
        </w:rPr>
        <w:t>Highlights:</w:t>
      </w:r>
    </w:p>
    <w:p w14:paraId="0A7500CC" w14:textId="77777777" w:rsidR="00667017" w:rsidRPr="00667017" w:rsidRDefault="00667017" w:rsidP="00667017">
      <w:pPr>
        <w:numPr>
          <w:ilvl w:val="1"/>
          <w:numId w:val="1"/>
        </w:numPr>
      </w:pPr>
      <w:r w:rsidRPr="00667017">
        <w:t xml:space="preserve">Monthly: Peak in June with </w:t>
      </w:r>
      <w:r w:rsidRPr="00667017">
        <w:rPr>
          <w:b/>
          <w:bCs/>
        </w:rPr>
        <w:t>9 overdue courses</w:t>
      </w:r>
    </w:p>
    <w:p w14:paraId="45AC48E2" w14:textId="77777777" w:rsidR="00667017" w:rsidRPr="00667017" w:rsidRDefault="00667017" w:rsidP="00667017">
      <w:pPr>
        <w:numPr>
          <w:ilvl w:val="1"/>
          <w:numId w:val="1"/>
        </w:numPr>
      </w:pPr>
      <w:r w:rsidRPr="00667017">
        <w:t xml:space="preserve">Year-over-Year: Highest overdue count in </w:t>
      </w:r>
      <w:r w:rsidRPr="00667017">
        <w:rPr>
          <w:b/>
          <w:bCs/>
        </w:rPr>
        <w:t>2022 (62 employees)</w:t>
      </w:r>
    </w:p>
    <w:p w14:paraId="7D74D778" w14:textId="77777777" w:rsidR="00667017" w:rsidRPr="00667017" w:rsidRDefault="00000000" w:rsidP="00667017">
      <w:r>
        <w:pict w14:anchorId="474BA296">
          <v:rect id="_x0000_i1027" style="width:0;height:1.5pt" o:hralign="center" o:hrstd="t" o:hr="t" fillcolor="#a0a0a0" stroked="f"/>
        </w:pict>
      </w:r>
    </w:p>
    <w:p w14:paraId="067B20D7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3. Performance Analysis</w:t>
      </w:r>
    </w:p>
    <w:p w14:paraId="3CA79087" w14:textId="77777777" w:rsidR="00667017" w:rsidRPr="00667017" w:rsidRDefault="00667017" w:rsidP="00667017">
      <w:pPr>
        <w:numPr>
          <w:ilvl w:val="0"/>
          <w:numId w:val="2"/>
        </w:numPr>
      </w:pPr>
      <w:proofErr w:type="spellStart"/>
      <w:r w:rsidRPr="00667017">
        <w:rPr>
          <w:b/>
          <w:bCs/>
        </w:rPr>
        <w:t>SkillScore</w:t>
      </w:r>
      <w:proofErr w:type="spellEnd"/>
      <w:r w:rsidRPr="00667017">
        <w:rPr>
          <w:b/>
          <w:bCs/>
        </w:rPr>
        <w:t xml:space="preserve"> Distribution Across Teams</w:t>
      </w:r>
      <w:r w:rsidRPr="00667017">
        <w:br/>
        <w:t>Three categories: Communication, Teamwork, Tech Efficiency</w:t>
      </w:r>
      <w:r w:rsidRPr="00667017">
        <w:br/>
      </w:r>
      <w:r w:rsidRPr="00667017">
        <w:rPr>
          <w:b/>
          <w:bCs/>
        </w:rPr>
        <w:t>Examples:</w:t>
      </w:r>
    </w:p>
    <w:p w14:paraId="03605C45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t xml:space="preserve">Communication: Facilities team scored </w:t>
      </w:r>
      <w:r w:rsidRPr="00667017">
        <w:rPr>
          <w:b/>
          <w:bCs/>
        </w:rPr>
        <w:t>3.11</w:t>
      </w:r>
      <w:r w:rsidRPr="00667017">
        <w:t xml:space="preserve"> (highest), Housing scored </w:t>
      </w:r>
      <w:r w:rsidRPr="00667017">
        <w:rPr>
          <w:b/>
          <w:bCs/>
        </w:rPr>
        <w:t>2.92</w:t>
      </w:r>
      <w:r w:rsidRPr="00667017">
        <w:t xml:space="preserve"> (lowest).</w:t>
      </w:r>
    </w:p>
    <w:p w14:paraId="22C072A6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t xml:space="preserve">Teamwork: IT scored </w:t>
      </w:r>
      <w:r w:rsidRPr="00667017">
        <w:rPr>
          <w:b/>
          <w:bCs/>
        </w:rPr>
        <w:t>3.05</w:t>
      </w:r>
      <w:r w:rsidRPr="00667017">
        <w:t xml:space="preserve">, Housing scored </w:t>
      </w:r>
      <w:r w:rsidRPr="00667017">
        <w:rPr>
          <w:b/>
          <w:bCs/>
        </w:rPr>
        <w:t>2.94</w:t>
      </w:r>
      <w:r w:rsidRPr="00667017">
        <w:t>.</w:t>
      </w:r>
    </w:p>
    <w:p w14:paraId="4BFB0AE4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t xml:space="preserve">Tech Efficiency: Finance scored </w:t>
      </w:r>
      <w:r w:rsidRPr="00667017">
        <w:rPr>
          <w:b/>
          <w:bCs/>
        </w:rPr>
        <w:t>3.16</w:t>
      </w:r>
      <w:r w:rsidRPr="00667017">
        <w:t xml:space="preserve"> (highest), Support Specialist role scored </w:t>
      </w:r>
      <w:r w:rsidRPr="00667017">
        <w:rPr>
          <w:b/>
          <w:bCs/>
        </w:rPr>
        <w:t>2.86</w:t>
      </w:r>
      <w:r w:rsidRPr="00667017">
        <w:t xml:space="preserve"> (lowest).</w:t>
      </w:r>
    </w:p>
    <w:p w14:paraId="78DDBCB1" w14:textId="77777777" w:rsidR="00667017" w:rsidRPr="00667017" w:rsidRDefault="00667017" w:rsidP="00667017">
      <w:pPr>
        <w:numPr>
          <w:ilvl w:val="0"/>
          <w:numId w:val="2"/>
        </w:numPr>
      </w:pPr>
      <w:proofErr w:type="spellStart"/>
      <w:r w:rsidRPr="00667017">
        <w:rPr>
          <w:b/>
          <w:bCs/>
        </w:rPr>
        <w:t>SkillScore</w:t>
      </w:r>
      <w:proofErr w:type="spellEnd"/>
      <w:r w:rsidRPr="00667017">
        <w:rPr>
          <w:b/>
          <w:bCs/>
        </w:rPr>
        <w:t xml:space="preserve"> by Roles</w:t>
      </w:r>
      <w:r w:rsidRPr="00667017">
        <w:br/>
      </w:r>
      <w:proofErr w:type="spellStart"/>
      <w:r w:rsidRPr="00667017">
        <w:t>Roles</w:t>
      </w:r>
      <w:proofErr w:type="spellEnd"/>
      <w:r w:rsidRPr="00667017">
        <w:t xml:space="preserve"> like </w:t>
      </w:r>
      <w:r w:rsidRPr="00667017">
        <w:rPr>
          <w:b/>
          <w:bCs/>
        </w:rPr>
        <w:t>Customer Service Advisor scored 3.27</w:t>
      </w:r>
      <w:r w:rsidRPr="00667017">
        <w:t xml:space="preserve"> in Communication, while </w:t>
      </w:r>
      <w:r w:rsidRPr="00667017">
        <w:rPr>
          <w:b/>
          <w:bCs/>
        </w:rPr>
        <w:t>Electricians scored 3.13</w:t>
      </w:r>
      <w:r w:rsidRPr="00667017">
        <w:t xml:space="preserve"> in Tech Efficiency.</w:t>
      </w:r>
    </w:p>
    <w:p w14:paraId="6D9CD9C5" w14:textId="77777777" w:rsidR="00667017" w:rsidRPr="00667017" w:rsidRDefault="00667017" w:rsidP="00667017">
      <w:pPr>
        <w:numPr>
          <w:ilvl w:val="0"/>
          <w:numId w:val="2"/>
        </w:numPr>
      </w:pPr>
      <w:r w:rsidRPr="00667017">
        <w:rPr>
          <w:b/>
          <w:bCs/>
        </w:rPr>
        <w:t>Skill Gaps</w:t>
      </w:r>
      <w:r w:rsidRPr="00667017">
        <w:br/>
        <w:t>Identified through the Skill Gap Flag.</w:t>
      </w:r>
    </w:p>
    <w:p w14:paraId="355B43FE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lastRenderedPageBreak/>
        <w:t xml:space="preserve">IT team had the highest flagged skill gap percentage at </w:t>
      </w:r>
      <w:r w:rsidRPr="00667017">
        <w:rPr>
          <w:b/>
          <w:bCs/>
        </w:rPr>
        <w:t>17.55%</w:t>
      </w:r>
      <w:r w:rsidRPr="00667017">
        <w:t>.</w:t>
      </w:r>
    </w:p>
    <w:p w14:paraId="094C30A2" w14:textId="77777777" w:rsidR="00667017" w:rsidRPr="00667017" w:rsidRDefault="00667017" w:rsidP="00667017">
      <w:pPr>
        <w:numPr>
          <w:ilvl w:val="0"/>
          <w:numId w:val="2"/>
        </w:numPr>
      </w:pPr>
      <w:r w:rsidRPr="00667017">
        <w:rPr>
          <w:b/>
          <w:bCs/>
        </w:rPr>
        <w:t>Average Review Scores</w:t>
      </w:r>
      <w:r w:rsidRPr="00667017">
        <w:br/>
        <w:t>Aggregated review ratings show variation across roles:</w:t>
      </w:r>
    </w:p>
    <w:p w14:paraId="4AF263A9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t xml:space="preserve">Electrician: </w:t>
      </w:r>
      <w:r w:rsidRPr="00667017">
        <w:rPr>
          <w:b/>
          <w:bCs/>
        </w:rPr>
        <w:t>81.83</w:t>
      </w:r>
      <w:r w:rsidRPr="00667017">
        <w:t xml:space="preserve"> (highest)</w:t>
      </w:r>
    </w:p>
    <w:p w14:paraId="4FE615B2" w14:textId="77777777" w:rsidR="00667017" w:rsidRPr="00667017" w:rsidRDefault="00667017" w:rsidP="00667017">
      <w:pPr>
        <w:numPr>
          <w:ilvl w:val="1"/>
          <w:numId w:val="2"/>
        </w:numPr>
      </w:pPr>
      <w:r w:rsidRPr="00667017">
        <w:t xml:space="preserve">Plumber: </w:t>
      </w:r>
      <w:r w:rsidRPr="00667017">
        <w:rPr>
          <w:b/>
          <w:bCs/>
        </w:rPr>
        <w:t>78.82</w:t>
      </w:r>
      <w:r w:rsidRPr="00667017">
        <w:t xml:space="preserve"> (lowest)</w:t>
      </w:r>
    </w:p>
    <w:p w14:paraId="48DB3C8F" w14:textId="77777777" w:rsidR="00667017" w:rsidRPr="00667017" w:rsidRDefault="00000000" w:rsidP="00667017">
      <w:r>
        <w:pict w14:anchorId="3BA924AB">
          <v:rect id="_x0000_i1028" style="width:0;height:1.5pt" o:hralign="center" o:hrstd="t" o:hr="t" fillcolor="#a0a0a0" stroked="f"/>
        </w:pict>
      </w:r>
    </w:p>
    <w:p w14:paraId="1DAF0D32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4. Engagement Patterns</w:t>
      </w:r>
    </w:p>
    <w:p w14:paraId="5F9A096F" w14:textId="77777777" w:rsidR="00667017" w:rsidRPr="00667017" w:rsidRDefault="00667017" w:rsidP="00667017">
      <w:pPr>
        <w:numPr>
          <w:ilvl w:val="0"/>
          <w:numId w:val="3"/>
        </w:numPr>
      </w:pPr>
      <w:r w:rsidRPr="00667017">
        <w:rPr>
          <w:b/>
          <w:bCs/>
        </w:rPr>
        <w:t>Access Trends (</w:t>
      </w:r>
      <w:proofErr w:type="spellStart"/>
      <w:r w:rsidRPr="00667017">
        <w:rPr>
          <w:b/>
          <w:bCs/>
        </w:rPr>
        <w:t>Enrollment</w:t>
      </w:r>
      <w:proofErr w:type="spellEnd"/>
      <w:r w:rsidRPr="00667017">
        <w:rPr>
          <w:b/>
          <w:bCs/>
        </w:rPr>
        <w:t xml:space="preserve"> vs Last Access)</w:t>
      </w:r>
      <w:r w:rsidRPr="00667017">
        <w:br/>
        <w:t>Created a dual-line chart to compare trends:</w:t>
      </w:r>
    </w:p>
    <w:p w14:paraId="3368D219" w14:textId="77777777" w:rsidR="00667017" w:rsidRPr="00667017" w:rsidRDefault="00667017" w:rsidP="00667017">
      <w:pPr>
        <w:numPr>
          <w:ilvl w:val="1"/>
          <w:numId w:val="3"/>
        </w:numPr>
      </w:pPr>
      <w:proofErr w:type="spellStart"/>
      <w:r w:rsidRPr="00667017">
        <w:t>Enrollment</w:t>
      </w:r>
      <w:proofErr w:type="spellEnd"/>
      <w:r w:rsidRPr="00667017">
        <w:t xml:space="preserve"> peaked in </w:t>
      </w:r>
      <w:r w:rsidRPr="00667017">
        <w:rPr>
          <w:b/>
          <w:bCs/>
        </w:rPr>
        <w:t>2024 with 189 employees</w:t>
      </w:r>
    </w:p>
    <w:p w14:paraId="5750DCB3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Last Access peaked the same year with </w:t>
      </w:r>
      <w:r w:rsidRPr="00667017">
        <w:rPr>
          <w:b/>
          <w:bCs/>
        </w:rPr>
        <w:t>179 employees</w:t>
      </w:r>
      <w:r w:rsidRPr="00667017">
        <w:t>, indicating engagement consistency.</w:t>
      </w:r>
    </w:p>
    <w:p w14:paraId="542FB424" w14:textId="77777777" w:rsidR="00667017" w:rsidRPr="00667017" w:rsidRDefault="00667017" w:rsidP="00667017">
      <w:pPr>
        <w:numPr>
          <w:ilvl w:val="0"/>
          <w:numId w:val="3"/>
        </w:numPr>
      </w:pPr>
      <w:r w:rsidRPr="00667017">
        <w:rPr>
          <w:b/>
          <w:bCs/>
        </w:rPr>
        <w:t>Device Usage Breakdown</w:t>
      </w:r>
      <w:r w:rsidRPr="00667017">
        <w:br/>
        <w:t>Visualized via Pie Chart:</w:t>
      </w:r>
    </w:p>
    <w:p w14:paraId="451E9F3F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Desktop: </w:t>
      </w:r>
      <w:r w:rsidRPr="00667017">
        <w:rPr>
          <w:b/>
          <w:bCs/>
        </w:rPr>
        <w:t>56.11%</w:t>
      </w:r>
    </w:p>
    <w:p w14:paraId="42D00961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Mobile: </w:t>
      </w:r>
      <w:r w:rsidRPr="00667017">
        <w:rPr>
          <w:b/>
          <w:bCs/>
        </w:rPr>
        <w:t>51.93%</w:t>
      </w:r>
    </w:p>
    <w:p w14:paraId="4204B1BE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Tablet: </w:t>
      </w:r>
      <w:r w:rsidRPr="00667017">
        <w:rPr>
          <w:b/>
          <w:bCs/>
        </w:rPr>
        <w:t>51.83%</w:t>
      </w:r>
      <w:r w:rsidRPr="00667017">
        <w:br/>
        <w:t>(Percentages suggest multi-device access; Desktop still leads.)</w:t>
      </w:r>
    </w:p>
    <w:p w14:paraId="4923A841" w14:textId="77777777" w:rsidR="00667017" w:rsidRPr="00667017" w:rsidRDefault="00667017" w:rsidP="00667017">
      <w:pPr>
        <w:numPr>
          <w:ilvl w:val="0"/>
          <w:numId w:val="3"/>
        </w:numPr>
      </w:pPr>
      <w:r w:rsidRPr="00667017">
        <w:rPr>
          <w:b/>
          <w:bCs/>
        </w:rPr>
        <w:t>Time Spent on Courses by Role</w:t>
      </w:r>
      <w:r w:rsidRPr="00667017">
        <w:br/>
        <w:t>Used Duration Minutes field to calculate average:</w:t>
      </w:r>
    </w:p>
    <w:p w14:paraId="77FAA478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>Highest: Lettings Coordinator (</w:t>
      </w:r>
      <w:r w:rsidRPr="00667017">
        <w:rPr>
          <w:b/>
          <w:bCs/>
        </w:rPr>
        <w:t>78 mins</w:t>
      </w:r>
      <w:r w:rsidRPr="00667017">
        <w:t>)</w:t>
      </w:r>
    </w:p>
    <w:p w14:paraId="65848E25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>Lowest: Plumber (</w:t>
      </w:r>
      <w:r w:rsidRPr="00667017">
        <w:rPr>
          <w:b/>
          <w:bCs/>
        </w:rPr>
        <w:t>70.2 mins</w:t>
      </w:r>
      <w:r w:rsidRPr="00667017">
        <w:t>)</w:t>
      </w:r>
    </w:p>
    <w:p w14:paraId="294E19B4" w14:textId="77777777" w:rsidR="00667017" w:rsidRPr="00667017" w:rsidRDefault="00667017" w:rsidP="00667017">
      <w:pPr>
        <w:numPr>
          <w:ilvl w:val="0"/>
          <w:numId w:val="3"/>
        </w:numPr>
      </w:pPr>
      <w:r w:rsidRPr="00667017">
        <w:rPr>
          <w:b/>
          <w:bCs/>
        </w:rPr>
        <w:t>Time Spent on Courses by Location</w:t>
      </w:r>
    </w:p>
    <w:p w14:paraId="343CD653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Northfield Office: </w:t>
      </w:r>
      <w:r w:rsidRPr="00667017">
        <w:rPr>
          <w:b/>
          <w:bCs/>
        </w:rPr>
        <w:t>76.4 mins</w:t>
      </w:r>
    </w:p>
    <w:p w14:paraId="1CF6F004" w14:textId="77777777" w:rsidR="00667017" w:rsidRPr="00667017" w:rsidRDefault="00667017" w:rsidP="00667017">
      <w:pPr>
        <w:numPr>
          <w:ilvl w:val="1"/>
          <w:numId w:val="3"/>
        </w:numPr>
      </w:pPr>
      <w:r w:rsidRPr="00667017">
        <w:t xml:space="preserve">Trafford Branch: </w:t>
      </w:r>
      <w:r w:rsidRPr="00667017">
        <w:rPr>
          <w:b/>
          <w:bCs/>
        </w:rPr>
        <w:t>73.2 mins</w:t>
      </w:r>
    </w:p>
    <w:p w14:paraId="48629654" w14:textId="77777777" w:rsidR="00667017" w:rsidRPr="00667017" w:rsidRDefault="00000000" w:rsidP="00667017">
      <w:r>
        <w:pict w14:anchorId="62F0753B">
          <v:rect id="_x0000_i1029" style="width:0;height:1.5pt" o:hralign="center" o:hrstd="t" o:hr="t" fillcolor="#a0a0a0" stroked="f"/>
        </w:pict>
      </w:r>
    </w:p>
    <w:p w14:paraId="092DFC4C" w14:textId="77777777" w:rsidR="00667017" w:rsidRPr="00667017" w:rsidRDefault="00667017" w:rsidP="00667017">
      <w:pPr>
        <w:rPr>
          <w:b/>
          <w:bCs/>
        </w:rPr>
      </w:pPr>
      <w:r w:rsidRPr="00667017">
        <w:rPr>
          <w:b/>
          <w:bCs/>
        </w:rPr>
        <w:t>5. Insights &amp; Recommendations</w:t>
      </w:r>
    </w:p>
    <w:p w14:paraId="443492AD" w14:textId="77777777" w:rsidR="00667017" w:rsidRPr="00667017" w:rsidRDefault="00667017" w:rsidP="00667017">
      <w:pPr>
        <w:numPr>
          <w:ilvl w:val="0"/>
          <w:numId w:val="4"/>
        </w:numPr>
      </w:pPr>
      <w:r w:rsidRPr="00667017">
        <w:t>Improve completion rates for Repairs and Housing teams with additional reminders or incentives.</w:t>
      </w:r>
    </w:p>
    <w:p w14:paraId="2FEBD0FD" w14:textId="77777777" w:rsidR="00667017" w:rsidRPr="00667017" w:rsidRDefault="00667017" w:rsidP="00667017">
      <w:pPr>
        <w:numPr>
          <w:ilvl w:val="0"/>
          <w:numId w:val="4"/>
        </w:numPr>
      </w:pPr>
      <w:r w:rsidRPr="00667017">
        <w:t>Prioritize training for roles with flagged skill gaps (IT and Housing teams).</w:t>
      </w:r>
    </w:p>
    <w:p w14:paraId="04BD4119" w14:textId="77777777" w:rsidR="00667017" w:rsidRPr="00667017" w:rsidRDefault="00667017" w:rsidP="00667017">
      <w:pPr>
        <w:numPr>
          <w:ilvl w:val="0"/>
          <w:numId w:val="4"/>
        </w:numPr>
      </w:pPr>
      <w:r w:rsidRPr="00667017">
        <w:t>Mobile access is significant; ensure course design is mobile-friendly.</w:t>
      </w:r>
    </w:p>
    <w:p w14:paraId="6B76FE9F" w14:textId="77777777" w:rsidR="00667017" w:rsidRPr="00667017" w:rsidRDefault="00667017" w:rsidP="00667017">
      <w:pPr>
        <w:numPr>
          <w:ilvl w:val="0"/>
          <w:numId w:val="4"/>
        </w:numPr>
      </w:pPr>
      <w:r w:rsidRPr="00667017">
        <w:t>Roles like Plumber and Finance Analyst spend the least time; investigate if training is too brief or skipped.</w:t>
      </w:r>
    </w:p>
    <w:p w14:paraId="1BB96429" w14:textId="77777777" w:rsidR="000C5DC3" w:rsidRDefault="000C5DC3"/>
    <w:p w14:paraId="11FA98B4" w14:textId="5B1EF898" w:rsidR="000C5DC3" w:rsidRPr="000C5DC3" w:rsidRDefault="000C5DC3" w:rsidP="000C5DC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0C5DC3">
        <w:rPr>
          <w:b/>
          <w:bCs/>
        </w:rPr>
        <w:t>Accessibility Overview</w:t>
      </w:r>
    </w:p>
    <w:p w14:paraId="55C0FC18" w14:textId="77777777" w:rsidR="000C5DC3" w:rsidRPr="000C5DC3" w:rsidRDefault="000C5DC3" w:rsidP="000C5DC3">
      <w:pPr>
        <w:pStyle w:val="ListParagraph"/>
        <w:numPr>
          <w:ilvl w:val="0"/>
          <w:numId w:val="5"/>
        </w:numPr>
      </w:pPr>
      <w:r w:rsidRPr="000C5DC3">
        <w:rPr>
          <w:b/>
          <w:bCs/>
        </w:rPr>
        <w:t>Performance of Users Who Accessed Training with a Screen Reader</w:t>
      </w:r>
      <w:r w:rsidRPr="000C5DC3">
        <w:br/>
        <w:t xml:space="preserve">The average score for employees who used a screen reader was </w:t>
      </w:r>
      <w:r w:rsidRPr="000C5DC3">
        <w:rPr>
          <w:b/>
          <w:bCs/>
        </w:rPr>
        <w:t>81.08</w:t>
      </w:r>
      <w:r w:rsidRPr="000C5DC3">
        <w:t xml:space="preserve">, compared to </w:t>
      </w:r>
      <w:r w:rsidRPr="000C5DC3">
        <w:rPr>
          <w:b/>
          <w:bCs/>
        </w:rPr>
        <w:t>80.15</w:t>
      </w:r>
      <w:r w:rsidRPr="000C5DC3">
        <w:t xml:space="preserve"> for those who did not. There were </w:t>
      </w:r>
      <w:r w:rsidRPr="000C5DC3">
        <w:rPr>
          <w:b/>
          <w:bCs/>
        </w:rPr>
        <w:t>210</w:t>
      </w:r>
      <w:r w:rsidRPr="000C5DC3">
        <w:t xml:space="preserve"> screen reader users and </w:t>
      </w:r>
      <w:r w:rsidRPr="000C5DC3">
        <w:rPr>
          <w:b/>
          <w:bCs/>
        </w:rPr>
        <w:t>761</w:t>
      </w:r>
      <w:r w:rsidRPr="000C5DC3">
        <w:t xml:space="preserve"> non-users. This shows that employees using screen readers perform slightly better, indicating that accessibility support does </w:t>
      </w:r>
      <w:r w:rsidRPr="000C5DC3">
        <w:rPr>
          <w:b/>
          <w:bCs/>
        </w:rPr>
        <w:t>not hinder learning outcomes</w:t>
      </w:r>
      <w:r w:rsidRPr="000C5DC3">
        <w:t>.</w:t>
      </w:r>
    </w:p>
    <w:p w14:paraId="6794023A" w14:textId="77777777" w:rsidR="000C5DC3" w:rsidRPr="000C5DC3" w:rsidRDefault="000C5DC3" w:rsidP="000C5DC3">
      <w:pPr>
        <w:pStyle w:val="ListParagraph"/>
        <w:numPr>
          <w:ilvl w:val="0"/>
          <w:numId w:val="5"/>
        </w:numPr>
      </w:pPr>
      <w:r w:rsidRPr="000C5DC3">
        <w:rPr>
          <w:b/>
          <w:bCs/>
        </w:rPr>
        <w:t>Feedback Scores vs. Accessibility Usage</w:t>
      </w:r>
      <w:r w:rsidRPr="000C5DC3">
        <w:br/>
        <w:t xml:space="preserve">Screen reader users reported an average feedback score of </w:t>
      </w:r>
      <w:r w:rsidRPr="000C5DC3">
        <w:rPr>
          <w:b/>
          <w:bCs/>
        </w:rPr>
        <w:t>3.8</w:t>
      </w:r>
      <w:r w:rsidRPr="000C5DC3">
        <w:t xml:space="preserve">, while non-users gave an average of </w:t>
      </w:r>
      <w:r w:rsidRPr="000C5DC3">
        <w:rPr>
          <w:b/>
          <w:bCs/>
        </w:rPr>
        <w:t>4.1</w:t>
      </w:r>
      <w:r w:rsidRPr="000C5DC3">
        <w:t>. This slight difference suggests there may be areas for improvement in the accessibility experience.</w:t>
      </w:r>
    </w:p>
    <w:p w14:paraId="34265F49" w14:textId="77777777" w:rsidR="000C5DC3" w:rsidRPr="000C5DC3" w:rsidRDefault="000C5DC3" w:rsidP="000C5DC3">
      <w:pPr>
        <w:pStyle w:val="ListParagraph"/>
        <w:numPr>
          <w:ilvl w:val="0"/>
          <w:numId w:val="5"/>
        </w:numPr>
      </w:pPr>
      <w:r w:rsidRPr="000C5DC3">
        <w:rPr>
          <w:b/>
          <w:bCs/>
        </w:rPr>
        <w:t>Feedback Scores vs. Accessibility Usage – Detailed Analysis</w:t>
      </w:r>
      <w:r w:rsidRPr="000C5DC3">
        <w:br/>
        <w:t xml:space="preserve">On a 1-to-5 rating scale (where 1 = Poor and 5 = Excellent), screen reader users averaged </w:t>
      </w:r>
      <w:r w:rsidRPr="000C5DC3">
        <w:rPr>
          <w:b/>
          <w:bCs/>
        </w:rPr>
        <w:t>3.18</w:t>
      </w:r>
      <w:r w:rsidRPr="000C5DC3">
        <w:t xml:space="preserve">, and non-users averaged </w:t>
      </w:r>
      <w:r w:rsidRPr="000C5DC3">
        <w:rPr>
          <w:b/>
          <w:bCs/>
        </w:rPr>
        <w:t>3.16</w:t>
      </w:r>
      <w:r w:rsidRPr="000C5DC3">
        <w:t xml:space="preserve">. This minimal difference is statistically negligible, meaning accessibility support does </w:t>
      </w:r>
      <w:r w:rsidRPr="000C5DC3">
        <w:rPr>
          <w:b/>
          <w:bCs/>
        </w:rPr>
        <w:t>not negatively impact user experience</w:t>
      </w:r>
      <w:r w:rsidRPr="000C5DC3">
        <w:t xml:space="preserve">. However, since both scores are around the middle of the scale, this suggests an </w:t>
      </w:r>
      <w:r w:rsidRPr="000C5DC3">
        <w:rPr>
          <w:b/>
          <w:bCs/>
        </w:rPr>
        <w:t>average overall experience</w:t>
      </w:r>
      <w:r w:rsidRPr="000C5DC3">
        <w:t xml:space="preserve"> and highlights opportunities to improve course design for all users.</w:t>
      </w:r>
    </w:p>
    <w:p w14:paraId="65C4BB37" w14:textId="77777777" w:rsidR="000C5DC3" w:rsidRDefault="000C5DC3"/>
    <w:sectPr w:rsidR="000C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72F60"/>
    <w:multiLevelType w:val="multilevel"/>
    <w:tmpl w:val="5EF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C38FD"/>
    <w:multiLevelType w:val="hybridMultilevel"/>
    <w:tmpl w:val="C3320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446E"/>
    <w:multiLevelType w:val="multilevel"/>
    <w:tmpl w:val="F38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578A"/>
    <w:multiLevelType w:val="multilevel"/>
    <w:tmpl w:val="4162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F0D7F"/>
    <w:multiLevelType w:val="multilevel"/>
    <w:tmpl w:val="E7F6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913623">
    <w:abstractNumId w:val="2"/>
  </w:num>
  <w:num w:numId="2" w16cid:durableId="595476231">
    <w:abstractNumId w:val="0"/>
  </w:num>
  <w:num w:numId="3" w16cid:durableId="1349671489">
    <w:abstractNumId w:val="3"/>
  </w:num>
  <w:num w:numId="4" w16cid:durableId="688524548">
    <w:abstractNumId w:val="4"/>
  </w:num>
  <w:num w:numId="5" w16cid:durableId="180519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17"/>
    <w:rsid w:val="000C5DC3"/>
    <w:rsid w:val="003459DB"/>
    <w:rsid w:val="004E5664"/>
    <w:rsid w:val="00667017"/>
    <w:rsid w:val="00804701"/>
    <w:rsid w:val="009A43D3"/>
    <w:rsid w:val="009C74DD"/>
    <w:rsid w:val="00B83607"/>
    <w:rsid w:val="00E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0076"/>
  <w15:chartTrackingRefBased/>
  <w15:docId w15:val="{4F402B76-8FA5-4DE6-97A0-E53BE075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</dc:creator>
  <cp:keywords/>
  <dc:description/>
  <cp:lastModifiedBy>Juan C</cp:lastModifiedBy>
  <cp:revision>2</cp:revision>
  <dcterms:created xsi:type="dcterms:W3CDTF">2025-07-26T19:13:00Z</dcterms:created>
  <dcterms:modified xsi:type="dcterms:W3CDTF">2025-07-27T22:09:00Z</dcterms:modified>
</cp:coreProperties>
</file>