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o5jgw46iwp0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ACTION LEARNING PROJECT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Lines w:val="0"/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</w:rPr>
      </w:pPr>
      <w:bookmarkStart w:colFirst="0" w:colLast="0" w:name="_h42zwd5r6wpu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</w:rPr>
        <w:drawing>
          <wp:inline distB="0" distT="0" distL="114300" distR="114300">
            <wp:extent cx="5943600" cy="1181100"/>
            <wp:effectExtent b="0" l="0" r="0" t="0"/>
            <wp:docPr descr="Poets&amp;Quants - University of Maryland's Robert H. Smith School of Business" id="30" name="image21.jpg"/>
            <a:graphic>
              <a:graphicData uri="http://schemas.openxmlformats.org/drawingml/2006/picture">
                <pic:pic>
                  <pic:nvPicPr>
                    <pic:cNvPr descr="Poets&amp;Quants - University of Maryland's Robert H. Smith School of Business" id="0" name="image2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  <w:rtl w:val="0"/>
        </w:rPr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highlight w:val="white"/>
          <w:rtl w:val="0"/>
        </w:rPr>
        <w:t xml:space="preserve"> BUMK 776: ACTION LEARNING PROJECT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  <w:rtl w:val="0"/>
        </w:rPr>
        <w:t xml:space="preserve">                                                   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  <w:rtl w:val="0"/>
        </w:rPr>
        <w:t xml:space="preserve">                                          Title: 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12">
      <w:pPr>
        <w:jc w:val="both"/>
        <w:rPr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  <w:rtl w:val="0"/>
        </w:rPr>
        <w:t xml:space="preserve">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3366"/>
          <w:sz w:val="36"/>
          <w:szCs w:val="36"/>
          <w:highlight w:val="white"/>
          <w:rtl w:val="0"/>
        </w:rPr>
        <w:t xml:space="preserve">Team Number: #1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3366"/>
          <w:sz w:val="36"/>
          <w:szCs w:val="3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3366"/>
          <w:sz w:val="36"/>
          <w:szCs w:val="36"/>
          <w:highlight w:val="white"/>
          <w:rtl w:val="0"/>
        </w:rPr>
        <w:t xml:space="preserve">                             Group member names: </w:t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3366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3366"/>
          <w:sz w:val="36"/>
          <w:szCs w:val="36"/>
          <w:highlight w:val="white"/>
          <w:rtl w:val="0"/>
        </w:rPr>
        <w:t xml:space="preserve">    Heven Abraha, Haotian Du, Rutendo Nyoka, Julia M. See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have total campaign/deliverable volumes changed over time (month-over -month and year-over -year)? </w:t>
      </w:r>
    </w:p>
    <w:p w:rsidR="00000000" w:rsidDel="00000000" w:rsidP="00000000" w:rsidRDefault="00000000" w:rsidRPr="00000000" w14:paraId="0000002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45000"/>
            <wp:effectExtent b="0" l="0" r="0" t="0"/>
            <wp:docPr id="2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early 2024 through late 2025, total campaign volume shows a strong upward trend. The Key observations are broken into three parts: </w:t>
      </w:r>
    </w:p>
    <w:p w:rsidR="00000000" w:rsidDel="00000000" w:rsidP="00000000" w:rsidRDefault="00000000" w:rsidRPr="00000000" w14:paraId="0000002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Early 2024:40–60 campaigns per month</w:t>
      </w:r>
    </w:p>
    <w:p w:rsidR="00000000" w:rsidDel="00000000" w:rsidP="00000000" w:rsidRDefault="00000000" w:rsidRPr="00000000" w14:paraId="0000002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Mid–late 2024 : Gradual climb to 100+ per month</w:t>
      </w:r>
    </w:p>
    <w:p w:rsidR="00000000" w:rsidDel="00000000" w:rsidP="00000000" w:rsidRDefault="00000000" w:rsidRPr="00000000" w14:paraId="0000002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finally, in 2025: Significant acceleration, peaking at 225 campaigns, in later months</w:t>
      </w:r>
    </w:p>
    <w:p w:rsidR="00000000" w:rsidDel="00000000" w:rsidP="00000000" w:rsidRDefault="00000000" w:rsidRPr="00000000" w14:paraId="0000002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are a few temporary dips, but the overall direction is clearly upward. The overall conclusion is that month-over-month growth is volatile but consistently trending upward, especially in 2025.</w:t>
      </w:r>
    </w:p>
    <w:p w:rsidR="00000000" w:rsidDel="00000000" w:rsidP="00000000" w:rsidRDefault="00000000" w:rsidRPr="00000000" w14:paraId="0000003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comparing year-to-year, we compare 2025 vs 2024, total volume increased substantially.The data shows that most LOBs increased year-over-year. Several LOBs more than doubled volume, and a few LOBs declined slightly.Overall, the 2025 total campaign volume is significantly higher than 2024, driven by major expansion in specific business lines.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Which Lines of Business (LOBs) are driving the change in volume year-over -year?</w:t>
      </w:r>
    </w:p>
    <w:p w:rsidR="00000000" w:rsidDel="00000000" w:rsidP="00000000" w:rsidRDefault="00000000" w:rsidRPr="00000000" w14:paraId="0000003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Major Growth Drivers in chart form are:</w:t>
      </w:r>
    </w:p>
    <w:tbl>
      <w:tblPr>
        <w:tblStyle w:val="Table1"/>
        <w:tblW w:w="7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1550"/>
        <w:gridCol w:w="1550"/>
        <w:gridCol w:w="1805"/>
        <w:tblGridChange w:id="0">
          <w:tblGrid>
            <w:gridCol w:w="2120"/>
            <w:gridCol w:w="1550"/>
            <w:gridCol w:w="1550"/>
            <w:gridCol w:w="18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2024 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2025 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YoY % 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ANON_LOB_0007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593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+224%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ANON_LOB_0008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373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+116%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ANON_LOB_0004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208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330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+59%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ANON_LOB_0010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+155%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ANON_LOB_0006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+65%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xhvqf9b9np4s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Biggest Absolute Contributor is ANON_LOB_0007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24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Added +410 campaigns YoY.Primary driver of total company growth.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jmrkicgxj42n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LOBs That Declined</w:t>
      </w:r>
    </w:p>
    <w:tbl>
      <w:tblPr>
        <w:tblStyle w:val="Table2"/>
        <w:tblW w:w="3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1505"/>
        <w:tblGridChange w:id="0">
          <w:tblGrid>
            <w:gridCol w:w="2120"/>
            <w:gridCol w:w="15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YoY 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ANON_LOB_0013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-80%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ANON_LOB_0012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-29%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ANON_LOB_0001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-5%</w:t>
            </w:r>
          </w:p>
        </w:tc>
      </w:tr>
    </w:tbl>
    <w:p w:rsidR="00000000" w:rsidDel="00000000" w:rsidP="00000000" w:rsidRDefault="00000000" w:rsidRPr="00000000" w14:paraId="0000005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declines were relatively small compared to the gains from high-growth LOBs.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aurmmsloyynx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Overall Trend: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Strong and accelerating growth from 2024 - 2025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Momentum increases sharply in mid-to-late 2025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Growth is concentrated in a few high-performing LOBs. The business is scaling unevenly, with certain segments driving the majority of expansion.</w:t>
      </w:r>
    </w:p>
    <w:p w:rsidR="00000000" w:rsidDel="00000000" w:rsidP="00000000" w:rsidRDefault="00000000" w:rsidRPr="00000000" w14:paraId="0000005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does work mix shift by request type over time (ad hoc vs recurring vs updates to recurring)?</w:t>
      </w:r>
    </w:p>
    <w:p w:rsidR="00000000" w:rsidDel="00000000" w:rsidP="00000000" w:rsidRDefault="00000000" w:rsidRPr="00000000" w14:paraId="0000005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Work mix shift by request type over time showing actual values</w:t>
      </w:r>
    </w:p>
    <w:p w:rsidR="00000000" w:rsidDel="00000000" w:rsidP="00000000" w:rsidRDefault="00000000" w:rsidRPr="00000000" w14:paraId="0000006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076950" cy="3429214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34292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Work mix shift by request type over time showing as percentages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9718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work mix for VML refers to the requests classified into Ad Hoc, Recurring (New), Updates to Recurring, and Tagging Only.</w:t>
      </w:r>
    </w:p>
    <w:p w:rsidR="00000000" w:rsidDel="00000000" w:rsidP="00000000" w:rsidRDefault="00000000" w:rsidRPr="00000000" w14:paraId="00000068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data shows the dominance of Ad Hoc. </w:t>
      </w:r>
      <w:r w:rsidDel="00000000" w:rsidR="00000000" w:rsidRPr="00000000">
        <w:rPr>
          <w:sz w:val="24"/>
          <w:szCs w:val="24"/>
          <w:rtl w:val="0"/>
        </w:rPr>
        <w:t xml:space="preserve">These Ad Hoc campaigns consistently represent the largest share of the workload approximately 60% of total volume. This indicates a highly reactive environment where the CRM Operations team must manage once-off deployments frequently.</w:t>
      </w:r>
    </w:p>
    <w:p w:rsidR="00000000" w:rsidDel="00000000" w:rsidP="00000000" w:rsidRDefault="00000000" w:rsidRPr="00000000" w14:paraId="0000006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 Recurring Workload, </w:t>
      </w:r>
      <w:r w:rsidDel="00000000" w:rsidR="00000000" w:rsidRPr="00000000">
        <w:rPr>
          <w:sz w:val="24"/>
          <w:szCs w:val="24"/>
          <w:rtl w:val="0"/>
        </w:rPr>
        <w:t xml:space="preserve">while recurring - new campaigns or initial setup appear in smaller bursts of around 15.5% of total volume, updates to recurring represent a significant ongoing maintenance effort with approximately 12.4% total volume . Over time, the volume of updates has remained steady, showing that once a campaign is set up, it requires continuous refinement. Tagging was approximately 11.8% of total volume.</w:t>
      </w:r>
    </w:p>
    <w:p w:rsidR="00000000" w:rsidDel="00000000" w:rsidP="00000000" w:rsidRDefault="00000000" w:rsidRPr="00000000" w14:paraId="0000006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Scalability Concern:</w:t>
      </w:r>
      <w:r w:rsidDel="00000000" w:rsidR="00000000" w:rsidRPr="00000000">
        <w:rPr>
          <w:sz w:val="24"/>
          <w:szCs w:val="24"/>
          <w:rtl w:val="0"/>
        </w:rPr>
        <w:t xml:space="preserve"> The high percentage of Ad Hoc work suggests a potential area for optimization. If Ad Hoc requests are predictable, converting them into Recurring workflows could save significant billable hours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iy1d2w2y8ih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Strategic Implication</w:t>
      </w:r>
    </w:p>
    <w:p w:rsidR="00000000" w:rsidDel="00000000" w:rsidP="00000000" w:rsidRDefault="00000000" w:rsidRPr="00000000" w14:paraId="0000006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team workload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 structurally shifting away from Ad Hoc</w:t>
      </w:r>
      <w:r w:rsidDel="00000000" w:rsidR="00000000" w:rsidRPr="00000000">
        <w:rPr>
          <w:sz w:val="24"/>
          <w:szCs w:val="24"/>
          <w:rtl w:val="0"/>
        </w:rPr>
        <w:t xml:space="preserve"> ,it remains dominant.However, with recurring work spikes periodically, suggesting Campaign lifecycle maturation, scaling automation efforts and increasing operational complexity.</w:t>
        <w:br w:type="textWrapping"/>
        <w:t xml:space="preserve">If the goal is operational efficiency, reducing Ad Hoc dependency would stabilize workload.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is volume distributed by channel, and how is that changing over time? (e.g., Email vs SMS vs Push vs Tag/QR. 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jc w:val="both"/>
        <w:rPr>
          <w:sz w:val="24"/>
          <w:szCs w:val="24"/>
        </w:rPr>
      </w:pPr>
      <w:bookmarkStart w:colFirst="0" w:colLast="0" w:name="_v198ytch4qk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Volume Distribution by Channel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500688" cy="2852587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0688" cy="28525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jc w:val="both"/>
        <w:rPr>
          <w:highlight w:val="red"/>
        </w:rPr>
      </w:pPr>
      <w:r w:rsidDel="00000000" w:rsidR="00000000" w:rsidRPr="00000000">
        <w:rPr>
          <w:sz w:val="24"/>
          <w:szCs w:val="24"/>
          <w:rtl w:val="0"/>
        </w:rPr>
        <w:t xml:space="preserve">The volume was grouped into five major categories: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Email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SMS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Tag/QR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Push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Other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SMS &amp; email </w:t>
      </w:r>
      <w:r w:rsidDel="00000000" w:rsidR="00000000" w:rsidRPr="00000000">
        <w:rPr>
          <w:sz w:val="24"/>
          <w:szCs w:val="24"/>
          <w:rtl w:val="0"/>
        </w:rPr>
        <w:t xml:space="preserve">are the primary communication channels.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growth trend for the </w:t>
      </w:r>
      <w:r w:rsidDel="00000000" w:rsidR="00000000" w:rsidRPr="00000000">
        <w:rPr>
          <w:sz w:val="24"/>
          <w:szCs w:val="24"/>
          <w:rtl w:val="0"/>
        </w:rPr>
        <w:t xml:space="preserve">total campaign volume across all channels shows a general upward trend from 2024 into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4"/>
          <w:szCs w:val="24"/>
          <w:highlight w:val="red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SMS &amp; Email Lead the 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4"/>
          <w:szCs w:val="24"/>
          <w:highlight w:val="red"/>
        </w:rPr>
      </w:pPr>
      <w:r w:rsidDel="00000000" w:rsidR="00000000" w:rsidRPr="00000000">
        <w:rPr>
          <w:sz w:val="24"/>
          <w:szCs w:val="24"/>
          <w:rtl w:val="0"/>
        </w:rPr>
        <w:t xml:space="preserve">SMS and Email are the primary communication channels, together accounting for the vast majority of all deployments.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Rise of SMS: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There is a noticeable trend where SMS volume has grown to rival or occasionally exceed Email volume. This highlights an increasing reliance on mobile-first, short-form messaging.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Tag/QR Consistency: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Tagging and QR code requests maintain a stable, moderate volume throughout the period, reflecting a consistent need for tracking and physical-to-digital bridge assets.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Push Channel: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Mobile Push remains the smallest segment of the mix, suggesting it is either a secondary channel for this client base or is managed through a different operational workflow.</w:t>
      </w:r>
    </w:p>
    <w:p w:rsidR="00000000" w:rsidDel="00000000" w:rsidP="00000000" w:rsidRDefault="00000000" w:rsidRPr="00000000" w14:paraId="0000007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CRM Operations workload remains predominantly Ad Hoc, suggesting reactive demand continues to outweigh structured automation. Meanwhile, channel volume is heavily concentrated in SMS and Email (75%+ of total output), indicating operational dependency on two primary channels with limited diversification into Push or emerging formats.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we doing more “simple vs standard vs complex” work over time (i.e.,effort/complexity mix)?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7A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Simple VS Complex Work Over time: 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​​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043363" cy="3008768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3363" cy="300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ind w:right="60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Complex work remains under 20% for most of the year, with Simple work representing the majority of volume.</w:t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higher line (around 80–90%)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Simple work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lower line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Complex work</w:t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Complex work appears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decline after early spikes</w:t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Simple work consistently dominates the mix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Simple VS Standard Work Over time: 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900488" cy="2917627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0488" cy="29176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ind w:right="6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Standard work represents a small portion of total execution and has not shown sustained growth over time. The portfolio remains heavily weighted toward simple work.”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Simple work dominates heavily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roughly 85–95% most months when isolated against Standard.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Standard work is consistently low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with one visible spike mid-year.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 sustained upward trend in Standard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it fluctuates but remains minor.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Standard VS Complex Work Over time: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281488" cy="3205224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1488" cy="32052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ind w:right="60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When isolating Standard and Complex work, neither shows sustained growth over time. The mix fluctuates month-to-month without a clear structural shift toward higher complexity.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Early on, Complex dominates when compared only to Standard.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Over time, the relationship becomes more volatile; they trade places several times.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is no consistent upward trend in Standard overtaking Complex long-term.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mix between these two categories fluctuates month-to-month rather than trending steadily.</w:t>
      </w:r>
    </w:p>
    <w:p w:rsidR="00000000" w:rsidDel="00000000" w:rsidP="00000000" w:rsidRDefault="00000000" w:rsidRPr="00000000" w14:paraId="00000094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are the biggest outliers (large campaigns/projects) and what is driving them?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biggest outliers (large campaigns/projects) are concentrated in a small number of LOBs and are primarily driven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recurring-update and EM/Complex EM work patterns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rather than the high-frequency simple Ad Hoc work that is fueling overall volume growth.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gxjk6gk646m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Where the Outliers Sit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Specific LOB Concentration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largest campaigns are disproportionately clustered in a few LOBs rather than being evenly distributed.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indicates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concentration risk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 small subset of business lines is responsible for a large share of total output.</w:t>
        <w:br w:type="textWrapping"/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Recurring-Update Projects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Although Ad Hoc volume increased overall, the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largest individual campaigns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are tied to recurring-update work.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These projects likely involve ongoing lifecycle communications, retention programs, or structured recurring pushes.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Recurring work tends to accumulate higher total volume over time, which makes them appear as outliers.</w:t>
        <w:br w:type="textWrapping"/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 EM / Complex EM Patterns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Large outliers are also associated with EM and Complex EM initiatives.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These projects likely:</w:t>
        <w:br w:type="textWrapping"/>
      </w:r>
    </w:p>
    <w:p w:rsidR="00000000" w:rsidDel="00000000" w:rsidP="00000000" w:rsidRDefault="00000000" w:rsidRPr="00000000" w14:paraId="000000A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 heavier coordination</w:t>
        <w:br w:type="textWrapping"/>
      </w:r>
    </w:p>
    <w:p w:rsidR="00000000" w:rsidDel="00000000" w:rsidP="00000000" w:rsidRDefault="00000000" w:rsidRPr="00000000" w14:paraId="000000A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Involve multiple touchpoints</w:t>
        <w:br w:type="textWrapping"/>
      </w:r>
    </w:p>
    <w:p w:rsidR="00000000" w:rsidDel="00000000" w:rsidP="00000000" w:rsidRDefault="00000000" w:rsidRPr="00000000" w14:paraId="000000A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Have broader targeting or larger audience segments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Even though complex work declined as 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share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total volume, when it does occur, it drives disproportionate volume impact.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sutpextev9i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What Is Driving the Outliers?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your analysis, the drivers appear to be: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Scale Within Specific LOBs</w:t>
      </w:r>
    </w:p>
    <w:p w:rsidR="00000000" w:rsidDel="00000000" w:rsidP="00000000" w:rsidRDefault="00000000" w:rsidRPr="00000000" w14:paraId="000000AB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few high-performing or high-priority LOBs are launching repeat, large-scale campaigns.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Growth is not coming from diversified expansion but from scaling within those pockets.</w:t>
        <w:br w:type="textWrapping"/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Recurring Operational Programs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Lifecycle or ongoing programs (e.g., monthly/quarterly pushes) generate cumulative high volume.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These naturally become statistical outliers over time.</w:t>
        <w:br w:type="textWrapping"/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EM / Complex Execution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Even though overall complexity share is declining, the largest campaigns are tied to higher-effort EM patterns.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These likely involve:</w:t>
        <w:br w:type="textWrapping"/>
      </w:r>
    </w:p>
    <w:p w:rsidR="00000000" w:rsidDel="00000000" w:rsidP="00000000" w:rsidRDefault="00000000" w:rsidRPr="00000000" w14:paraId="000000B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Multi-channel activation</w:t>
        <w:br w:type="textWrapping"/>
      </w:r>
    </w:p>
    <w:p w:rsidR="00000000" w:rsidDel="00000000" w:rsidP="00000000" w:rsidRDefault="00000000" w:rsidRPr="00000000" w14:paraId="000000B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Broader audience reach</w:t>
        <w:br w:type="textWrapping"/>
      </w:r>
    </w:p>
    <w:p w:rsidR="00000000" w:rsidDel="00000000" w:rsidP="00000000" w:rsidRDefault="00000000" w:rsidRPr="00000000" w14:paraId="000000B5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Coordinated deployments</w:t>
        <w:br w:type="textWrapping"/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High-Throughput Operating Model</w:t>
      </w:r>
    </w:p>
    <w:p w:rsidR="00000000" w:rsidDel="00000000" w:rsidP="00000000" w:rsidRDefault="00000000" w:rsidRPr="00000000" w14:paraId="000000B7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2025 model favors speed and repeat execution.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Once a campaign template/process is built, it can be scaled quickly—creating volume spikes in certain programs.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unz7puim2r0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Strategic Interpretation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biggest outliers are not random spikes—they are:</w:t>
      </w:r>
    </w:p>
    <w:p w:rsidR="00000000" w:rsidDel="00000000" w:rsidP="00000000" w:rsidRDefault="00000000" w:rsidRPr="00000000" w14:paraId="000000BB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Concentrated in specific LOBs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Driven by recurring-update programs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Amplified by EM/Complex EM structures</w:t>
        <w:br w:type="textWrapping"/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reinforces two implications:</w:t>
      </w:r>
    </w:p>
    <w:p w:rsidR="00000000" w:rsidDel="00000000" w:rsidP="00000000" w:rsidRDefault="00000000" w:rsidRPr="00000000" w14:paraId="000000BF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Revenue/volume dependency risk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Growth is heavily reliant on a small number of business lines and recurring programs.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Operational imbalance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While most growth is coming from simple, high-frequency work, the largest strategic bets still sit in more complex EM-driven initiatives.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hjkz9yl47m1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Q1-6 Visualization Charts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2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e8t35kti4jw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1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1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4h1sof52hbv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rxoqqv8dq0p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2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2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cg4kwgkcrq1" w:id="14"/>
      <w:bookmarkEnd w:id="1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3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2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2b75wcho4je" w:id="15"/>
      <w:bookmarkEnd w:id="1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568700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Across all six analyses on the same campaign tracker dataset, the key story is that the team moved into a strong growth phase in 2025: total volume increased from 766 in 2024 to 1,573 in 2025, a year-over-year gain of about 105%. However, this growth is not broadly distributed; it is concentrated in a small number of LOBs and a set of high-volume outlier projects. The work mix is also shifting toward faster-turnaround execution: Ad Hoc work rose from 63.6% to 70.3%, while recurring-update share declined. Channel mix shows structural change as well: SMS remains the largest channel but lost share, Tag/QR gained share meaningfully, and Email stayed relatively stable. At the same time, the effort mix is becoming simpler: Simple work increased from 77.8% to 84.8%, while Standard and Complex shares declined, indicating that most of the volume expansion came from high-frequency, lower-complexity work rather than growth in complex initiatives. Outlier analysis reinforces this pattern, showing that the biggest projects are disproportionately associated with specific LOBs and with recurring-update and EM/Complex EM patterns. Overall, the operating model today is high-throughput and execution-heavy, with growth concentrated in a few pockets; the strategic priority should be to sustain delivery speed while rebalancing toward more medium-to-high complexity work and reducing concentration risk across LOBs and project types.</w:t>
      </w:r>
    </w:p>
    <w:p w:rsidR="00000000" w:rsidDel="00000000" w:rsidP="00000000" w:rsidRDefault="00000000" w:rsidRPr="00000000" w14:paraId="000000D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/>
        <w:drawing>
          <wp:inline distB="114300" distT="114300" distL="114300" distR="114300">
            <wp:extent cx="5802920" cy="4352190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2920" cy="4352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/>
        <w:drawing>
          <wp:inline distB="114300" distT="114300" distL="114300" distR="114300">
            <wp:extent cx="5691188" cy="4268391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1188" cy="4268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/>
        <w:drawing>
          <wp:inline distB="114300" distT="114300" distL="114300" distR="114300">
            <wp:extent cx="5643563" cy="4232672"/>
            <wp:effectExtent b="0" l="0" r="0" t="0"/>
            <wp:docPr id="2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3563" cy="4232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/>
        <w:drawing>
          <wp:inline distB="114300" distT="114300" distL="114300" distR="114300">
            <wp:extent cx="5538788" cy="4154091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8788" cy="41540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7.png"/><Relationship Id="rId22" Type="http://schemas.openxmlformats.org/officeDocument/2006/relationships/image" Target="media/image6.png"/><Relationship Id="rId21" Type="http://schemas.openxmlformats.org/officeDocument/2006/relationships/image" Target="media/image1.png"/><Relationship Id="rId24" Type="http://schemas.openxmlformats.org/officeDocument/2006/relationships/image" Target="media/image9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20.png"/><Relationship Id="rId25" Type="http://schemas.openxmlformats.org/officeDocument/2006/relationships/image" Target="media/image31.png"/><Relationship Id="rId28" Type="http://schemas.openxmlformats.org/officeDocument/2006/relationships/image" Target="media/image28.png"/><Relationship Id="rId27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image" Target="media/image21.jpg"/><Relationship Id="rId29" Type="http://schemas.openxmlformats.org/officeDocument/2006/relationships/image" Target="media/image14.png"/><Relationship Id="rId7" Type="http://schemas.openxmlformats.org/officeDocument/2006/relationships/image" Target="media/image12.png"/><Relationship Id="rId8" Type="http://schemas.openxmlformats.org/officeDocument/2006/relationships/image" Target="media/image4.png"/><Relationship Id="rId31" Type="http://schemas.openxmlformats.org/officeDocument/2006/relationships/image" Target="media/image16.png"/><Relationship Id="rId30" Type="http://schemas.openxmlformats.org/officeDocument/2006/relationships/image" Target="media/image11.png"/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32" Type="http://schemas.openxmlformats.org/officeDocument/2006/relationships/image" Target="media/image8.png"/><Relationship Id="rId13" Type="http://schemas.openxmlformats.org/officeDocument/2006/relationships/image" Target="media/image3.png"/><Relationship Id="rId12" Type="http://schemas.openxmlformats.org/officeDocument/2006/relationships/image" Target="media/image10.png"/><Relationship Id="rId15" Type="http://schemas.openxmlformats.org/officeDocument/2006/relationships/image" Target="media/image30.png"/><Relationship Id="rId14" Type="http://schemas.openxmlformats.org/officeDocument/2006/relationships/image" Target="media/image17.png"/><Relationship Id="rId17" Type="http://schemas.openxmlformats.org/officeDocument/2006/relationships/image" Target="media/image23.png"/><Relationship Id="rId16" Type="http://schemas.openxmlformats.org/officeDocument/2006/relationships/image" Target="media/image24.png"/><Relationship Id="rId19" Type="http://schemas.openxmlformats.org/officeDocument/2006/relationships/image" Target="media/image26.png"/><Relationship Id="rId1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