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Healthy Places Index (HPI) — Homelessness Classification Project</w:t>
      </w:r>
    </w:p>
    <w:p>
      <w:r>
        <w:t>This document summarizes my workflow to explore HPI disparities and train a supervised classifier to flag homeless-associated encounters. I scoped it as a learning project: clean preprocessing with dummy coding, a transparent logistic regression baseline, careful evaluation for class imbalance, and interpretable outputs. I document the key decisions, errors encountered (e.g., scorer positive-label issues), what I learned, and next steps.</w:t>
      </w:r>
    </w:p>
    <w:p>
      <w:pPr>
        <w:pStyle w:val="Heading2"/>
      </w:pPr>
      <w:r>
        <w:t>1) Data &amp; Preprocessing</w:t>
      </w:r>
    </w:p>
    <w:p>
      <w:r>
        <w:t>I renamed columns for clarity, kept Year, and filtered to Sex, Race/Ethnicity Group, and Age Group. Categorical columns were cast to category and saved to Parquet for fast iteration. For modeling, I used dummy coding via sklearn so the same transform is applied consistently to train and test. Because rows are aggregated counts, I used num_visits as sample weights to respect group sizes.</w:t>
      </w:r>
    </w:p>
    <w:p>
      <w:pPr>
        <w:pStyle w:val="Heading2"/>
      </w:pPr>
      <w:r>
        <w:t>2) Model Choice &amp; Imbalance Strategy</w:t>
      </w:r>
    </w:p>
    <w:p>
      <w:r>
        <w:t>I used logistic regression as the baseline for stability and interpretability. I applied class_weight='balanced' to counter class imbalance and tuned the decision threshold using the precision–recall curve. This increased recall for the 'Homeless' class to about 0.96 in my run, at the cost of precision—a deliberate trade-off suitable for screening.</w:t>
      </w:r>
    </w:p>
    <w:p>
      <w:pPr>
        <w:pStyle w:val="Heading2"/>
      </w:pPr>
      <w:r>
        <w:t>3) Evaluation &amp; Trade-offs</w:t>
      </w:r>
    </w:p>
    <w:p>
      <w:r>
        <w:t>Default-threshold metrics are reported first as a baseline. Threshold tuning shifts the operating point along the PR curve. I prioritized recall (few missed homeless encounters) while accepting lower precision (more false positives). Both default and tuned reports are presented to make the trade-off explicit.</w:t>
      </w:r>
    </w:p>
    <w:p>
      <w:pPr>
        <w:pStyle w:val="Heading2"/>
      </w:pPr>
      <w:r>
        <w:t>4) Interpretability</w:t>
      </w:r>
    </w:p>
    <w:p>
      <w:r>
        <w:t>For v1, I use two views: (a) logistic regression coefficients to understand direction and strength of effects, and (b) a coarse raw-feature permutation importance chart to answer 'does diagnosis matter?' without resolving which diagnosis matters most. Granular per-category importance (e.g., which diagnosis level) will be added in a later iteration using coefficients on dummy-coded features or SHAP for trees.</w:t>
      </w:r>
    </w:p>
    <w:p>
      <w:pPr>
        <w:pStyle w:val="Heading2"/>
      </w:pPr>
      <w:r>
        <w:t>5) Errors Encountered &amp; Fixes</w:t>
      </w:r>
    </w:p>
    <w:p>
      <w:r>
        <w:t>• Positive-label ('pos_label') errors in importance scoring:</w:t>
      </w:r>
    </w:p>
    <w:p>
      <w:r>
        <w:t xml:space="preserve">  Cause: internal scorer expected a specified positive class; string labels and defaults caused 'pos_label=1' conflicts.   Resolution: for v1, rely on coefficients and coarse raw-feature importance, which do not require a positive-label setting.</w:t>
      </w:r>
    </w:p>
    <w:p>
      <w:r>
        <w:t>• Sparse vs. dense matrix issues:</w:t>
      </w:r>
    </w:p>
    <w:p>
      <w:r>
        <w:t xml:space="preserve">  Cause: dummy coding outputs sparse matrices; some functions require dense arrays.   Resolution: convert to dense when needed.</w:t>
      </w:r>
    </w:p>
    <w:p>
      <w:r>
        <w:t>• Matplotlib Tkinter backend warnings on Windows:</w:t>
      </w:r>
    </w:p>
    <w:p>
      <w:r>
        <w:t xml:space="preserve">  Cause: default GUI backend in non-GUI script.   Resolution: set matplotlib to the 'Agg' backend in scripts.</w:t>
      </w:r>
    </w:p>
    <w:p>
      <w:pPr>
        <w:pStyle w:val="Heading2"/>
      </w:pPr>
      <w:r>
        <w:t>6) Limitations</w:t>
      </w:r>
    </w:p>
    <w:p>
      <w:r>
        <w:t>Aggregated counts lack denominators, so we cannot compute rates. Associations are not causal. Performance depends on variable coding and threshold choice; metrics should be compared within the same setup.</w:t>
      </w:r>
    </w:p>
    <w:p>
      <w:pPr>
        <w:pStyle w:val="Heading2"/>
      </w:pPr>
      <w:r>
        <w:t>7) Next Steps</w:t>
      </w:r>
    </w:p>
    <w:p>
      <w:r>
        <w:t>• Add granular diagnosis-level interpretation (coefficients on dummy-coded features or SHAP on a tree model).</w:t>
        <w:br/>
        <w:t xml:space="preserve">• Save and publish precision–recall curves and confusion matrices (default vs. tuned). </w:t>
        <w:br/>
        <w:t>• Consider subgroup performance checks by HPI quartile.</w:t>
        <w:br/>
        <w:t>• If available later, model rates with denominators (Poisson/Negative Binomial).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