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A" w:val="clear"/>
            <w:tcMar>
              <w:top w:type="dxa" w:w="560"/>
              <w:left w:type="dxa" w:w="640"/>
              <w:bottom w:type="dxa" w:w="560"/>
              <w:right w:type="dxa" w:w="640"/>
            </w:tcMar>
          </w:tcPr>
          <w:p>
            <w:pPr>
              <w:spacing w:after="60" w:before="0"/>
              <w:jc w:val="left"/>
            </w:pPr>
            <w:r>
              <w:rPr>
                <w:rFonts w:ascii="Arial" w:cs="Arial" w:eastAsia="Arial" w:hAnsi="Arial"/>
                <w:b/>
                <w:bCs/>
                <w:i w:val="false"/>
                <w:iCs w:val="false"/>
                <w:caps w:val="false"/>
                <w:color w:val="7FB3D3"/>
                <w:sz w:val="20"/>
                <w:szCs w:val="20"/>
              </w:rPr>
              <w:t xml:space="preserve">FUNDACIÓN INVICTUS</w:t>
            </w:r>
          </w:p>
          <w:p>
            <w:pPr>
              <w:spacing w:after="120" w:before="0"/>
              <w:jc w:val="left"/>
            </w:pPr>
            <w:r>
              <w:rPr>
                <w:rFonts w:ascii="Arial" w:cs="Arial" w:eastAsia="Arial" w:hAnsi="Arial"/>
                <w:b w:val="false"/>
                <w:bCs w:val="false"/>
                <w:i/>
                <w:iCs/>
                <w:caps w:val="false"/>
                <w:color w:val="7FB3D3"/>
                <w:sz w:val="18"/>
                <w:szCs w:val="18"/>
              </w:rPr>
              <w:t xml:space="preserve">Restauración · Formación · Reinserción Social</w:t>
            </w:r>
          </w:p>
          <w:p>
            <w:pPr>
              <w:spacing w:after="80" w:before="0"/>
              <w:jc w:val="left"/>
            </w:pPr>
            <w:r>
              <w:rPr>
                <w:rFonts w:ascii="Arial" w:cs="Arial" w:eastAsia="Arial" w:hAnsi="Arial"/>
                <w:b/>
                <w:bCs/>
                <w:i w:val="false"/>
                <w:iCs w:val="false"/>
                <w:caps w:val="false"/>
                <w:color w:val="FFFFFF"/>
                <w:sz w:val="52"/>
                <w:szCs w:val="52"/>
              </w:rPr>
              <w:t xml:space="preserve">PROYECTO BASE</w:t>
            </w:r>
          </w:p>
          <w:p>
            <w:pPr>
              <w:spacing w:after="60" w:before="0"/>
              <w:jc w:val="left"/>
            </w:pPr>
            <w:r>
              <w:rPr>
                <w:rFonts w:ascii="Arial" w:cs="Arial" w:eastAsia="Arial" w:hAnsi="Arial"/>
                <w:b/>
                <w:bCs/>
                <w:i w:val="false"/>
                <w:iCs w:val="false"/>
                <w:caps w:val="false"/>
                <w:color w:val="FFFFFF"/>
                <w:sz w:val="80"/>
                <w:szCs w:val="80"/>
              </w:rPr>
              <w:t xml:space="preserve">RENACE</w:t>
            </w:r>
          </w:p>
          <w:p>
            <w:pPr>
              <w:spacing w:after="200" w:before="0"/>
              <w:jc w:val="left"/>
            </w:pPr>
            <w:r>
              <w:rPr>
                <w:rFonts w:ascii="Arial" w:cs="Arial" w:eastAsia="Arial" w:hAnsi="Arial"/>
                <w:b w:val="false"/>
                <w:bCs w:val="false"/>
                <w:i w:val="false"/>
                <w:iCs w:val="false"/>
                <w:caps w:val="false"/>
                <w:color w:val="AED6F1"/>
                <w:sz w:val="24"/>
                <w:szCs w:val="24"/>
              </w:rPr>
              <w:t xml:space="preserve">Taller de Formación Técnica, Producción Laboral y Restauración Personal</w:t>
            </w:r>
          </w:p>
          <w:p>
            <w:pPr>
              <w:spacing w:after="40" w:before="0"/>
              <w:jc w:val="left"/>
            </w:pPr>
            <w:r>
              <w:rPr>
                <w:rFonts w:ascii="Arial" w:cs="Arial" w:eastAsia="Arial" w:hAnsi="Arial"/>
                <w:b w:val="false"/>
                <w:bCs w:val="false"/>
                <w:i w:val="false"/>
                <w:iCs w:val="false"/>
                <w:caps w:val="false"/>
                <w:color w:val="7FB3D3"/>
                <w:sz w:val="19"/>
                <w:szCs w:val="19"/>
              </w:rPr>
              <w:t xml:space="preserve">CDP Santiago Sur · CP Valparaíso · Chile</w:t>
            </w:r>
          </w:p>
          <w:p>
            <w:pPr>
              <w:spacing w:after="0" w:before="0"/>
              <w:jc w:val="left"/>
            </w:pPr>
            <w:r>
              <w:rPr>
                <w:rFonts w:ascii="Arial" w:cs="Arial" w:eastAsia="Arial" w:hAnsi="Arial"/>
                <w:b w:val="false"/>
                <w:bCs w:val="false"/>
                <w:i w:val="false"/>
                <w:iCs w:val="false"/>
                <w:caps w:val="false"/>
                <w:color w:val="5D9BBD"/>
                <w:sz w:val="17"/>
                <w:szCs w:val="17"/>
              </w:rPr>
              <w:t xml:space="preserve">Versión: Documento Base  |  Proyección: 2 años  |  Actualización: 2025</w:t>
            </w:r>
          </w:p>
        </w:tc>
      </w:tr>
    </w:tbl>
    <w:p>
      <w:pPr>
        <w:spacing w:after="0" w:before="0"/>
      </w:pPr>
      <w:r>
        <w:rPr>
          <w:rFonts w:ascii="Arial" w:cs="Arial" w:eastAsia="Arial" w:hAnsi="Arial"/>
          <w:b w:val="false"/>
          <w:bCs w:val="false"/>
          <w:i w:val="false"/>
          <w:iCs w:val="false"/>
          <w:caps w:val="false"/>
          <w:color w:val="212121"/>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4"/>
              <w:left w:val="single" w:color="1F618D" w:sz="12"/>
              <w:bottom w:val="single" w:color="1F618D" w:sz="4"/>
              <w:right w:val="single" w:color="1F618D" w:sz="4"/>
            </w:tcBorders>
            <w:shd w:fill="EBF5FB" w:val="clear"/>
            <w:tcMar>
              <w:top w:type="dxa" w:w="160"/>
              <w:left w:type="dxa" w:w="280"/>
              <w:bottom w:type="dxa" w:w="160"/>
              <w:right w:type="dxa" w:w="280"/>
            </w:tcMar>
          </w:tcPr>
          <w:p>
            <w:pPr>
              <w:spacing w:after="80" w:before="0"/>
              <w:jc w:val="left"/>
            </w:pPr>
            <w:r>
              <w:rPr>
                <w:rFonts w:ascii="Arial" w:cs="Arial" w:eastAsia="Arial" w:hAnsi="Arial"/>
                <w:b/>
                <w:bCs/>
                <w:i w:val="false"/>
                <w:iCs w:val="false"/>
                <w:caps w:val="false"/>
                <w:color w:val="1A2F4A"/>
                <w:sz w:val="20"/>
                <w:szCs w:val="20"/>
              </w:rPr>
              <w:t xml:space="preserve">DOCUMENTO BASE — INSTRUCCIONES DE USO</w:t>
            </w:r>
          </w:p>
          <w:p>
            <w:pPr>
              <w:spacing w:after="60" w:before="0"/>
              <w:jc w:val="left"/>
            </w:pPr>
            <w:r>
              <w:rPr>
                <w:rFonts w:ascii="Arial" w:cs="Arial" w:eastAsia="Arial" w:hAnsi="Arial"/>
                <w:b w:val="false"/>
                <w:bCs w:val="false"/>
                <w:i w:val="false"/>
                <w:iCs w:val="false"/>
                <w:caps w:val="false"/>
                <w:color w:val="212121"/>
                <w:sz w:val="18"/>
                <w:szCs w:val="18"/>
              </w:rPr>
              <w:t xml:space="preserve">Este documento es el proyecto base de Renace. Está diseñado para ser adaptado rápidamente a cualquier fondo o convocatoria específica. Las secciones marcadas como </w:t>
            </w:r>
            <w:r>
              <w:rPr>
                <w:rFonts w:ascii="Arial" w:cs="Arial" w:eastAsia="Arial" w:hAnsi="Arial"/>
                <w:b/>
                <w:bCs/>
                <w:i w:val="false"/>
                <w:iCs w:val="false"/>
                <w:caps w:val="false"/>
                <w:color w:val="B7950B"/>
                <w:sz w:val="18"/>
                <w:szCs w:val="18"/>
              </w:rPr>
              <w:t xml:space="preserve">[PENDIENTE]</w:t>
            </w:r>
            <w:r>
              <w:rPr>
                <w:rFonts w:ascii="Arial" w:cs="Arial" w:eastAsia="Arial" w:hAnsi="Arial"/>
                <w:b w:val="false"/>
                <w:bCs w:val="false"/>
                <w:i w:val="false"/>
                <w:iCs w:val="false"/>
                <w:caps w:val="false"/>
                <w:color w:val="212121"/>
                <w:sz w:val="18"/>
                <w:szCs w:val="18"/>
              </w:rPr>
              <w:t xml:space="preserve"> requieren completar datos reales o información específica del fondo al que se postula. Ver Sección 12 (Guía de Adaptación) para instrucciones detalladas.</w:t>
            </w:r>
          </w:p>
          <w:p>
            <w:pPr>
              <w:spacing w:after="0" w:before="0"/>
              <w:jc w:val="left"/>
            </w:pPr>
            <w:r>
              <w:rPr>
                <w:rFonts w:ascii="Arial" w:cs="Arial" w:eastAsia="Arial" w:hAnsi="Arial"/>
                <w:b w:val="false"/>
                <w:bCs w:val="false"/>
                <w:i/>
                <w:iCs/>
                <w:caps w:val="false"/>
                <w:color w:val="555555"/>
                <w:sz w:val="16"/>
                <w:szCs w:val="16"/>
              </w:rPr>
              <w:t xml:space="preserve">Tipografía recomendada para la versión final: Títulos → Oswald  |  Texto → Montserrat  |  Datos/cifras → Courier New</w:t>
            </w:r>
          </w:p>
        </w:tc>
      </w:tr>
    </w:tbl>
    <w:p>
      <w:pPr>
        <w:spacing w:after="0" w:before="0"/>
      </w:pPr>
      <w:r>
        <w:rPr>
          <w:rFonts w:ascii="Arial" w:cs="Arial" w:eastAsia="Arial" w:hAnsi="Arial"/>
          <w:b w:val="false"/>
          <w:bCs w:val="false"/>
          <w:i w:val="false"/>
          <w:iCs w:val="false"/>
          <w:caps w:val="false"/>
          <w:color w:val="212121"/>
          <w:sz w:val="200"/>
          <w:szCs w:val="20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1. FICHA GENERAL DEL PROYECTO</w:t>
      </w:r>
    </w:p>
    <w:p>
      <w:pPr>
        <w:spacing w:after="0" w:before="0"/>
      </w:pPr>
      <w:r>
        <w:rPr>
          <w:rFonts w:ascii="Arial" w:cs="Arial" w:eastAsia="Arial" w:hAnsi="Arial"/>
          <w:b w:val="false"/>
          <w:bCs w:val="false"/>
          <w:i w:val="false"/>
          <w:iCs w:val="false"/>
          <w:caps w:val="false"/>
          <w:color w:val="212121"/>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8"/>
                <w:szCs w:val="18"/>
              </w:rPr>
              <w:t xml:space="preserve">Nombre del Proyecto</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Renace — Taller de Formación Técnica y Restauración Personal</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8"/>
                <w:szCs w:val="18"/>
              </w:rPr>
              <w:t xml:space="preserve">Organización</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Fundación Invictus Chile — www.fundacioninvictus.cl</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8"/>
                <w:szCs w:val="18"/>
              </w:rPr>
              <w:t xml:space="preserve">Director Ejecutivo</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José Ignacio Torrealba Jiménez — jtorrealba@fundacioninvictus.cl</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8"/>
                <w:szCs w:val="18"/>
              </w:rPr>
              <w:t xml:space="preserve">Año de fundación</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2016 (9 años de operación ininterrumpida)</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8"/>
                <w:szCs w:val="18"/>
              </w:rPr>
              <w:t xml:space="preserve">Sedes de ejecución</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CDP Santiago Sur (Región Metropolitana) y CP Valparaíso (Región de Valparaíso)</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8"/>
                <w:szCs w:val="18"/>
              </w:rPr>
              <w:t xml:space="preserve">Población objetivo</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Personas privadas de libertad (PPL) — Hombres adultos, 25–55 años (promedio 33)</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8"/>
                <w:szCs w:val="18"/>
              </w:rPr>
              <w:t xml:space="preserve">Horizonte del proyecto</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2 años (Año 1: Instalación y escala; Año 2: Consolidación y replicabilidad)</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8"/>
                <w:szCs w:val="18"/>
              </w:rPr>
              <w:t xml:space="preserve">Participantes directos</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180 personas / año · 9 cohortes de 20 (6 RM + 3 Valparaíso)</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8"/>
                <w:szCs w:val="18"/>
              </w:rPr>
              <w:t xml:space="preserve">Presupuesto total 2 años</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CLP $135.500.000 · USD ~151.600 (TC referencial: $894)</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8"/>
                <w:szCs w:val="18"/>
              </w:rPr>
              <w:t xml:space="preserve">Presupuesto Año 1</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CLP $86.000.000 · USD ~96.200  [Instalación + escala completa]</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8"/>
                <w:szCs w:val="18"/>
              </w:rPr>
              <w:t xml:space="preserve">Presupuesto Año 2</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CLP $49.500.000 · USD ~55.400  [Operación consolidada]</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8"/>
                <w:szCs w:val="18"/>
              </w:rPr>
              <w:t xml:space="preserve">ODS alineados</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ODS 1 · ODS 4 · ODS 8 · ODS 10 · ODS 16</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8"/>
                <w:szCs w:val="18"/>
              </w:rPr>
              <w:t xml:space="preserve">Áreas de enfoque</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Formación técnica certificada · Vinculación laboral · Acompañamiento psicosocial</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8"/>
                <w:szCs w:val="18"/>
              </w:rPr>
              <w:t xml:space="preserve">Estado del documento</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BASE — Para ser adaptado por fondo/convocatoria específica</w:t>
            </w:r>
          </w:p>
        </w:tc>
      </w:tr>
    </w:tbl>
    <w:p>
      <w:pPr>
        <w:spacing w:after="0" w:before="0"/>
      </w:pPr>
      <w:r>
        <w:rPr>
          <w:rFonts w:ascii="Arial" w:cs="Arial" w:eastAsia="Arial" w:hAnsi="Arial"/>
          <w:b w:val="false"/>
          <w:bCs w:val="false"/>
          <w:i w:val="false"/>
          <w:iCs w:val="false"/>
          <w:caps w:val="false"/>
          <w:color w:val="212121"/>
          <w:sz w:val="160"/>
          <w:szCs w:val="16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2. RESUMEN EJECUTIVO</w:t>
      </w:r>
    </w:p>
    <w:p>
      <w:pPr>
        <w:spacing w:after="80" w:before="60"/>
        <w:jc w:val="left"/>
      </w:pPr>
      <w:r>
        <w:rPr>
          <w:rFonts w:ascii="Arial" w:cs="Arial" w:eastAsia="Arial" w:hAnsi="Arial"/>
          <w:b w:val="false"/>
          <w:bCs w:val="false"/>
          <w:i w:val="false"/>
          <w:iCs w:val="false"/>
          <w:caps w:val="false"/>
          <w:color w:val="212121"/>
          <w:sz w:val="20"/>
          <w:szCs w:val="20"/>
        </w:rPr>
        <w:t xml:space="preserve">Renace es el programa central de intervención de Fundación Invictus al interior del sistema penitenciario chileno. Opera bajo un modelo integrado de tres ejes complementarios — formación técnica certificada, producción laboral con vinculación empresarial, y acompañamiento psicosocial y espiritual — que convierte el taller penitenciario en un ecosistema restaurativo con impacto demostrable sobre la empleabilidad y la reducción de reincidencia.</w:t>
      </w:r>
    </w:p>
    <w:p>
      <w:pPr>
        <w:spacing w:after="80" w:before="60"/>
        <w:jc w:val="left"/>
      </w:pPr>
      <w:r>
        <w:rPr>
          <w:rFonts w:ascii="Arial" w:cs="Arial" w:eastAsia="Arial" w:hAnsi="Arial"/>
          <w:b w:val="false"/>
          <w:bCs w:val="false"/>
          <w:i w:val="false"/>
          <w:iCs w:val="false"/>
          <w:caps w:val="false"/>
          <w:color w:val="212121"/>
          <w:sz w:val="20"/>
          <w:szCs w:val="20"/>
        </w:rPr>
        <w:t xml:space="preserve">El programa opera desde 2016 en el CDP Santiago Sur, el recinto de mayor densidad carcelaria del país, y proyecta su expansión al CP Valparaíso en el Año 1 de este ciclo. La proyección a 2 años contempla 9 cohortes anuales de 20 participantes cada una — 6 en la Región Metropolitana y 3 en Valparaíso — alcanzando a 180 personas privadas de libertad por año.</w:t>
      </w:r>
    </w:p>
    <w:p>
      <w:pPr>
        <w:spacing w:after="80" w:before="60"/>
        <w:jc w:val="left"/>
      </w:pPr>
      <w:r>
        <w:rPr>
          <w:rFonts w:ascii="Arial" w:cs="Arial" w:eastAsia="Arial" w:hAnsi="Arial"/>
          <w:b w:val="false"/>
          <w:bCs w:val="false"/>
          <w:i w:val="false"/>
          <w:iCs w:val="false"/>
          <w:caps w:val="false"/>
          <w:color w:val="212121"/>
          <w:sz w:val="20"/>
          <w:szCs w:val="20"/>
        </w:rPr>
        <w:t xml:space="preserve">El presupuesto total del proyecto es de CLP $135.500.000 en 2 años (CLP $86.000.000 en el Año 1 y CLP $49.500.000 en el Año 2), reflejando la inversión inicial mayor en equipamiento especializado del taller — máquinas CNC, corte láser y bordadoras industriales — que no se repite en el Año 2. El costo por participante desciende de CLP ~$478.000 en el Año 1 a CLP ~$275.000 en el Año 2 (una caída del 42%), conforme la infraestructura queda amortizada y la operación se estabiliza. En términos comparativos, estos costos son significativamente inferiores a los programas equivalentes del Estado chileno de reinserción laboral.</w:t>
      </w:r>
    </w:p>
    <w:p>
      <w:pPr>
        <w:spacing w:after="80" w:before="60"/>
        <w:jc w:val="left"/>
      </w:pPr>
      <w:r>
        <w:rPr>
          <w:rFonts w:ascii="Arial" w:cs="Arial" w:eastAsia="Arial" w:hAnsi="Arial"/>
          <w:b w:val="false"/>
          <w:bCs w:val="false"/>
          <w:i w:val="false"/>
          <w:iCs w:val="false"/>
          <w:caps w:val="false"/>
          <w:color w:val="212121"/>
          <w:sz w:val="20"/>
          <w:szCs w:val="20"/>
        </w:rPr>
        <w:t xml:space="preserve">Las metas de resultado son: 90% de completitud, 95% de certificación técnica ante SENCE, y 60% de egresados con empleo formal dentro de los primeros 6 meses. Estos indicadores se anclan en evidencia internacional robusta: los programas de formación laboral penitenciaria reducen la reincidencia entre 20% y 35% (BID, 2019; RAND, 2013), con un retorno de USD 4–5 por cada dólar invertido en el sistema de justicia.</w:t>
      </w:r>
    </w:p>
    <w:p>
      <w:pPr>
        <w:spacing w:after="0" w:before="0"/>
      </w:pPr>
      <w:r>
        <w:rPr>
          <w:rFonts w:ascii="Arial" w:cs="Arial" w:eastAsia="Arial" w:hAnsi="Arial"/>
          <w:b w:val="false"/>
          <w:bCs w:val="false"/>
          <w:i w:val="false"/>
          <w:iCs w:val="false"/>
          <w:caps w:val="false"/>
          <w:color w:val="212121"/>
          <w:sz w:val="120"/>
          <w:szCs w:val="12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3. DIAGNÓSTICO Y PROBLEMA QUE ABORDA EL PROGRAMA</w:t>
      </w:r>
    </w:p>
    <w:p>
      <w:pPr>
        <w:pStyle w:val="Heading2"/>
        <w:spacing w:after="100" w:before="320"/>
      </w:pPr>
      <w:r>
        <w:rPr>
          <w:rFonts w:ascii="Arial" w:cs="Arial" w:eastAsia="Arial" w:hAnsi="Arial"/>
          <w:b/>
          <w:bCs/>
          <w:i w:val="false"/>
          <w:iCs w:val="false"/>
          <w:caps w:val="false"/>
          <w:color w:val="1F618D"/>
          <w:sz w:val="26"/>
          <w:szCs w:val="26"/>
        </w:rPr>
        <w:t xml:space="preserve">3.1 Contexto Nacional</w:t>
      </w:r>
    </w:p>
    <w:p>
      <w:pPr>
        <w:spacing w:after="80" w:before="60"/>
        <w:jc w:val="left"/>
      </w:pPr>
      <w:r>
        <w:rPr>
          <w:rFonts w:ascii="Arial" w:cs="Arial" w:eastAsia="Arial" w:hAnsi="Arial"/>
          <w:b w:val="false"/>
          <w:bCs w:val="false"/>
          <w:i w:val="false"/>
          <w:iCs w:val="false"/>
          <w:caps w:val="false"/>
          <w:color w:val="212121"/>
          <w:sz w:val="20"/>
          <w:szCs w:val="20"/>
        </w:rPr>
        <w:t xml:space="preserve">Chile enfrenta una crisis estructural de reinserción penitenciaria con consecuencias sociales y económicas concretas y medibles:</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La tasa de reincidencia supera el 50% en los primeros 3 años tras el egreso del sistema penitenciario (Gendarmería de Chile, 2022).</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Más del 47% de la población penal no cuenta con educación media completa, limitando severamente su acceso al mercado laboral formal.</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El CDP Santiago Sur alberga cerca de 7.000 personas privadas de libertad, con muy escasa oferta de formación técnica de calidad vinculada a empleabilidad real.</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Según el Instituto Nacional de Derechos Humanos (INDH), la sobrepoblación penitenciaria supera el 40% en la mayoría de los recintos del país, agravando las condiciones de intervención.</w:t>
      </w:r>
    </w:p>
    <w:p>
      <w:pPr>
        <w:spacing w:after="0" w:before="0"/>
      </w:pPr>
      <w:r>
        <w:rPr>
          <w:rFonts w:ascii="Arial" w:cs="Arial" w:eastAsia="Arial" w:hAnsi="Arial"/>
          <w:b w:val="false"/>
          <w:bCs w:val="false"/>
          <w:i w:val="false"/>
          <w:iCs w:val="false"/>
          <w:caps w:val="false"/>
          <w:color w:val="212121"/>
          <w:sz w:val="80"/>
          <w:szCs w:val="80"/>
        </w:rPr>
        <w:t xml:space="preserve"/>
      </w:r>
    </w:p>
    <w:p>
      <w:pPr>
        <w:pStyle w:val="Heading2"/>
        <w:spacing w:after="100" w:before="320"/>
      </w:pPr>
      <w:r>
        <w:rPr>
          <w:rFonts w:ascii="Arial" w:cs="Arial" w:eastAsia="Arial" w:hAnsi="Arial"/>
          <w:b/>
          <w:bCs/>
          <w:i w:val="false"/>
          <w:iCs w:val="false"/>
          <w:caps w:val="false"/>
          <w:color w:val="1F618D"/>
          <w:sz w:val="26"/>
          <w:szCs w:val="26"/>
        </w:rPr>
        <w:t xml:space="preserve">3.2 Evidencia Internacional</w:t>
      </w:r>
    </w:p>
    <w:p>
      <w:pPr>
        <w:spacing w:after="80" w:before="60"/>
        <w:jc w:val="left"/>
      </w:pPr>
      <w:r>
        <w:rPr>
          <w:rFonts w:ascii="Arial" w:cs="Arial" w:eastAsia="Arial" w:hAnsi="Arial"/>
          <w:b w:val="false"/>
          <w:bCs w:val="false"/>
          <w:i w:val="false"/>
          <w:iCs w:val="false"/>
          <w:caps w:val="false"/>
          <w:color w:val="212121"/>
          <w:sz w:val="20"/>
          <w:szCs w:val="20"/>
        </w:rPr>
        <w:t xml:space="preserve">Existe evidencia académica robusta que sustenta la eficacia de programas como Renace:</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Un meta-análisis del BID (2019) sobre intervenciones penitenciarias en América Latina encontró que los programas de formación laboral reducen la reincidencia en promedio entre 20% y 35%.</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La RAND Corporation (2013) documentó que cada dólar invertido en educación penitenciaria ahorra entre USD 4 y USD 5 en costos futuros del sistema de justicia.</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El Centro de Estudios en Seguridad Ciudadana (CESC, Universidad de Chile) ha documentado que la vinculación empresarial directa reduce el estigma de contratación y mejora las tasas de retención laboral post-egreso.</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La integración de componentes psicosociales en programas de formación aumenta significativamente las tasas de completitud y los resultados a largo plazo (Bushway &amp; Reuter, 2002).</w:t>
      </w:r>
    </w:p>
    <w:p>
      <w:pPr>
        <w:spacing w:after="0" w:before="0"/>
      </w:pPr>
      <w:r>
        <w:rPr>
          <w:rFonts w:ascii="Arial" w:cs="Arial" w:eastAsia="Arial" w:hAnsi="Arial"/>
          <w:b w:val="false"/>
          <w:bCs w:val="false"/>
          <w:i w:val="false"/>
          <w:iCs w:val="false"/>
          <w:caps w:val="false"/>
          <w:color w:val="212121"/>
          <w:sz w:val="80"/>
          <w:szCs w:val="80"/>
        </w:rPr>
        <w:t xml:space="preserve"/>
      </w:r>
    </w:p>
    <w:p>
      <w:pPr>
        <w:pStyle w:val="Heading2"/>
        <w:spacing w:after="100" w:before="320"/>
      </w:pPr>
      <w:r>
        <w:rPr>
          <w:rFonts w:ascii="Arial" w:cs="Arial" w:eastAsia="Arial" w:hAnsi="Arial"/>
          <w:b/>
          <w:bCs/>
          <w:i w:val="false"/>
          <w:iCs w:val="false"/>
          <w:caps w:val="false"/>
          <w:color w:val="1F618D"/>
          <w:sz w:val="26"/>
          <w:szCs w:val="26"/>
        </w:rPr>
        <w:t xml:space="preserve">3.3 Diagnóstico Interno de la Fundación</w:t>
      </w:r>
    </w:p>
    <w:p>
      <w:pPr>
        <w:spacing w:after="80" w:before="60"/>
        <w:jc w:val="left"/>
      </w:pPr>
      <w:r>
        <w:rPr>
          <w:rFonts w:ascii="Arial" w:cs="Arial" w:eastAsia="Arial" w:hAnsi="Arial"/>
          <w:b w:val="false"/>
          <w:bCs w:val="false"/>
          <w:i w:val="false"/>
          <w:iCs w:val="false"/>
          <w:caps w:val="false"/>
          <w:color w:val="212121"/>
          <w:sz w:val="20"/>
          <w:szCs w:val="20"/>
        </w:rPr>
        <w:t xml:space="preserve">La identificación de la necesidad se basa en un proceso diagnóstico multifuente:</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Estadísticas oficiales de Gendarmería de Chile (informes 2020–2024) sobre tasas de reingreso al sistema.</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Datos del Sistema de Información Penitenciaria (SIGE) del Ministerio de Justicia sobre niveles educacionales y empleabilidad.</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Evaluaciones internas de Fundación Invictus: seguimiento de cohortes 2020–2024, con datos de empleabilidad post-egreso y tasas de certificación.</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Diagnóstico participativo: entrevistas con PPL del CDP Santiago Sur, identificando brechas formativas, intereses vocacionales y barreras para la reinserción.</w:t>
      </w:r>
    </w:p>
    <w:p>
      <w:pPr>
        <w:spacing w:after="0" w:before="0"/>
      </w:pPr>
      <w:r>
        <w:rPr>
          <w:rFonts w:ascii="Arial" w:cs="Arial" w:eastAsia="Arial" w:hAnsi="Arial"/>
          <w:b w:val="false"/>
          <w:bCs w:val="false"/>
          <w:i w:val="false"/>
          <w:iCs w:val="false"/>
          <w:caps w:val="false"/>
          <w:color w:val="212121"/>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27A" w:sz="4"/>
              <w:left w:val="single" w:color="B7950B" w:sz="12"/>
              <w:bottom w:val="single" w:color="F0B27A" w:sz="4"/>
              <w:right w:val="single" w:color="F0B27A" w:sz="4"/>
            </w:tcBorders>
            <w:shd w:fill="FEF9E7" w:val="clear"/>
            <w:tcMar>
              <w:top w:type="dxa" w:w="160"/>
              <w:left w:type="dxa" w:w="280"/>
              <w:bottom w:type="dxa" w:w="160"/>
              <w:right w:type="dxa" w:w="280"/>
            </w:tcMar>
          </w:tcPr>
          <w:p>
            <w:pPr>
              <w:spacing w:after="80" w:before="0"/>
            </w:pPr>
            <w:r>
              <w:rPr>
                <w:rFonts w:ascii="Arial" w:cs="Arial" w:eastAsia="Arial" w:hAnsi="Arial"/>
                <w:b/>
                <w:bCs/>
                <w:i w:val="false"/>
                <w:iCs w:val="false"/>
                <w:caps w:val="false"/>
                <w:color w:val="B7950B"/>
                <w:sz w:val="19"/>
                <w:szCs w:val="19"/>
              </w:rPr>
              <w:t xml:space="preserve">[ PENDIENTE — DATOS HISTÓRICOS DE COHORTES 2020–2024 ]</w:t>
            </w:r>
          </w:p>
          <w:p>
            <w:pPr>
              <w:spacing w:after="0" w:before="0"/>
            </w:pPr>
            <w:r>
              <w:rPr>
                <w:rFonts w:ascii="Arial" w:cs="Arial" w:eastAsia="Arial" w:hAnsi="Arial"/>
                <w:b w:val="false"/>
                <w:bCs w:val="false"/>
                <w:i/>
                <w:iCs/>
                <w:caps w:val="false"/>
                <w:color w:val="555555"/>
                <w:sz w:val="18"/>
                <w:szCs w:val="18"/>
              </w:rPr>
              <w:t xml:space="preserve">Completar con: N° cohortes ejecutadas por año, N° participantes, % completitud real, % certificación real, % empleo a 6 meses (si disponible), tasa de reincidencia de egresados del programa (si se ha medido). Esta sección es crítica para la credibilidad del proyecto ante evaluadores.</w:t>
            </w:r>
          </w:p>
        </w:tc>
      </w:tr>
    </w:tbl>
    <w:p>
      <w:pPr>
        <w:spacing w:after="0" w:before="0"/>
      </w:pPr>
      <w:r>
        <w:rPr>
          <w:rFonts w:ascii="Arial" w:cs="Arial" w:eastAsia="Arial" w:hAnsi="Arial"/>
          <w:b w:val="false"/>
          <w:bCs w:val="false"/>
          <w:i w:val="false"/>
          <w:iCs w:val="false"/>
          <w:caps w:val="false"/>
          <w:color w:val="212121"/>
          <w:sz w:val="160"/>
          <w:szCs w:val="16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4. TEORÍA DE CAMBIO</w:t>
      </w:r>
    </w:p>
    <w:p>
      <w:pPr>
        <w:spacing w:after="80" w:before="60"/>
        <w:jc w:val="left"/>
      </w:pPr>
      <w:r>
        <w:rPr>
          <w:rFonts w:ascii="Arial" w:cs="Arial" w:eastAsia="Arial" w:hAnsi="Arial"/>
          <w:b w:val="false"/>
          <w:bCs w:val="false"/>
          <w:i w:val="false"/>
          <w:iCs w:val="false"/>
          <w:caps w:val="false"/>
          <w:color w:val="212121"/>
          <w:sz w:val="20"/>
          <w:szCs w:val="20"/>
        </w:rPr>
        <w:t xml:space="preserve">La teoría de cambio de Renace parte de la premisa de que la exclusión estructural de las personas privadas de libertad del mercado laboral formal no es un atributo personal sino el resultado de barreras sistémicas — ausencia de formación técnica reconocida, estigma de empleadores, y falta de redes de vinculación — que pueden ser removidas mediante una intervención integrada y sostenida.</w:t>
      </w:r>
    </w:p>
    <w:p>
      <w:pPr>
        <w:spacing w:after="0" w:before="0"/>
      </w:pPr>
      <w:r>
        <w:rPr>
          <w:rFonts w:ascii="Arial" w:cs="Arial" w:eastAsia="Arial" w:hAnsi="Arial"/>
          <w:b w:val="false"/>
          <w:bCs w:val="false"/>
          <w:i w:val="false"/>
          <w:iCs w:val="false"/>
          <w:caps w:val="false"/>
          <w:color w:val="212121"/>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INSUMOS
(Inputs)</w:t>
            </w:r>
          </w:p>
        </w:tc>
        <w:tc>
          <w:tcPr>
            <w:tcW w:type="dxa" w:w="1560"/>
            <w:tcBorders>
              <w:top w:val="single" w:color="AAAAAA" w:sz="1"/>
              <w:left w:val="single" w:color="AAAAAA" w:sz="1"/>
              <w:bottom w:val="single" w:color="AAAAAA" w:sz="1"/>
              <w:right w:val="single" w:color="AAAAAA" w:sz="1"/>
            </w:tcBorders>
            <w:shd w:fill="1F618D"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ACTIVIDADES
(Activities)</w:t>
            </w:r>
          </w:p>
        </w:tc>
        <w:tc>
          <w:tcPr>
            <w:tcW w:type="dxa" w:w="1560"/>
            <w:tcBorders>
              <w:top w:val="single" w:color="AAAAAA" w:sz="1"/>
              <w:left w:val="single" w:color="AAAAAA" w:sz="1"/>
              <w:bottom w:val="single" w:color="AAAAAA" w:sz="1"/>
              <w:right w:val="single" w:color="AAAAAA" w:sz="1"/>
            </w:tcBorders>
            <w:shd w:fill="1A6A3E"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PRODUCTOS
(Outputs)</w:t>
            </w:r>
          </w:p>
        </w:tc>
        <w:tc>
          <w:tcPr>
            <w:tcW w:type="dxa" w:w="1560"/>
            <w:tcBorders>
              <w:top w:val="single" w:color="AAAAAA" w:sz="1"/>
              <w:left w:val="single" w:color="AAAAAA" w:sz="1"/>
              <w:bottom w:val="single" w:color="AAAAAA" w:sz="1"/>
              <w:right w:val="single" w:color="AAAAAA" w:sz="1"/>
            </w:tcBorders>
            <w:shd w:fill="784212"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RESULTADOS CP
(Short-term)</w:t>
            </w:r>
          </w:p>
        </w:tc>
        <w:tc>
          <w:tcPr>
            <w:tcW w:type="dxa" w:w="1560"/>
            <w:tcBorders>
              <w:top w:val="single" w:color="AAAAAA" w:sz="1"/>
              <w:left w:val="single" w:color="AAAAAA" w:sz="1"/>
              <w:bottom w:val="single" w:color="AAAAAA" w:sz="1"/>
              <w:right w:val="single" w:color="AAAAAA" w:sz="1"/>
            </w:tcBorders>
            <w:shd w:fill="6C3483"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RESULTADOS MP
(Medium-term)</w:t>
            </w:r>
          </w:p>
        </w:tc>
        <w:tc>
          <w:tcPr>
            <w:tcW w:type="dxa" w:w="156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IMPACTO
(Long-term)</w:t>
            </w:r>
          </w:p>
        </w:tc>
      </w:tr>
      <w:tr>
        <w:tc>
          <w:tcPr>
            <w:tcW w:type="dxa" w:w="1560"/>
            <w:tcBorders>
              <w:top w:val="single" w:color="AAAAAA" w:sz="1"/>
              <w:left w:val="single" w:color="AAAAAA" w:sz="1"/>
              <w:bottom w:val="single" w:color="AAAAAA" w:sz="1"/>
              <w:right w:val="single" w:color="AAAAAA" w:sz="1"/>
            </w:tcBorders>
            <w:shd w:fill="EBF5FB" w:val="clear"/>
            <w:tcMar>
              <w:top w:type="dxa" w:w="120"/>
              <w:left w:type="dxa" w:w="140"/>
              <w:bottom w:type="dxa" w:w="120"/>
              <w:right w:type="dxa" w:w="140"/>
            </w:tcMar>
          </w:tcPr>
          <w:p>
            <w:pPr>
              <w:spacing w:after="40" w:before="0"/>
              <w:jc w:val="left"/>
            </w:pPr>
            <w:r>
              <w:rPr>
                <w:rFonts w:ascii="Arial" w:cs="Arial" w:eastAsia="Arial" w:hAnsi="Arial"/>
                <w:b w:val="false"/>
                <w:bCs w:val="false"/>
                <w:i w:val="false"/>
                <w:iCs w:val="false"/>
                <w:caps w:val="false"/>
                <w:color w:val="212121"/>
                <w:sz w:val="16"/>
                <w:szCs w:val="16"/>
              </w:rPr>
              <w:t xml:space="preserve">· Instructores técnicos calificados</w:t>
            </w:r>
          </w:p>
          <w:p>
            <w:pPr>
              <w:spacing w:after="40" w:before="0"/>
              <w:jc w:val="left"/>
            </w:pPr>
            <w:r>
              <w:rPr>
                <w:rFonts w:ascii="Arial" w:cs="Arial" w:eastAsia="Arial" w:hAnsi="Arial"/>
                <w:b w:val="false"/>
                <w:bCs w:val="false"/>
                <w:i w:val="false"/>
                <w:iCs w:val="false"/>
                <w:caps w:val="false"/>
                <w:color w:val="212121"/>
                <w:sz w:val="16"/>
                <w:szCs w:val="16"/>
              </w:rPr>
              <w:t xml:space="preserve">· Psicólogo/a y trabajador/a social</w:t>
            </w:r>
          </w:p>
          <w:p>
            <w:pPr>
              <w:spacing w:after="40" w:before="0"/>
              <w:jc w:val="left"/>
            </w:pPr>
            <w:r>
              <w:rPr>
                <w:rFonts w:ascii="Arial" w:cs="Arial" w:eastAsia="Arial" w:hAnsi="Arial"/>
                <w:b w:val="false"/>
                <w:bCs w:val="false"/>
                <w:i w:val="false"/>
                <w:iCs w:val="false"/>
                <w:caps w:val="false"/>
                <w:color w:val="212121"/>
                <w:sz w:val="16"/>
                <w:szCs w:val="16"/>
              </w:rPr>
              <w:t xml:space="preserve">· Infraestructura CDP (galpón)</w:t>
            </w:r>
          </w:p>
          <w:p>
            <w:pPr>
              <w:spacing w:after="40" w:before="0"/>
              <w:jc w:val="left"/>
            </w:pPr>
            <w:r>
              <w:rPr>
                <w:rFonts w:ascii="Arial" w:cs="Arial" w:eastAsia="Arial" w:hAnsi="Arial"/>
                <w:b w:val="false"/>
                <w:bCs w:val="false"/>
                <w:i w:val="false"/>
                <w:iCs w:val="false"/>
                <w:caps w:val="false"/>
                <w:color w:val="212121"/>
                <w:sz w:val="16"/>
                <w:szCs w:val="16"/>
              </w:rPr>
              <w:t xml:space="preserve">· Maquinaria y herramientas</w:t>
            </w:r>
          </w:p>
          <w:p>
            <w:pPr>
              <w:spacing w:after="40" w:before="0"/>
              <w:jc w:val="left"/>
            </w:pPr>
            <w:r>
              <w:rPr>
                <w:rFonts w:ascii="Arial" w:cs="Arial" w:eastAsia="Arial" w:hAnsi="Arial"/>
                <w:b w:val="false"/>
                <w:bCs w:val="false"/>
                <w:i w:val="false"/>
                <w:iCs w:val="false"/>
                <w:caps w:val="false"/>
                <w:color w:val="212121"/>
                <w:sz w:val="16"/>
                <w:szCs w:val="16"/>
              </w:rPr>
              <w:t xml:space="preserve">· Convenio Gendarmería de Chile</w:t>
            </w:r>
          </w:p>
          <w:p>
            <w:pPr>
              <w:spacing w:after="40" w:before="0"/>
              <w:jc w:val="left"/>
            </w:pPr>
            <w:r>
              <w:rPr>
                <w:rFonts w:ascii="Arial" w:cs="Arial" w:eastAsia="Arial" w:hAnsi="Arial"/>
                <w:b w:val="false"/>
                <w:bCs w:val="false"/>
                <w:i w:val="false"/>
                <w:iCs w:val="false"/>
                <w:caps w:val="false"/>
                <w:color w:val="212121"/>
                <w:sz w:val="16"/>
                <w:szCs w:val="16"/>
              </w:rPr>
              <w:t xml:space="preserve">· Financiamiento diversificado</w:t>
            </w:r>
          </w:p>
          <w:p>
            <w:pPr>
              <w:spacing w:after="0" w:before="0"/>
              <w:jc w:val="left"/>
            </w:pPr>
            <w:r>
              <w:rPr>
                <w:rFonts w:ascii="Arial" w:cs="Arial" w:eastAsia="Arial" w:hAnsi="Arial"/>
                <w:b w:val="false"/>
                <w:bCs w:val="false"/>
                <w:i w:val="false"/>
                <w:iCs w:val="false"/>
                <w:caps w:val="false"/>
                <w:color w:val="212121"/>
                <w:sz w:val="16"/>
                <w:szCs w:val="16"/>
              </w:rPr>
              <w:t xml:space="preserve">· 9 años de metodología validada</w:t>
            </w:r>
          </w:p>
        </w:tc>
        <w:tc>
          <w:tcPr>
            <w:tcW w:type="dxa" w:w="1560"/>
            <w:tcBorders>
              <w:top w:val="single" w:color="AAAAAA" w:sz="1"/>
              <w:left w:val="single" w:color="AAAAAA" w:sz="1"/>
              <w:bottom w:val="single" w:color="AAAAAA" w:sz="1"/>
              <w:right w:val="single" w:color="AAAAAA" w:sz="1"/>
            </w:tcBorders>
            <w:shd w:fill="EBF5FB" w:val="clear"/>
            <w:tcMar>
              <w:top w:type="dxa" w:w="120"/>
              <w:left w:type="dxa" w:w="140"/>
              <w:bottom w:type="dxa" w:w="120"/>
              <w:right w:type="dxa" w:w="140"/>
            </w:tcMar>
          </w:tcPr>
          <w:p>
            <w:pPr>
              <w:spacing w:after="40" w:before="0"/>
              <w:jc w:val="left"/>
            </w:pPr>
            <w:r>
              <w:rPr>
                <w:rFonts w:ascii="Arial" w:cs="Arial" w:eastAsia="Arial" w:hAnsi="Arial"/>
                <w:b w:val="false"/>
                <w:bCs w:val="false"/>
                <w:i w:val="false"/>
                <w:iCs w:val="false"/>
                <w:caps w:val="false"/>
                <w:color w:val="212121"/>
                <w:sz w:val="16"/>
                <w:szCs w:val="16"/>
              </w:rPr>
              <w:t xml:space="preserve">· Talleres técnicos (mueblería, corte y confección, electricidad)</w:t>
            </w:r>
          </w:p>
          <w:p>
            <w:pPr>
              <w:spacing w:after="40" w:before="0"/>
              <w:jc w:val="left"/>
            </w:pPr>
            <w:r>
              <w:rPr>
                <w:rFonts w:ascii="Arial" w:cs="Arial" w:eastAsia="Arial" w:hAnsi="Arial"/>
                <w:b w:val="false"/>
                <w:bCs w:val="false"/>
                <w:i w:val="false"/>
                <w:iCs w:val="false"/>
                <w:caps w:val="false"/>
                <w:color w:val="212121"/>
                <w:sz w:val="16"/>
                <w:szCs w:val="16"/>
              </w:rPr>
              <w:t xml:space="preserve">· Producción en taller con empresas socias</w:t>
            </w:r>
          </w:p>
          <w:p>
            <w:pPr>
              <w:spacing w:after="40" w:before="0"/>
              <w:jc w:val="left"/>
            </w:pPr>
            <w:r>
              <w:rPr>
                <w:rFonts w:ascii="Arial" w:cs="Arial" w:eastAsia="Arial" w:hAnsi="Arial"/>
                <w:b w:val="false"/>
                <w:bCs w:val="false"/>
                <w:i w:val="false"/>
                <w:iCs w:val="false"/>
                <w:caps w:val="false"/>
                <w:color w:val="212121"/>
                <w:sz w:val="16"/>
                <w:szCs w:val="16"/>
              </w:rPr>
              <w:t xml:space="preserve">· Sesiones psicosociales grupales e individuales</w:t>
            </w:r>
          </w:p>
          <w:p>
            <w:pPr>
              <w:spacing w:after="40" w:before="0"/>
              <w:jc w:val="left"/>
            </w:pPr>
            <w:r>
              <w:rPr>
                <w:rFonts w:ascii="Arial" w:cs="Arial" w:eastAsia="Arial" w:hAnsi="Arial"/>
                <w:b w:val="false"/>
                <w:bCs w:val="false"/>
                <w:i w:val="false"/>
                <w:iCs w:val="false"/>
                <w:caps w:val="false"/>
                <w:color w:val="212121"/>
                <w:sz w:val="16"/>
                <w:szCs w:val="16"/>
              </w:rPr>
              <w:t xml:space="preserve">· Talleres de habilidades blandas</w:t>
            </w:r>
          </w:p>
          <w:p>
            <w:pPr>
              <w:spacing w:after="40" w:before="0"/>
              <w:jc w:val="left"/>
            </w:pPr>
            <w:r>
              <w:rPr>
                <w:rFonts w:ascii="Arial" w:cs="Arial" w:eastAsia="Arial" w:hAnsi="Arial"/>
                <w:b w:val="false"/>
                <w:bCs w:val="false"/>
                <w:i w:val="false"/>
                <w:iCs w:val="false"/>
                <w:caps w:val="false"/>
                <w:color w:val="212121"/>
                <w:sz w:val="16"/>
                <w:szCs w:val="16"/>
              </w:rPr>
              <w:t xml:space="preserve">· Nivelación matemática y lenguaje</w:t>
            </w:r>
          </w:p>
          <w:p>
            <w:pPr>
              <w:spacing w:after="40" w:before="0"/>
              <w:jc w:val="left"/>
            </w:pPr>
            <w:r>
              <w:rPr>
                <w:rFonts w:ascii="Arial" w:cs="Arial" w:eastAsia="Arial" w:hAnsi="Arial"/>
                <w:b w:val="false"/>
                <w:bCs w:val="false"/>
                <w:i w:val="false"/>
                <w:iCs w:val="false"/>
                <w:caps w:val="false"/>
                <w:color w:val="212121"/>
                <w:sz w:val="16"/>
                <w:szCs w:val="16"/>
              </w:rPr>
              <w:t xml:space="preserve">· Taller de preparación a la libertad</w:t>
            </w:r>
          </w:p>
          <w:p>
            <w:pPr>
              <w:spacing w:after="0" w:before="0"/>
              <w:jc w:val="left"/>
            </w:pPr>
            <w:r>
              <w:rPr>
                <w:rFonts w:ascii="Arial" w:cs="Arial" w:eastAsia="Arial" w:hAnsi="Arial"/>
                <w:b w:val="false"/>
                <w:bCs w:val="false"/>
                <w:i w:val="false"/>
                <w:iCs w:val="false"/>
                <w:caps w:val="false"/>
                <w:color w:val="212121"/>
                <w:sz w:val="16"/>
                <w:szCs w:val="16"/>
              </w:rPr>
              <w:t xml:space="preserve">· Acompañamiento espiritual (ESPERE y otros)</w:t>
            </w:r>
          </w:p>
        </w:tc>
        <w:tc>
          <w:tcPr>
            <w:tcW w:type="dxa" w:w="1560"/>
            <w:tcBorders>
              <w:top w:val="single" w:color="AAAAAA" w:sz="1"/>
              <w:left w:val="single" w:color="AAAAAA" w:sz="1"/>
              <w:bottom w:val="single" w:color="AAAAAA" w:sz="1"/>
              <w:right w:val="single" w:color="AAAAAA" w:sz="1"/>
            </w:tcBorders>
            <w:shd w:fill="EAFAF1" w:val="clear"/>
            <w:tcMar>
              <w:top w:type="dxa" w:w="120"/>
              <w:left w:type="dxa" w:w="140"/>
              <w:bottom w:type="dxa" w:w="120"/>
              <w:right w:type="dxa" w:w="140"/>
            </w:tcMar>
          </w:tcPr>
          <w:p>
            <w:pPr>
              <w:spacing w:after="40" w:before="0"/>
              <w:jc w:val="left"/>
            </w:pPr>
            <w:r>
              <w:rPr>
                <w:rFonts w:ascii="Arial" w:cs="Arial" w:eastAsia="Arial" w:hAnsi="Arial"/>
                <w:b w:val="false"/>
                <w:bCs w:val="false"/>
                <w:i w:val="false"/>
                <w:iCs w:val="false"/>
                <w:caps w:val="false"/>
                <w:color w:val="212121"/>
                <w:sz w:val="16"/>
                <w:szCs w:val="16"/>
              </w:rPr>
              <w:t xml:space="preserve">· 9 cohortes ejecutadas / año</w:t>
            </w:r>
          </w:p>
          <w:p>
            <w:pPr>
              <w:spacing w:after="40" w:before="0"/>
              <w:jc w:val="left"/>
            </w:pPr>
            <w:r>
              <w:rPr>
                <w:rFonts w:ascii="Arial" w:cs="Arial" w:eastAsia="Arial" w:hAnsi="Arial"/>
                <w:b w:val="false"/>
                <w:bCs w:val="false"/>
                <w:i w:val="false"/>
                <w:iCs w:val="false"/>
                <w:caps w:val="false"/>
                <w:color w:val="212121"/>
                <w:sz w:val="16"/>
                <w:szCs w:val="16"/>
              </w:rPr>
              <w:t xml:space="preserve">· 180 PPL formados / año</w:t>
            </w:r>
          </w:p>
          <w:p>
            <w:pPr>
              <w:spacing w:after="40" w:before="0"/>
              <w:jc w:val="left"/>
            </w:pPr>
            <w:r>
              <w:rPr>
                <w:rFonts w:ascii="Arial" w:cs="Arial" w:eastAsia="Arial" w:hAnsi="Arial"/>
                <w:b w:val="false"/>
                <w:bCs w:val="false"/>
                <w:i w:val="false"/>
                <w:iCs w:val="false"/>
                <w:caps w:val="false"/>
                <w:color w:val="212121"/>
                <w:sz w:val="16"/>
                <w:szCs w:val="16"/>
              </w:rPr>
              <w:t xml:space="preserve">· 162 certificaciones SENCE / año (90%)</w:t>
            </w:r>
          </w:p>
          <w:p>
            <w:pPr>
              <w:spacing w:after="40" w:before="0"/>
              <w:jc w:val="left"/>
            </w:pPr>
            <w:r>
              <w:rPr>
                <w:rFonts w:ascii="Arial" w:cs="Arial" w:eastAsia="Arial" w:hAnsi="Arial"/>
                <w:b w:val="false"/>
                <w:bCs w:val="false"/>
                <w:i w:val="false"/>
                <w:iCs w:val="false"/>
                <w:caps w:val="false"/>
                <w:color w:val="212121"/>
                <w:sz w:val="16"/>
                <w:szCs w:val="16"/>
              </w:rPr>
              <w:t xml:space="preserve">· Taller productivo operativo en 2 recintos</w:t>
            </w:r>
          </w:p>
          <w:p>
            <w:pPr>
              <w:spacing w:after="40" w:before="0"/>
              <w:jc w:val="left"/>
            </w:pPr>
            <w:r>
              <w:rPr>
                <w:rFonts w:ascii="Arial" w:cs="Arial" w:eastAsia="Arial" w:hAnsi="Arial"/>
                <w:b w:val="false"/>
                <w:bCs w:val="false"/>
                <w:i w:val="false"/>
                <w:iCs w:val="false"/>
                <w:caps w:val="false"/>
                <w:color w:val="212121"/>
                <w:sz w:val="16"/>
                <w:szCs w:val="16"/>
              </w:rPr>
              <w:t xml:space="preserve">· Informes de M&amp;E sistematizados</w:t>
            </w:r>
          </w:p>
          <w:p>
            <w:pPr>
              <w:spacing w:after="0" w:before="0"/>
              <w:jc w:val="left"/>
            </w:pPr>
            <w:r>
              <w:rPr>
                <w:rFonts w:ascii="Arial" w:cs="Arial" w:eastAsia="Arial" w:hAnsi="Arial"/>
                <w:b w:val="false"/>
                <w:bCs w:val="false"/>
                <w:i w:val="false"/>
                <w:iCs w:val="false"/>
                <w:caps w:val="false"/>
                <w:color w:val="212121"/>
                <w:sz w:val="16"/>
                <w:szCs w:val="16"/>
              </w:rPr>
              <w:t xml:space="preserve">· Red de empresas socias activa</w:t>
            </w:r>
          </w:p>
        </w:tc>
        <w:tc>
          <w:tcPr>
            <w:tcW w:type="dxa" w:w="1560"/>
            <w:tcBorders>
              <w:top w:val="single" w:color="AAAAAA" w:sz="1"/>
              <w:left w:val="single" w:color="AAAAAA" w:sz="1"/>
              <w:bottom w:val="single" w:color="AAAAAA" w:sz="1"/>
              <w:right w:val="single" w:color="AAAAAA" w:sz="1"/>
            </w:tcBorders>
            <w:shd w:fill="FEF5E7" w:val="clear"/>
            <w:tcMar>
              <w:top w:type="dxa" w:w="120"/>
              <w:left w:type="dxa" w:w="140"/>
              <w:bottom w:type="dxa" w:w="120"/>
              <w:right w:type="dxa" w:w="140"/>
            </w:tcMar>
          </w:tcPr>
          <w:p>
            <w:pPr>
              <w:spacing w:after="40" w:before="0"/>
              <w:jc w:val="left"/>
            </w:pPr>
            <w:r>
              <w:rPr>
                <w:rFonts w:ascii="Arial" w:cs="Arial" w:eastAsia="Arial" w:hAnsi="Arial"/>
                <w:b w:val="false"/>
                <w:bCs w:val="false"/>
                <w:i w:val="false"/>
                <w:iCs w:val="false"/>
                <w:caps w:val="false"/>
                <w:color w:val="212121"/>
                <w:sz w:val="16"/>
                <w:szCs w:val="16"/>
              </w:rPr>
              <w:t xml:space="preserve">· Mejora en competencias técnicas certificadas</w:t>
            </w:r>
          </w:p>
          <w:p>
            <w:pPr>
              <w:spacing w:after="40" w:before="0"/>
              <w:jc w:val="left"/>
            </w:pPr>
            <w:r>
              <w:rPr>
                <w:rFonts w:ascii="Arial" w:cs="Arial" w:eastAsia="Arial" w:hAnsi="Arial"/>
                <w:b w:val="false"/>
                <w:bCs w:val="false"/>
                <w:i w:val="false"/>
                <w:iCs w:val="false"/>
                <w:caps w:val="false"/>
                <w:color w:val="212121"/>
                <w:sz w:val="16"/>
                <w:szCs w:val="16"/>
              </w:rPr>
              <w:t xml:space="preserve">· Aumento autoeficacia y proyecto de vida</w:t>
            </w:r>
          </w:p>
          <w:p>
            <w:pPr>
              <w:spacing w:after="40" w:before="0"/>
              <w:jc w:val="left"/>
            </w:pPr>
            <w:r>
              <w:rPr>
                <w:rFonts w:ascii="Arial" w:cs="Arial" w:eastAsia="Arial" w:hAnsi="Arial"/>
                <w:b w:val="false"/>
                <w:bCs w:val="false"/>
                <w:i w:val="false"/>
                <w:iCs w:val="false"/>
                <w:caps w:val="false"/>
                <w:color w:val="212121"/>
                <w:sz w:val="16"/>
                <w:szCs w:val="16"/>
              </w:rPr>
              <w:t xml:space="preserve">· Ingreso económico durante reclusión</w:t>
            </w:r>
          </w:p>
          <w:p>
            <w:pPr>
              <w:spacing w:after="40" w:before="0"/>
              <w:jc w:val="left"/>
            </w:pPr>
            <w:r>
              <w:rPr>
                <w:rFonts w:ascii="Arial" w:cs="Arial" w:eastAsia="Arial" w:hAnsi="Arial"/>
                <w:b w:val="false"/>
                <w:bCs w:val="false"/>
                <w:i w:val="false"/>
                <w:iCs w:val="false"/>
                <w:caps w:val="false"/>
                <w:color w:val="212121"/>
                <w:sz w:val="16"/>
                <w:szCs w:val="16"/>
              </w:rPr>
              <w:t xml:space="preserve">· Reducción del estigma por parte de empleadores</w:t>
            </w:r>
          </w:p>
          <w:p>
            <w:pPr>
              <w:spacing w:after="0" w:before="0"/>
              <w:jc w:val="left"/>
            </w:pPr>
            <w:r>
              <w:rPr>
                <w:rFonts w:ascii="Arial" w:cs="Arial" w:eastAsia="Arial" w:hAnsi="Arial"/>
                <w:b w:val="false"/>
                <w:bCs w:val="false"/>
                <w:i w:val="false"/>
                <w:iCs w:val="false"/>
                <w:caps w:val="false"/>
                <w:color w:val="212121"/>
                <w:sz w:val="16"/>
                <w:szCs w:val="16"/>
              </w:rPr>
              <w:t xml:space="preserve">· Habilidades blandas fortalecidas</w:t>
            </w:r>
          </w:p>
        </w:tc>
        <w:tc>
          <w:tcPr>
            <w:tcW w:type="dxa" w:w="1560"/>
            <w:tcBorders>
              <w:top w:val="single" w:color="AAAAAA" w:sz="1"/>
              <w:left w:val="single" w:color="AAAAAA" w:sz="1"/>
              <w:bottom w:val="single" w:color="AAAAAA" w:sz="1"/>
              <w:right w:val="single" w:color="AAAAAA" w:sz="1"/>
            </w:tcBorders>
            <w:shd w:fill="F5EEF8" w:val="clear"/>
            <w:tcMar>
              <w:top w:type="dxa" w:w="120"/>
              <w:left w:type="dxa" w:w="140"/>
              <w:bottom w:type="dxa" w:w="120"/>
              <w:right w:type="dxa" w:w="140"/>
            </w:tcMar>
          </w:tcPr>
          <w:p>
            <w:pPr>
              <w:spacing w:after="40" w:before="0"/>
              <w:jc w:val="left"/>
            </w:pPr>
            <w:r>
              <w:rPr>
                <w:rFonts w:ascii="Arial" w:cs="Arial" w:eastAsia="Arial" w:hAnsi="Arial"/>
                <w:b w:val="false"/>
                <w:bCs w:val="false"/>
                <w:i w:val="false"/>
                <w:iCs w:val="false"/>
                <w:caps w:val="false"/>
                <w:color w:val="212121"/>
                <w:sz w:val="16"/>
                <w:szCs w:val="16"/>
              </w:rPr>
              <w:t xml:space="preserve">· 60% accede a empleo formal a 6 meses del egreso</w:t>
            </w:r>
          </w:p>
          <w:p>
            <w:pPr>
              <w:spacing w:after="40" w:before="0"/>
              <w:jc w:val="left"/>
            </w:pPr>
            <w:r>
              <w:rPr>
                <w:rFonts w:ascii="Arial" w:cs="Arial" w:eastAsia="Arial" w:hAnsi="Arial"/>
                <w:b w:val="false"/>
                <w:bCs w:val="false"/>
                <w:i w:val="false"/>
                <w:iCs w:val="false"/>
                <w:caps w:val="false"/>
                <w:color w:val="212121"/>
                <w:sz w:val="16"/>
                <w:szCs w:val="16"/>
              </w:rPr>
              <w:t xml:space="preserve">· Reducción de reincidencia 20–35%</w:t>
            </w:r>
          </w:p>
          <w:p>
            <w:pPr>
              <w:spacing w:after="40" w:before="0"/>
              <w:jc w:val="left"/>
            </w:pPr>
            <w:r>
              <w:rPr>
                <w:rFonts w:ascii="Arial" w:cs="Arial" w:eastAsia="Arial" w:hAnsi="Arial"/>
                <w:b w:val="false"/>
                <w:bCs w:val="false"/>
                <w:i w:val="false"/>
                <w:iCs w:val="false"/>
                <w:caps w:val="false"/>
                <w:color w:val="212121"/>
                <w:sz w:val="16"/>
                <w:szCs w:val="16"/>
              </w:rPr>
              <w:t xml:space="preserve">· Apoyo económico activo a familias</w:t>
            </w:r>
          </w:p>
          <w:p>
            <w:pPr>
              <w:spacing w:after="0" w:before="0"/>
              <w:jc w:val="left"/>
            </w:pPr>
            <w:r>
              <w:rPr>
                <w:rFonts w:ascii="Arial" w:cs="Arial" w:eastAsia="Arial" w:hAnsi="Arial"/>
                <w:b w:val="false"/>
                <w:bCs w:val="false"/>
                <w:i w:val="false"/>
                <w:iCs w:val="false"/>
                <w:caps w:val="false"/>
                <w:color w:val="212121"/>
                <w:sz w:val="16"/>
                <w:szCs w:val="16"/>
              </w:rPr>
              <w:t xml:space="preserve">· Modelo 'Mandela Blueprint' replicable</w:t>
            </w:r>
          </w:p>
        </w:tc>
        <w:tc>
          <w:tcPr>
            <w:tcW w:type="dxa" w:w="1560"/>
            <w:tcBorders>
              <w:top w:val="single" w:color="AAAAAA" w:sz="1"/>
              <w:left w:val="single" w:color="AAAAAA" w:sz="1"/>
              <w:bottom w:val="single" w:color="AAAAAA" w:sz="1"/>
              <w:right w:val="single" w:color="AAAAAA" w:sz="1"/>
            </w:tcBorders>
            <w:shd w:fill="EBF5FB" w:val="clear"/>
            <w:tcMar>
              <w:top w:type="dxa" w:w="120"/>
              <w:left w:type="dxa" w:w="140"/>
              <w:bottom w:type="dxa" w:w="120"/>
              <w:right w:type="dxa" w:w="140"/>
            </w:tcMar>
          </w:tcPr>
          <w:p>
            <w:pPr>
              <w:spacing w:after="40" w:before="0"/>
              <w:jc w:val="left"/>
            </w:pPr>
            <w:r>
              <w:rPr>
                <w:rFonts w:ascii="Arial" w:cs="Arial" w:eastAsia="Arial" w:hAnsi="Arial"/>
                <w:b w:val="false"/>
                <w:bCs w:val="false"/>
                <w:i w:val="false"/>
                <w:iCs w:val="false"/>
                <w:caps w:val="false"/>
                <w:color w:val="212121"/>
                <w:sz w:val="16"/>
                <w:szCs w:val="16"/>
              </w:rPr>
              <w:t xml:space="preserve">· Ruptura del ciclo de exclusión social y pobreza intergeneracional</w:t>
            </w:r>
          </w:p>
          <w:p>
            <w:pPr>
              <w:spacing w:after="40" w:before="0"/>
              <w:jc w:val="left"/>
            </w:pPr>
            <w:r>
              <w:rPr>
                <w:rFonts w:ascii="Arial" w:cs="Arial" w:eastAsia="Arial" w:hAnsi="Arial"/>
                <w:b w:val="false"/>
                <w:bCs w:val="false"/>
                <w:i w:val="false"/>
                <w:iCs w:val="false"/>
                <w:caps w:val="false"/>
                <w:color w:val="212121"/>
                <w:sz w:val="16"/>
                <w:szCs w:val="16"/>
              </w:rPr>
              <w:t xml:space="preserve">· Cohesión social y reducción de desigualdad</w:t>
            </w:r>
          </w:p>
          <w:p>
            <w:pPr>
              <w:spacing w:after="0" w:before="0"/>
              <w:jc w:val="left"/>
            </w:pPr>
            <w:r>
              <w:rPr>
                <w:rFonts w:ascii="Arial" w:cs="Arial" w:eastAsia="Arial" w:hAnsi="Arial"/>
                <w:b w:val="false"/>
                <w:bCs w:val="false"/>
                <w:i w:val="false"/>
                <w:iCs w:val="false"/>
                <w:caps w:val="false"/>
                <w:color w:val="212121"/>
                <w:sz w:val="16"/>
                <w:szCs w:val="16"/>
              </w:rPr>
              <w:t xml:space="preserve">· Menor costo para el sistema de justicia criminal</w:t>
            </w:r>
          </w:p>
        </w:tc>
      </w:tr>
      <w:tr>
        <w:tc>
          <w:tcPr>
            <w:tcW w:type="dxa" w:w="9360"/>
            <w:gridSpan w:val="6"/>
            <w:tcBorders>
              <w:top w:val="single" w:color="AAAAAA" w:sz="1"/>
              <w:left w:val="single" w:color="AAAAAA" w:sz="1"/>
              <w:bottom w:val="single" w:color="AAAAAA" w:sz="1"/>
              <w:right w:val="single" w:color="AAAAAA" w:sz="1"/>
            </w:tcBorders>
            <w:shd w:fill="D6EAF8" w:val="clear"/>
            <w:tcMar>
              <w:top w:type="dxa" w:w="80"/>
              <w:left w:type="dxa" w:w="160"/>
              <w:bottom w:type="dxa" w:w="80"/>
              <w:right w:type="dxa" w:w="160"/>
            </w:tcMar>
          </w:tcPr>
          <w:p>
            <w:pPr>
              <w:spacing w:after="0" w:before="0"/>
              <w:jc w:val="left"/>
            </w:pPr>
            <w:r>
              <w:rPr>
                <w:rFonts w:ascii="Arial" w:cs="Arial" w:eastAsia="Arial" w:hAnsi="Arial"/>
                <w:b/>
                <w:bCs/>
                <w:i w:val="false"/>
                <w:iCs w:val="false"/>
                <w:caps w:val="false"/>
                <w:color w:val="1A2F4A"/>
                <w:sz w:val="17"/>
                <w:szCs w:val="17"/>
              </w:rPr>
              <w:t xml:space="preserve">SUPUESTOS CLAVE: </w:t>
            </w:r>
            <w:r>
              <w:rPr>
                <w:rFonts w:ascii="Arial" w:cs="Arial" w:eastAsia="Arial" w:hAnsi="Arial"/>
                <w:b w:val="false"/>
                <w:bCs w:val="false"/>
                <w:i w:val="false"/>
                <w:iCs w:val="false"/>
                <w:caps w:val="false"/>
                <w:color w:val="555555"/>
                <w:sz w:val="17"/>
                <w:szCs w:val="17"/>
              </w:rPr>
              <w:t xml:space="preserve">(1) Gendarmería de Chile mantiene acceso y convenio operativo en ambos recintos. (2) Las empresas socias mantienen demanda productiva durante el período. (3) Los participantes elegibles cumplen con los criterios de selección. (4) El entorno macroeconómico no deteriora significativamente el mercado laboral de reinserción.</w:t>
            </w:r>
          </w:p>
        </w:tc>
      </w:tr>
    </w:tbl>
    <w:p>
      <w:pPr>
        <w:spacing w:after="0" w:before="0"/>
      </w:pPr>
      <w:r>
        <w:rPr>
          <w:rFonts w:ascii="Arial" w:cs="Arial" w:eastAsia="Arial" w:hAnsi="Arial"/>
          <w:b w:val="false"/>
          <w:bCs w:val="false"/>
          <w:i w:val="false"/>
          <w:iCs w:val="false"/>
          <w:caps w:val="false"/>
          <w:color w:val="212121"/>
          <w:sz w:val="160"/>
          <w:szCs w:val="16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5. MODELO DE INTERVENCIÓN: LOS TRES EJES</w:t>
      </w:r>
    </w:p>
    <w:p>
      <w:pPr>
        <w:pStyle w:val="Heading2"/>
        <w:spacing w:after="100" w:before="320"/>
      </w:pPr>
      <w:r>
        <w:rPr>
          <w:rFonts w:ascii="Arial" w:cs="Arial" w:eastAsia="Arial" w:hAnsi="Arial"/>
          <w:b/>
          <w:bCs/>
          <w:i w:val="false"/>
          <w:iCs w:val="false"/>
          <w:caps w:val="false"/>
          <w:color w:val="1F618D"/>
          <w:sz w:val="26"/>
          <w:szCs w:val="26"/>
        </w:rPr>
        <w:t xml:space="preserve">Eje 1 — Capacitación Técnica Certificada y Nivelación Educativa</w:t>
      </w:r>
    </w:p>
    <w:p>
      <w:pPr>
        <w:spacing w:after="80" w:before="60"/>
        <w:jc w:val="left"/>
      </w:pPr>
      <w:r>
        <w:rPr>
          <w:rFonts w:ascii="Arial" w:cs="Arial" w:eastAsia="Arial" w:hAnsi="Arial"/>
          <w:b w:val="false"/>
          <w:bCs w:val="false"/>
          <w:i w:val="false"/>
          <w:iCs w:val="false"/>
          <w:caps w:val="false"/>
          <w:color w:val="212121"/>
          <w:sz w:val="20"/>
          <w:szCs w:val="20"/>
        </w:rPr>
        <w:t xml:space="preserve">Los talleres de formación técnica son el núcleo productivo del programa. Se ejecutan dentro del recinto penitenciario en jornadas de 4 a 5 horas diarias, durante períodos de 3 a 6 meses por cohorte. Los instructores son profesionales técnicos calificados con experiencia en contextos de vulnerabilidad.</w:t>
      </w:r>
    </w:p>
    <w:p>
      <w:pPr>
        <w:spacing w:after="0" w:before="0"/>
      </w:pPr>
      <w:r>
        <w:rPr>
          <w:rFonts w:ascii="Arial" w:cs="Arial" w:eastAsia="Arial" w:hAnsi="Arial"/>
          <w:b w:val="false"/>
          <w:bCs w:val="false"/>
          <w:i w:val="false"/>
          <w:iCs w:val="false"/>
          <w:caps w:val="false"/>
          <w:color w:val="212121"/>
          <w:sz w:val="60"/>
          <w:szCs w:val="60"/>
        </w:rPr>
        <w:t xml:space="preserve"/>
      </w:r>
    </w:p>
    <w:p>
      <w:pPr>
        <w:spacing w:after="80" w:before="220"/>
      </w:pPr>
      <w:r>
        <w:rPr>
          <w:rFonts w:ascii="Arial" w:cs="Arial" w:eastAsia="Arial" w:hAnsi="Arial"/>
          <w:b/>
          <w:bCs/>
          <w:i w:val="false"/>
          <w:iCs w:val="false"/>
          <w:caps w:val="false"/>
          <w:color w:val="1A2F4A"/>
          <w:sz w:val="22"/>
          <w:szCs w:val="22"/>
        </w:rPr>
        <w:t xml:space="preserve">Áreas de formación técnica (según demanda del mercado y equipamiento disponible):</w:t>
      </w:r>
    </w:p>
    <w:p>
      <w:pPr>
        <w:pStyle w:val="ListParagraph"/>
        <w:numPr>
          <w:ilvl w:val="0"/>
          <w:numId w:val="2"/>
        </w:numPr>
        <w:spacing w:after="40" w:before="40"/>
      </w:pPr>
      <w:r>
        <w:rPr>
          <w:rFonts w:ascii="Arial" w:cs="Arial" w:eastAsia="Arial" w:hAnsi="Arial"/>
          <w:b/>
          <w:bCs/>
          <w:i w:val="false"/>
          <w:iCs w:val="false"/>
          <w:caps w:val="false"/>
          <w:color w:val="212121"/>
          <w:sz w:val="19"/>
          <w:szCs w:val="19"/>
        </w:rPr>
        <w:t xml:space="preserve">Mueblería, carpintería y producción de regalos corporativos en madera (CNC / corte láser)</w:t>
      </w:r>
    </w:p>
    <w:p>
      <w:pPr>
        <w:pStyle w:val="ListParagraph"/>
        <w:numPr>
          <w:ilvl w:val="0"/>
          <w:numId w:val="2"/>
        </w:numPr>
        <w:spacing w:after="40" w:before="40"/>
      </w:pPr>
      <w:r>
        <w:rPr>
          <w:rFonts w:ascii="Arial" w:cs="Arial" w:eastAsia="Arial" w:hAnsi="Arial"/>
          <w:b/>
          <w:bCs/>
          <w:i w:val="false"/>
          <w:iCs w:val="false"/>
          <w:caps w:val="false"/>
          <w:color w:val="212121"/>
          <w:sz w:val="19"/>
          <w:szCs w:val="19"/>
        </w:rPr>
        <w:t xml:space="preserve">Corte, confección y diseño textil (máquinas rectas, overlock, bordadoras industriales)</w:t>
      </w:r>
    </w:p>
    <w:p>
      <w:pPr>
        <w:pStyle w:val="ListParagraph"/>
        <w:numPr>
          <w:ilvl w:val="0"/>
          <w:numId w:val="2"/>
        </w:numPr>
        <w:spacing w:after="40" w:before="40"/>
      </w:pPr>
      <w:r>
        <w:rPr>
          <w:rFonts w:ascii="Arial" w:cs="Arial" w:eastAsia="Arial" w:hAnsi="Arial"/>
          <w:b/>
          <w:bCs/>
          <w:i w:val="false"/>
          <w:iCs w:val="false"/>
          <w:caps w:val="false"/>
          <w:color w:val="212121"/>
          <w:sz w:val="19"/>
          <w:szCs w:val="19"/>
        </w:rPr>
        <w:t xml:space="preserve">Electricidad e instalaciones eléctricas</w:t>
      </w:r>
    </w:p>
    <w:p>
      <w:pPr>
        <w:pStyle w:val="ListParagraph"/>
        <w:numPr>
          <w:ilvl w:val="0"/>
          <w:numId w:val="2"/>
        </w:numPr>
        <w:spacing w:after="40" w:before="40"/>
      </w:pPr>
      <w:r>
        <w:rPr>
          <w:rFonts w:ascii="Arial" w:cs="Arial" w:eastAsia="Arial" w:hAnsi="Arial"/>
          <w:b/>
          <w:bCs/>
          <w:i w:val="false"/>
          <w:iCs w:val="false"/>
          <w:caps w:val="false"/>
          <w:color w:val="212121"/>
          <w:sz w:val="19"/>
          <w:szCs w:val="19"/>
        </w:rPr>
        <w:t xml:space="preserve">Nivelación en matemática, finanzas personales y emprendimiento</w:t>
      </w:r>
    </w:p>
    <w:p>
      <w:pPr>
        <w:spacing w:after="0" w:before="0"/>
      </w:pPr>
      <w:r>
        <w:rPr>
          <w:rFonts w:ascii="Arial" w:cs="Arial" w:eastAsia="Arial" w:hAnsi="Arial"/>
          <w:b w:val="false"/>
          <w:bCs w:val="false"/>
          <w:i w:val="false"/>
          <w:iCs w:val="false"/>
          <w:caps w:val="false"/>
          <w:color w:val="212121"/>
          <w:sz w:val="60"/>
          <w:szCs w:val="60"/>
        </w:rPr>
        <w:t xml:space="preserve"/>
      </w:r>
    </w:p>
    <w:p>
      <w:pPr>
        <w:spacing w:after="80" w:before="220"/>
      </w:pPr>
      <w:r>
        <w:rPr>
          <w:rFonts w:ascii="Arial" w:cs="Arial" w:eastAsia="Arial" w:hAnsi="Arial"/>
          <w:b/>
          <w:bCs/>
          <w:i w:val="false"/>
          <w:iCs w:val="false"/>
          <w:caps w:val="false"/>
          <w:color w:val="1A2F4A"/>
          <w:sz w:val="22"/>
          <w:szCs w:val="22"/>
        </w:rPr>
        <w:t xml:space="preserve">Módulos transversales complementarios:</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Seguridad y prevención de riesgos laborales</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Taller de preparación a la libertad</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Perdón y reconciliación (metodología ESPERE)</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Taller de arte y expresión</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Talleres de espiritualidad y resiliencia</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Taller de rehabilitación (adicciones, según necesidad)</w:t>
      </w:r>
    </w:p>
    <w:p>
      <w:pPr>
        <w:spacing w:after="0" w:before="0"/>
      </w:pPr>
      <w:r>
        <w:rPr>
          <w:rFonts w:ascii="Arial" w:cs="Arial" w:eastAsia="Arial" w:hAnsi="Arial"/>
          <w:b w:val="false"/>
          <w:bCs w:val="false"/>
          <w:i w:val="false"/>
          <w:iCs w:val="false"/>
          <w:caps w:val="false"/>
          <w:color w:val="212121"/>
          <w:sz w:val="80"/>
          <w:szCs w:val="80"/>
        </w:rPr>
        <w:t xml:space="preserve"/>
      </w:r>
    </w:p>
    <w:p>
      <w:pPr>
        <w:spacing w:after="80" w:before="60"/>
        <w:jc w:val="left"/>
      </w:pPr>
      <w:r>
        <w:rPr>
          <w:rFonts w:ascii="Arial" w:cs="Arial" w:eastAsia="Arial" w:hAnsi="Arial"/>
          <w:b w:val="false"/>
          <w:bCs w:val="false"/>
          <w:i w:val="false"/>
          <w:iCs w:val="false"/>
          <w:caps w:val="false"/>
          <w:color w:val="212121"/>
          <w:sz w:val="20"/>
          <w:szCs w:val="20"/>
        </w:rPr>
        <w:t xml:space="preserve">Meta de certificación: 95% de los participantes que completan el programa obtienen certificación técnica reconocida ante el SENCE, lo que les permite acreditar sus competencias ante empleadores con un instrumento validado a nivel nacional.</w:t>
      </w:r>
    </w:p>
    <w:p>
      <w:pPr>
        <w:spacing w:after="0" w:before="0"/>
      </w:pPr>
      <w:r>
        <w:rPr>
          <w:rFonts w:ascii="Arial" w:cs="Arial" w:eastAsia="Arial" w:hAnsi="Arial"/>
          <w:b w:val="false"/>
          <w:bCs w:val="false"/>
          <w:i w:val="false"/>
          <w:iCs w:val="false"/>
          <w:caps w:val="false"/>
          <w:color w:val="212121"/>
          <w:sz w:val="140"/>
          <w:szCs w:val="140"/>
        </w:rPr>
        <w:t xml:space="preserve"/>
      </w:r>
    </w:p>
    <w:p>
      <w:pPr>
        <w:pStyle w:val="Heading2"/>
        <w:spacing w:after="100" w:before="320"/>
      </w:pPr>
      <w:r>
        <w:rPr>
          <w:rFonts w:ascii="Arial" w:cs="Arial" w:eastAsia="Arial" w:hAnsi="Arial"/>
          <w:b/>
          <w:bCs/>
          <w:i w:val="false"/>
          <w:iCs w:val="false"/>
          <w:caps w:val="false"/>
          <w:color w:val="1F618D"/>
          <w:sz w:val="26"/>
          <w:szCs w:val="26"/>
        </w:rPr>
        <w:t xml:space="preserve">Eje 2 — Producción Laboral con Vinculación Empresarial</w:t>
      </w:r>
    </w:p>
    <w:p>
      <w:pPr>
        <w:spacing w:after="80" w:before="60"/>
        <w:jc w:val="left"/>
      </w:pPr>
      <w:r>
        <w:rPr>
          <w:rFonts w:ascii="Arial" w:cs="Arial" w:eastAsia="Arial" w:hAnsi="Arial"/>
          <w:b w:val="false"/>
          <w:bCs w:val="false"/>
          <w:i w:val="false"/>
          <w:iCs w:val="false"/>
          <w:caps w:val="false"/>
          <w:color w:val="212121"/>
          <w:sz w:val="20"/>
          <w:szCs w:val="20"/>
        </w:rPr>
        <w:t xml:space="preserve">Los participantes trabajan en talleres de producción real dentro del recinto, fabricando productos que son adquiridos por empresas socias del programa. Este modelo tiene tres efectos transformadores simultáneos:</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Genera ingresos directos para las personas privadas de libertad, permitiéndoles apoyar económicamente a sus familias durante el período de reclusión.</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Construye relaciones de confianza y familiaridad entre el sector empresarial y la población penitenciaria, reduciendo activamente el estigma de contratación post-egreso.</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Conecta la formación técnica con la realidad productiva del mercado, haciendo que el aprendizaje sea inmediatamente aplicado y con valor económico concreto.</w:t>
      </w:r>
    </w:p>
    <w:p>
      <w:pPr>
        <w:spacing w:after="0" w:before="0"/>
      </w:pPr>
      <w:r>
        <w:rPr>
          <w:rFonts w:ascii="Arial" w:cs="Arial" w:eastAsia="Arial" w:hAnsi="Arial"/>
          <w:b w:val="false"/>
          <w:bCs w:val="false"/>
          <w:i w:val="false"/>
          <w:iCs w:val="false"/>
          <w:caps w:val="false"/>
          <w:color w:val="212121"/>
          <w:sz w:val="80"/>
          <w:szCs w:val="80"/>
        </w:rPr>
        <w:t xml:space="preserve"/>
      </w:r>
    </w:p>
    <w:p>
      <w:pPr>
        <w:spacing w:after="80" w:before="60"/>
        <w:jc w:val="left"/>
      </w:pPr>
      <w:r>
        <w:rPr>
          <w:rFonts w:ascii="Arial" w:cs="Arial" w:eastAsia="Arial" w:hAnsi="Arial"/>
          <w:b w:val="false"/>
          <w:bCs w:val="false"/>
          <w:i w:val="false"/>
          <w:iCs w:val="false"/>
          <w:caps w:val="false"/>
          <w:color w:val="212121"/>
          <w:sz w:val="20"/>
          <w:szCs w:val="20"/>
        </w:rPr>
        <w:t xml:space="preserve">El foco productivo prioritario es la mueblería de precisión orientada a regalos corporativos — un nicho con demanda empresarial sostenida, baja estacionalidad y posibilidad de incorporar equipamiento de alto valor añadido (CNC, corte láser). La meta es que al menos el 60% de los egresados accedan a empleo formal dentro de los primeros 6 meses post-egreso, a través de las redes empresariales construidas durante el programa.</w:t>
      </w:r>
    </w:p>
    <w:p>
      <w:pPr>
        <w:spacing w:after="0" w:before="0"/>
      </w:pPr>
      <w:r>
        <w:rPr>
          <w:rFonts w:ascii="Arial" w:cs="Arial" w:eastAsia="Arial" w:hAnsi="Arial"/>
          <w:b w:val="false"/>
          <w:bCs w:val="false"/>
          <w:i w:val="false"/>
          <w:iCs w:val="false"/>
          <w:caps w:val="false"/>
          <w:color w:val="212121"/>
          <w:sz w:val="140"/>
          <w:szCs w:val="140"/>
        </w:rPr>
        <w:t xml:space="preserve"/>
      </w:r>
    </w:p>
    <w:p>
      <w:pPr>
        <w:pStyle w:val="Heading2"/>
        <w:spacing w:after="100" w:before="320"/>
      </w:pPr>
      <w:r>
        <w:rPr>
          <w:rFonts w:ascii="Arial" w:cs="Arial" w:eastAsia="Arial" w:hAnsi="Arial"/>
          <w:b/>
          <w:bCs/>
          <w:i w:val="false"/>
          <w:iCs w:val="false"/>
          <w:caps w:val="false"/>
          <w:color w:val="1F618D"/>
          <w:sz w:val="26"/>
          <w:szCs w:val="26"/>
        </w:rPr>
        <w:t xml:space="preserve">Eje 3 — Acompañamiento Psicosocial, Espiritual y Proyecto de Vida</w:t>
      </w:r>
    </w:p>
    <w:p>
      <w:pPr>
        <w:spacing w:after="80" w:before="60"/>
        <w:jc w:val="left"/>
      </w:pPr>
      <w:r>
        <w:rPr>
          <w:rFonts w:ascii="Arial" w:cs="Arial" w:eastAsia="Arial" w:hAnsi="Arial"/>
          <w:b w:val="false"/>
          <w:bCs w:val="false"/>
          <w:i w:val="false"/>
          <w:iCs w:val="false"/>
          <w:caps w:val="false"/>
          <w:color w:val="212121"/>
          <w:sz w:val="20"/>
          <w:szCs w:val="20"/>
        </w:rPr>
        <w:t xml:space="preserve">Ninguna persona consolida un proyecto laboral sin los recursos emocionales, cognitivos y espirituales para sostenerlo. El Eje 3 opera en paralelo a la formación técnica y comprende:</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Orientación vocacional y proyecto de vida: acompañamiento individual para definir metas laborales realistas vinculadas a intereses, habilidades y contexto familiar.</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Talleres grupales de habilidades blandas: comunicación efectiva, manejo emocional, resolución de conflictos, trabajo en equipo y liderazgo.</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Apoyo en salud mental: intervención psicológica individual para participantes que lo requieran, con énfasis en elaboración del proceso de privación de libertad y preparación para la reinserción.</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Acompañamiento espiritual: espacios de espiritualidad que fortalecen resiliencia y sentido de vida en contextos de alta adversidad. La evidencia indica que la dimensión espiritual juega un rol protector significativo en procesos de restauración personal (Decker &amp; Pyrooz, 2019).</w:t>
      </w:r>
    </w:p>
    <w:p>
      <w:pPr>
        <w:spacing w:after="0" w:before="0"/>
      </w:pPr>
      <w:r>
        <w:rPr>
          <w:rFonts w:ascii="Arial" w:cs="Arial" w:eastAsia="Arial" w:hAnsi="Arial"/>
          <w:b w:val="false"/>
          <w:bCs w:val="false"/>
          <w:i w:val="false"/>
          <w:iCs w:val="false"/>
          <w:caps w:val="false"/>
          <w:color w:val="212121"/>
          <w:sz w:val="160"/>
          <w:szCs w:val="16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6. PARTICIPANTES Y CRITERIOS DE SELECCIÓN</w:t>
      </w:r>
    </w:p>
    <w:p>
      <w:pPr>
        <w:pStyle w:val="Heading2"/>
        <w:spacing w:after="100" w:before="320"/>
      </w:pPr>
      <w:r>
        <w:rPr>
          <w:rFonts w:ascii="Arial" w:cs="Arial" w:eastAsia="Arial" w:hAnsi="Arial"/>
          <w:b/>
          <w:bCs/>
          <w:i w:val="false"/>
          <w:iCs w:val="false"/>
          <w:caps w:val="false"/>
          <w:color w:val="1F618D"/>
          <w:sz w:val="26"/>
          <w:szCs w:val="26"/>
        </w:rPr>
        <w:t xml:space="preserve">6.1 Perfil de la Población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Característica</w:t>
            </w:r>
          </w:p>
        </w:tc>
        <w:tc>
          <w:tcPr>
            <w:tcW w:type="dxa" w:w="696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Descripción</w:t>
            </w:r>
          </w:p>
        </w:tc>
      </w:tr>
      <w:tr>
        <w:tc>
          <w:tcPr>
            <w:tcW w:type="dxa" w:w="24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212121"/>
                <w:sz w:val="18"/>
                <w:szCs w:val="18"/>
              </w:rPr>
              <w:t xml:space="preserve">Género</w:t>
            </w:r>
          </w:p>
        </w:tc>
        <w:tc>
          <w:tcPr>
            <w:tcW w:type="dxa" w:w="69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Hombres (población predominante en los recintos de ejecución)</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212121"/>
                <w:sz w:val="18"/>
                <w:szCs w:val="18"/>
              </w:rPr>
              <w:t xml:space="preserve">Rango etario</w:t>
            </w:r>
          </w:p>
        </w:tc>
        <w:tc>
          <w:tcPr>
            <w:tcW w:type="dxa" w:w="69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Adultos entre 25 y 55 años (promedio 33 años)</w:t>
            </w:r>
          </w:p>
        </w:tc>
      </w:tr>
      <w:tr>
        <w:tc>
          <w:tcPr>
            <w:tcW w:type="dxa" w:w="24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212121"/>
                <w:sz w:val="18"/>
                <w:szCs w:val="18"/>
              </w:rPr>
              <w:t xml:space="preserve">Nivel educativo</w:t>
            </w:r>
          </w:p>
        </w:tc>
        <w:tc>
          <w:tcPr>
            <w:tcW w:type="dxa" w:w="696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Más del 50% sin educación media completa</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212121"/>
                <w:sz w:val="18"/>
                <w:szCs w:val="18"/>
              </w:rPr>
              <w:t xml:space="preserve">Situación penal</w:t>
            </w:r>
          </w:p>
        </w:tc>
        <w:tc>
          <w:tcPr>
            <w:tcW w:type="dxa" w:w="69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En cumplimiento de condena, con al menos 3 meses de condena restante al momento de ingresar al programa</w:t>
            </w:r>
          </w:p>
        </w:tc>
      </w:tr>
      <w:tr>
        <w:tc>
          <w:tcPr>
            <w:tcW w:type="dxa" w:w="24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212121"/>
                <w:sz w:val="18"/>
                <w:szCs w:val="18"/>
              </w:rPr>
              <w:t xml:space="preserve">Característica de vulnerabilidad</w:t>
            </w:r>
          </w:p>
        </w:tc>
        <w:tc>
          <w:tcPr>
            <w:tcW w:type="dxa" w:w="696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8"/>
                <w:szCs w:val="18"/>
              </w:rPr>
              <w:t xml:space="preserve">Desempleo crónico previo a reclusión, exclusión del mercado formal, bajo capital social, alta exposición a entornos de riesgo</w:t>
            </w:r>
          </w:p>
        </w:tc>
      </w:tr>
    </w:tbl>
    <w:p>
      <w:pPr>
        <w:spacing w:after="0" w:before="0"/>
      </w:pPr>
      <w:r>
        <w:rPr>
          <w:rFonts w:ascii="Arial" w:cs="Arial" w:eastAsia="Arial" w:hAnsi="Arial"/>
          <w:b w:val="false"/>
          <w:bCs w:val="false"/>
          <w:i w:val="false"/>
          <w:iCs w:val="false"/>
          <w:caps w:val="false"/>
          <w:color w:val="212121"/>
          <w:sz w:val="120"/>
          <w:szCs w:val="120"/>
        </w:rPr>
        <w:t xml:space="preserve"/>
      </w:r>
    </w:p>
    <w:p>
      <w:pPr>
        <w:pStyle w:val="Heading2"/>
        <w:spacing w:after="100" w:before="320"/>
      </w:pPr>
      <w:r>
        <w:rPr>
          <w:rFonts w:ascii="Arial" w:cs="Arial" w:eastAsia="Arial" w:hAnsi="Arial"/>
          <w:b/>
          <w:bCs/>
          <w:i w:val="false"/>
          <w:iCs w:val="false"/>
          <w:caps w:val="false"/>
          <w:color w:val="1F618D"/>
          <w:sz w:val="26"/>
          <w:szCs w:val="26"/>
        </w:rPr>
        <w:t xml:space="preserve">6.2 Criterios de Selección</w:t>
      </w:r>
    </w:p>
    <w:p>
      <w:pPr>
        <w:spacing w:after="80" w:before="60"/>
        <w:jc w:val="left"/>
      </w:pPr>
      <w:r>
        <w:rPr>
          <w:rFonts w:ascii="Arial" w:cs="Arial" w:eastAsia="Arial" w:hAnsi="Arial"/>
          <w:b w:val="false"/>
          <w:bCs w:val="false"/>
          <w:i w:val="false"/>
          <w:iCs w:val="false"/>
          <w:caps w:val="false"/>
          <w:color w:val="212121"/>
          <w:sz w:val="20"/>
          <w:szCs w:val="20"/>
        </w:rPr>
        <w:t xml:space="preserve">Los participantes son seleccionados en coordinación con el equipo de reinserción de Gendarmería de Chile, aplicando los siguientes criterios:</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Tiempo de condena restante suficiente para completar la cohorte (mínimo 3 meses adicionales)</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Voluntad explícita de participación (el programa es 100% voluntario)</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Sin sanciones disciplinarias graves pendientes que impidan participar en actividades grupales</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Prioridad para personas próximas al egreso, con mayor urgencia de preparación para el medio libre</w:t>
      </w:r>
    </w:p>
    <w:p>
      <w:pPr>
        <w:spacing w:after="0" w:before="0"/>
      </w:pPr>
      <w:r>
        <w:rPr>
          <w:rFonts w:ascii="Arial" w:cs="Arial" w:eastAsia="Arial" w:hAnsi="Arial"/>
          <w:b w:val="false"/>
          <w:bCs w:val="false"/>
          <w:i w:val="false"/>
          <w:iCs w:val="false"/>
          <w:caps w:val="false"/>
          <w:color w:val="212121"/>
          <w:sz w:val="160"/>
          <w:szCs w:val="16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7. MODELO OPERATIVO Y CRONOGRAMA</w:t>
      </w:r>
    </w:p>
    <w:p>
      <w:pPr>
        <w:pStyle w:val="Heading2"/>
        <w:spacing w:after="100" w:before="320"/>
      </w:pPr>
      <w:r>
        <w:rPr>
          <w:rFonts w:ascii="Arial" w:cs="Arial" w:eastAsia="Arial" w:hAnsi="Arial"/>
          <w:b/>
          <w:bCs/>
          <w:i w:val="false"/>
          <w:iCs w:val="false"/>
          <w:caps w:val="false"/>
          <w:color w:val="1F618D"/>
          <w:sz w:val="26"/>
          <w:szCs w:val="26"/>
        </w:rPr>
        <w:t xml:space="preserve">7.1 Estructura de Cohortes por Año</w:t>
      </w:r>
    </w:p>
    <w:p>
      <w:pPr>
        <w:spacing w:after="80" w:before="60"/>
        <w:jc w:val="left"/>
      </w:pPr>
      <w:r>
        <w:rPr>
          <w:rFonts w:ascii="Arial" w:cs="Arial" w:eastAsia="Arial" w:hAnsi="Arial"/>
          <w:b w:val="false"/>
          <w:bCs w:val="false"/>
          <w:i w:val="false"/>
          <w:iCs w:val="false"/>
          <w:caps w:val="false"/>
          <w:color w:val="212121"/>
          <w:sz w:val="20"/>
          <w:szCs w:val="20"/>
        </w:rPr>
        <w:t xml:space="preserve">El modelo de cohortes está diseñado para maximizar el uso del espacio físico disponible en cada recinto: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c>
          <w:tcPr>
            <w:tcW w:type="dxa" w:w="20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Cohorte</w:t>
            </w:r>
          </w:p>
        </w:tc>
        <w:tc>
          <w:tcPr>
            <w:tcW w:type="dxa" w:w="16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Recinto</w:t>
            </w:r>
          </w:p>
        </w:tc>
        <w:tc>
          <w:tcPr>
            <w:tcW w:type="dxa" w:w="16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Período</w:t>
            </w:r>
          </w:p>
        </w:tc>
        <w:tc>
          <w:tcPr>
            <w:tcW w:type="dxa" w:w="16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Pax</w:t>
            </w:r>
          </w:p>
        </w:tc>
        <w:tc>
          <w:tcPr>
            <w:tcW w:type="dxa" w:w="256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Oficio principal</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C1</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CDP Stgo. Sur</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Ene–Mar</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20</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Mueblería / Regalos corporativos</w:t>
            </w:r>
          </w:p>
        </w:tc>
      </w:tr>
      <w:tr>
        <w:tc>
          <w:tcPr>
            <w:tcW w:type="dxa" w:w="20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C2</w:t>
            </w:r>
          </w:p>
        </w:tc>
        <w:tc>
          <w:tcPr>
            <w:tcW w:type="dxa" w:w="1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CDP Stgo. Sur</w:t>
            </w:r>
          </w:p>
        </w:tc>
        <w:tc>
          <w:tcPr>
            <w:tcW w:type="dxa" w:w="1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Feb–Abr</w:t>
            </w:r>
          </w:p>
        </w:tc>
        <w:tc>
          <w:tcPr>
            <w:tcW w:type="dxa" w:w="1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20</w:t>
            </w:r>
          </w:p>
        </w:tc>
        <w:tc>
          <w:tcPr>
            <w:tcW w:type="dxa" w:w="25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Corte y confección</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C3</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CDP Stgo. Sur</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Mar–May</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20</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Electricidad</w:t>
            </w:r>
          </w:p>
        </w:tc>
      </w:tr>
      <w:tr>
        <w:tc>
          <w:tcPr>
            <w:tcW w:type="dxa" w:w="20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C4</w:t>
            </w:r>
          </w:p>
        </w:tc>
        <w:tc>
          <w:tcPr>
            <w:tcW w:type="dxa" w:w="1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CDP Stgo. Sur</w:t>
            </w:r>
          </w:p>
        </w:tc>
        <w:tc>
          <w:tcPr>
            <w:tcW w:type="dxa" w:w="1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May–Jul</w:t>
            </w:r>
          </w:p>
        </w:tc>
        <w:tc>
          <w:tcPr>
            <w:tcW w:type="dxa" w:w="1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20</w:t>
            </w:r>
          </w:p>
        </w:tc>
        <w:tc>
          <w:tcPr>
            <w:tcW w:type="dxa" w:w="25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Mueblería / Regalos corporativos</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C5</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CDP Stgo. Sur</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Jun–Ago</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20</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Corte y confección</w:t>
            </w:r>
          </w:p>
        </w:tc>
      </w:tr>
      <w:tr>
        <w:tc>
          <w:tcPr>
            <w:tcW w:type="dxa" w:w="20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C6</w:t>
            </w:r>
          </w:p>
        </w:tc>
        <w:tc>
          <w:tcPr>
            <w:tcW w:type="dxa" w:w="1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CDP Stgo. Sur</w:t>
            </w:r>
          </w:p>
        </w:tc>
        <w:tc>
          <w:tcPr>
            <w:tcW w:type="dxa" w:w="1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Sep–Nov</w:t>
            </w:r>
          </w:p>
        </w:tc>
        <w:tc>
          <w:tcPr>
            <w:tcW w:type="dxa" w:w="1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20</w:t>
            </w:r>
          </w:p>
        </w:tc>
        <w:tc>
          <w:tcPr>
            <w:tcW w:type="dxa" w:w="25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Mueblería / Regalos corporativos</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C7</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CP Valparaíso</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Ene–Mar</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20</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Mueblería</w:t>
            </w:r>
          </w:p>
        </w:tc>
      </w:tr>
      <w:tr>
        <w:tc>
          <w:tcPr>
            <w:tcW w:type="dxa" w:w="20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C8</w:t>
            </w:r>
          </w:p>
        </w:tc>
        <w:tc>
          <w:tcPr>
            <w:tcW w:type="dxa" w:w="1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CP Valparaíso</w:t>
            </w:r>
          </w:p>
        </w:tc>
        <w:tc>
          <w:tcPr>
            <w:tcW w:type="dxa" w:w="1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May–Jul</w:t>
            </w:r>
          </w:p>
        </w:tc>
        <w:tc>
          <w:tcPr>
            <w:tcW w:type="dxa" w:w="1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20</w:t>
            </w:r>
          </w:p>
        </w:tc>
        <w:tc>
          <w:tcPr>
            <w:tcW w:type="dxa" w:w="25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Mueblería</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C9</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CP Valparaíso</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Sep–Nov</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20</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Mueblería</w:t>
            </w:r>
          </w:p>
        </w:tc>
      </w:tr>
    </w:tbl>
    <w:p>
      <w:pPr>
        <w:spacing w:after="0" w:before="0"/>
      </w:pPr>
      <w:r>
        <w:rPr>
          <w:rFonts w:ascii="Arial" w:cs="Arial" w:eastAsia="Arial" w:hAnsi="Arial"/>
          <w:b w:val="false"/>
          <w:bCs w:val="false"/>
          <w:i w:val="false"/>
          <w:iCs w:val="false"/>
          <w:caps w:val="false"/>
          <w:color w:val="212121"/>
          <w:sz w:val="100"/>
          <w:szCs w:val="100"/>
        </w:rPr>
        <w:t xml:space="preserve"/>
      </w:r>
    </w:p>
    <w:p>
      <w:pPr>
        <w:spacing w:after="80" w:before="60"/>
        <w:jc w:val="left"/>
      </w:pPr>
      <w:r>
        <w:rPr>
          <w:rFonts w:ascii="Arial" w:cs="Arial" w:eastAsia="Arial" w:hAnsi="Arial"/>
          <w:b w:val="false"/>
          <w:bCs w:val="false"/>
          <w:i w:val="false"/>
          <w:iCs w:val="false"/>
          <w:caps w:val="false"/>
          <w:color w:val="212121"/>
          <w:sz w:val="20"/>
          <w:szCs w:val="20"/>
        </w:rPr>
        <w:t xml:space="preserve">Nota: En CDP Santiago Sur el espacio soporta un máximo de 40 personas en paralelo. Las cohortes C1, C2 y C3 se superponen parcialmente en los primeros meses, con 3 meses entre ciclos para módulos transversales. En CP Valparaíso se estima 1 cohorte por cuatrimestre (3 cohortes/año).</w:t>
      </w:r>
    </w:p>
    <w:p>
      <w:pPr>
        <w:spacing w:after="0" w:before="0"/>
      </w:pPr>
      <w:r>
        <w:rPr>
          <w:rFonts w:ascii="Arial" w:cs="Arial" w:eastAsia="Arial" w:hAnsi="Arial"/>
          <w:b w:val="false"/>
          <w:bCs w:val="false"/>
          <w:i w:val="false"/>
          <w:iCs w:val="false"/>
          <w:caps w:val="false"/>
          <w:color w:val="212121"/>
          <w:sz w:val="120"/>
          <w:szCs w:val="120"/>
        </w:rPr>
        <w:t xml:space="preserve"/>
      </w:r>
    </w:p>
    <w:p>
      <w:pPr>
        <w:pStyle w:val="Heading2"/>
        <w:spacing w:after="100" w:before="320"/>
      </w:pPr>
      <w:r>
        <w:rPr>
          <w:rFonts w:ascii="Arial" w:cs="Arial" w:eastAsia="Arial" w:hAnsi="Arial"/>
          <w:b/>
          <w:bCs/>
          <w:i w:val="false"/>
          <w:iCs w:val="false"/>
          <w:caps w:val="false"/>
          <w:color w:val="1F618D"/>
          <w:sz w:val="26"/>
          <w:szCs w:val="26"/>
        </w:rPr>
        <w:t xml:space="preserve">7.2 Hitos Anuales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27A" w:sz="4"/>
              <w:left w:val="single" w:color="B7950B" w:sz="12"/>
              <w:bottom w:val="single" w:color="F0B27A" w:sz="4"/>
              <w:right w:val="single" w:color="F0B27A" w:sz="4"/>
            </w:tcBorders>
            <w:shd w:fill="FEF9E7" w:val="clear"/>
            <w:tcMar>
              <w:top w:type="dxa" w:w="160"/>
              <w:left w:type="dxa" w:w="280"/>
              <w:bottom w:type="dxa" w:w="160"/>
              <w:right w:type="dxa" w:w="280"/>
            </w:tcMar>
          </w:tcPr>
          <w:p>
            <w:pPr>
              <w:spacing w:after="80" w:before="0"/>
            </w:pPr>
            <w:r>
              <w:rPr>
                <w:rFonts w:ascii="Arial" w:cs="Arial" w:eastAsia="Arial" w:hAnsi="Arial"/>
                <w:b/>
                <w:bCs/>
                <w:i w:val="false"/>
                <w:iCs w:val="false"/>
                <w:caps w:val="false"/>
                <w:color w:val="B7950B"/>
                <w:sz w:val="19"/>
                <w:szCs w:val="19"/>
              </w:rPr>
              <w:t xml:space="preserve">[ PENDIENTE — CRONOGRAMA DETALLADO / CARTA GANTT ]</w:t>
            </w:r>
          </w:p>
          <w:p>
            <w:pPr>
              <w:spacing w:after="0" w:before="0"/>
            </w:pPr>
            <w:r>
              <w:rPr>
                <w:rFonts w:ascii="Arial" w:cs="Arial" w:eastAsia="Arial" w:hAnsi="Arial"/>
                <w:b w:val="false"/>
                <w:bCs w:val="false"/>
                <w:i/>
                <w:iCs/>
                <w:caps w:val="false"/>
                <w:color w:val="555555"/>
                <w:sz w:val="18"/>
                <w:szCs w:val="18"/>
              </w:rPr>
              <w:t xml:space="preserve">Completar con fechas específicas de cada cohorte, hitos de adquisición de equipamiento (Año 1: primer trimestre), firma de convenios con empresas socias, instancias de M&amp;E (medición de resultados al cierre de cada cohorte), y hito de evaluación intermedia (Año 1, mes 6) y evaluación final (Año 2, mes 12). Usar formato Gantt por trimestre.</w:t>
            </w:r>
          </w:p>
        </w:tc>
      </w:tr>
    </w:tbl>
    <w:p>
      <w:pPr>
        <w:spacing w:after="0" w:before="0"/>
      </w:pPr>
      <w:r>
        <w:rPr>
          <w:rFonts w:ascii="Arial" w:cs="Arial" w:eastAsia="Arial" w:hAnsi="Arial"/>
          <w:b w:val="false"/>
          <w:bCs w:val="false"/>
          <w:i w:val="false"/>
          <w:iCs w:val="false"/>
          <w:caps w:val="false"/>
          <w:color w:val="212121"/>
          <w:sz w:val="160"/>
          <w:szCs w:val="16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8. INDICADORES DE IMPACTO Y SEGUIMIENTO (M&amp;E)</w:t>
      </w:r>
    </w:p>
    <w:p>
      <w:pPr>
        <w:pStyle w:val="Heading2"/>
        <w:spacing w:after="100" w:before="320"/>
      </w:pPr>
      <w:r>
        <w:rPr>
          <w:rFonts w:ascii="Arial" w:cs="Arial" w:eastAsia="Arial" w:hAnsi="Arial"/>
          <w:b/>
          <w:bCs/>
          <w:i w:val="false"/>
          <w:iCs w:val="false"/>
          <w:caps w:val="false"/>
          <w:color w:val="1F618D"/>
          <w:sz w:val="26"/>
          <w:szCs w:val="26"/>
        </w:rPr>
        <w:t xml:space="preserve">8.1 Marco de Indicadores</w:t>
      </w:r>
    </w:p>
    <w:p>
      <w:pPr>
        <w:spacing w:after="80" w:before="60"/>
        <w:jc w:val="left"/>
      </w:pPr>
      <w:r>
        <w:rPr>
          <w:rFonts w:ascii="Arial" w:cs="Arial" w:eastAsia="Arial" w:hAnsi="Arial"/>
          <w:b w:val="false"/>
          <w:bCs w:val="false"/>
          <w:i w:val="false"/>
          <w:iCs w:val="false"/>
          <w:caps w:val="false"/>
          <w:color w:val="212121"/>
          <w:sz w:val="20"/>
          <w:szCs w:val="20"/>
        </w:rPr>
        <w:t xml:space="preserve">El sistema de monitoreo y evaluación sigue el estándar de la cadena de resultados (Insumos → Actividades → Productos → Resultados → Impacto), con indicadores medibles y verificables en cada nivel:</w:t>
      </w:r>
    </w:p>
    <w:p>
      <w:pPr>
        <w:spacing w:after="0" w:before="0"/>
      </w:pPr>
      <w:r>
        <w:rPr>
          <w:rFonts w:ascii="Arial" w:cs="Arial" w:eastAsia="Arial" w:hAnsi="Arial"/>
          <w:b w:val="false"/>
          <w:bCs w:val="false"/>
          <w:i w:val="false"/>
          <w:iCs w:val="false"/>
          <w:caps w:val="false"/>
          <w:color w:val="212121"/>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2640"/>
      </w:tblGrid>
      <w:tr>
        <w:tc>
          <w:tcPr>
            <w:tcW w:type="dxa" w:w="24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Indicador</w:t>
            </w:r>
          </w:p>
        </w:tc>
        <w:tc>
          <w:tcPr>
            <w:tcW w:type="dxa" w:w="144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Línea Base</w:t>
            </w:r>
          </w:p>
        </w:tc>
        <w:tc>
          <w:tcPr>
            <w:tcW w:type="dxa" w:w="144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Meta Año 1</w:t>
            </w:r>
          </w:p>
        </w:tc>
        <w:tc>
          <w:tcPr>
            <w:tcW w:type="dxa" w:w="144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Meta Año 2</w:t>
            </w:r>
          </w:p>
        </w:tc>
        <w:tc>
          <w:tcPr>
            <w:tcW w:type="dxa" w:w="264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Medio de verificación</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212121"/>
                <w:sz w:val="17"/>
                <w:szCs w:val="17"/>
              </w:rPr>
              <w:t xml:space="preserve">N° participantes que inician por cohorte</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20 PPL</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180 (9 cohortes)</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180 (9 cohortes)</w:t>
            </w:r>
          </w:p>
        </w:tc>
        <w:tc>
          <w:tcPr>
            <w:tcW w:type="dxa" w:w="26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Listados de asistencia firmados / Registro Gendarmería</w:t>
            </w:r>
          </w:p>
        </w:tc>
      </w:tr>
      <w:tr>
        <w:tc>
          <w:tcPr>
            <w:tcW w:type="dxa" w:w="24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212121"/>
                <w:sz w:val="17"/>
                <w:szCs w:val="17"/>
              </w:rPr>
              <w:t xml:space="preserve">Tasa de completitud del programa</w:t>
            </w:r>
          </w:p>
        </w:tc>
        <w:tc>
          <w:tcPr>
            <w:tcW w:type="dxa" w:w="14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[Por completar con datos históricos]</w:t>
            </w:r>
          </w:p>
        </w:tc>
        <w:tc>
          <w:tcPr>
            <w:tcW w:type="dxa" w:w="14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90% (162/180)</w:t>
            </w:r>
          </w:p>
        </w:tc>
        <w:tc>
          <w:tcPr>
            <w:tcW w:type="dxa" w:w="14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92% (166/180)</w:t>
            </w:r>
          </w:p>
        </w:tc>
        <w:tc>
          <w:tcPr>
            <w:tcW w:type="dxa" w:w="26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Registro de asistencia y evaluaciones finales</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212121"/>
                <w:sz w:val="17"/>
                <w:szCs w:val="17"/>
              </w:rPr>
              <w:t xml:space="preserve">% con certificación técnica SENCE al egreso</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[Por completar]</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95% (171/180)</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95% (171/180)</w:t>
            </w:r>
          </w:p>
        </w:tc>
        <w:tc>
          <w:tcPr>
            <w:tcW w:type="dxa" w:w="26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Certificados SENCE emitidos / Actas OTEC</w:t>
            </w:r>
          </w:p>
        </w:tc>
      </w:tr>
      <w:tr>
        <w:tc>
          <w:tcPr>
            <w:tcW w:type="dxa" w:w="24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212121"/>
                <w:sz w:val="17"/>
                <w:szCs w:val="17"/>
              </w:rPr>
              <w:t xml:space="preserve">% con empleo formal a 6 meses del egreso</w:t>
            </w:r>
          </w:p>
        </w:tc>
        <w:tc>
          <w:tcPr>
            <w:tcW w:type="dxa" w:w="14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[Por completar]</w:t>
            </w:r>
          </w:p>
        </w:tc>
        <w:tc>
          <w:tcPr>
            <w:tcW w:type="dxa" w:w="14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60% (108/162)</w:t>
            </w:r>
          </w:p>
        </w:tc>
        <w:tc>
          <w:tcPr>
            <w:tcW w:type="dxa" w:w="14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65% (108/166)</w:t>
            </w:r>
          </w:p>
        </w:tc>
        <w:tc>
          <w:tcPr>
            <w:tcW w:type="dxa" w:w="26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Seguimiento telefónico / Actas de contrato</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212121"/>
                <w:sz w:val="17"/>
                <w:szCs w:val="17"/>
              </w:rPr>
              <w:t xml:space="preserve">% con mejora en comp. matemáticas y lenguaje</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[Por completar]</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80% (144/180)</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85% (153/180)</w:t>
            </w:r>
          </w:p>
        </w:tc>
        <w:tc>
          <w:tcPr>
            <w:tcW w:type="dxa" w:w="26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Evaluaciones diagnóstico vs. evaluaciones finales</w:t>
            </w:r>
          </w:p>
        </w:tc>
      </w:tr>
      <w:tr>
        <w:tc>
          <w:tcPr>
            <w:tcW w:type="dxa" w:w="24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212121"/>
                <w:sz w:val="17"/>
                <w:szCs w:val="17"/>
              </w:rPr>
              <w:t xml:space="preserve">N° empresas socias activas en el programa</w:t>
            </w:r>
          </w:p>
        </w:tc>
        <w:tc>
          <w:tcPr>
            <w:tcW w:type="dxa" w:w="14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[N° actual]</w:t>
            </w:r>
          </w:p>
        </w:tc>
        <w:tc>
          <w:tcPr>
            <w:tcW w:type="dxa" w:w="14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5 empresas</w:t>
            </w:r>
          </w:p>
        </w:tc>
        <w:tc>
          <w:tcPr>
            <w:tcW w:type="dxa" w:w="14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8 empresas</w:t>
            </w:r>
          </w:p>
        </w:tc>
        <w:tc>
          <w:tcPr>
            <w:tcW w:type="dxa" w:w="26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Convenios firmados / registros de compra</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212121"/>
                <w:sz w:val="17"/>
                <w:szCs w:val="17"/>
              </w:rPr>
              <w:t xml:space="preserve">N° recintos penitenciarios con programa activo</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1 (CDP Stgo. Sur)</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2 (+ CP Valparaíso)</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2 consolidados</w:t>
            </w:r>
          </w:p>
        </w:tc>
        <w:tc>
          <w:tcPr>
            <w:tcW w:type="dxa" w:w="26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Convenios Gendarmería vigentes</w:t>
            </w:r>
          </w:p>
        </w:tc>
      </w:tr>
      <w:tr>
        <w:tc>
          <w:tcPr>
            <w:tcW w:type="dxa" w:w="24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212121"/>
                <w:sz w:val="17"/>
                <w:szCs w:val="17"/>
              </w:rPr>
              <w:t xml:space="preserve">Satisfacción de participantes (escala 1–10)</w:t>
            </w:r>
          </w:p>
        </w:tc>
        <w:tc>
          <w:tcPr>
            <w:tcW w:type="dxa" w:w="14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[Por completar]</w:t>
            </w:r>
          </w:p>
        </w:tc>
        <w:tc>
          <w:tcPr>
            <w:tcW w:type="dxa" w:w="14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 8.0</w:t>
            </w:r>
          </w:p>
        </w:tc>
        <w:tc>
          <w:tcPr>
            <w:tcW w:type="dxa" w:w="14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 8.5</w:t>
            </w:r>
          </w:p>
        </w:tc>
        <w:tc>
          <w:tcPr>
            <w:tcW w:type="dxa" w:w="26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Encuesta de satisfacción aplicada al cierre de cohorte</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212121"/>
                <w:sz w:val="17"/>
                <w:szCs w:val="17"/>
              </w:rPr>
              <w:t xml:space="preserve">Costo por participante certificado</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[Calcular con datos reales]</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CLP ~$503.000</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CLP ~$290.000</w:t>
            </w:r>
          </w:p>
        </w:tc>
        <w:tc>
          <w:tcPr>
            <w:tcW w:type="dxa" w:w="26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Presupuesto ejecutado / N° certificados emitidos</w:t>
            </w:r>
          </w:p>
        </w:tc>
      </w:tr>
    </w:tbl>
    <w:p>
      <w:pPr>
        <w:spacing w:after="0" w:before="0"/>
      </w:pPr>
      <w:r>
        <w:rPr>
          <w:rFonts w:ascii="Arial" w:cs="Arial" w:eastAsia="Arial" w:hAnsi="Arial"/>
          <w:b w:val="false"/>
          <w:bCs w:val="false"/>
          <w:i w:val="false"/>
          <w:iCs w:val="false"/>
          <w:caps w:val="false"/>
          <w:color w:val="212121"/>
          <w:sz w:val="120"/>
          <w:szCs w:val="120"/>
        </w:rPr>
        <w:t xml:space="preserve"/>
      </w:r>
    </w:p>
    <w:p>
      <w:pPr>
        <w:pStyle w:val="Heading2"/>
        <w:spacing w:after="100" w:before="320"/>
      </w:pPr>
      <w:r>
        <w:rPr>
          <w:rFonts w:ascii="Arial" w:cs="Arial" w:eastAsia="Arial" w:hAnsi="Arial"/>
          <w:b/>
          <w:bCs/>
          <w:i w:val="false"/>
          <w:iCs w:val="false"/>
          <w:caps w:val="false"/>
          <w:color w:val="1F618D"/>
          <w:sz w:val="26"/>
          <w:szCs w:val="26"/>
        </w:rPr>
        <w:t xml:space="preserve">8.2 Sistema de Seguimiento de Egresados</w:t>
      </w:r>
    </w:p>
    <w:p>
      <w:pPr>
        <w:spacing w:after="80" w:before="60"/>
        <w:jc w:val="left"/>
      </w:pPr>
      <w:r>
        <w:rPr>
          <w:rFonts w:ascii="Arial" w:cs="Arial" w:eastAsia="Arial" w:hAnsi="Arial"/>
          <w:b w:val="false"/>
          <w:bCs w:val="false"/>
          <w:i w:val="false"/>
          <w:iCs w:val="false"/>
          <w:caps w:val="false"/>
          <w:color w:val="212121"/>
          <w:sz w:val="20"/>
          <w:szCs w:val="20"/>
        </w:rPr>
        <w:t xml:space="preserve">El componente de seguimiento post-egreso es crítico para medir el impacto real del programa. El protocolo estándar incluye:</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Contacto telefónico al mes 3 y mes 6 post-egreso para registrar situación laboral.</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Encuesta de satisfacción al cierre de cada cohorte (escala 1–10, preguntas abiertas y cerradas).</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Registro de datos de empleo aportados por las empresas socias (contratos firmados, permanencia).</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Seguimiento de reincidencia en coordinación con Gendarmería de Chile (cuando sea posible por acceso a datos).</w:t>
      </w:r>
    </w:p>
    <w:p>
      <w:pPr>
        <w:spacing w:after="0" w:before="0"/>
      </w:pPr>
      <w:r>
        <w:rPr>
          <w:rFonts w:ascii="Arial" w:cs="Arial" w:eastAsia="Arial" w:hAnsi="Arial"/>
          <w:b w:val="false"/>
          <w:bCs w:val="false"/>
          <w:i w:val="false"/>
          <w:iCs w:val="false"/>
          <w:caps w:val="false"/>
          <w:color w:val="212121"/>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27A" w:sz="4"/>
              <w:left w:val="single" w:color="B7950B" w:sz="12"/>
              <w:bottom w:val="single" w:color="F0B27A" w:sz="4"/>
              <w:right w:val="single" w:color="F0B27A" w:sz="4"/>
            </w:tcBorders>
            <w:shd w:fill="FEF9E7" w:val="clear"/>
            <w:tcMar>
              <w:top w:type="dxa" w:w="160"/>
              <w:left w:type="dxa" w:w="280"/>
              <w:bottom w:type="dxa" w:w="160"/>
              <w:right w:type="dxa" w:w="280"/>
            </w:tcMar>
          </w:tcPr>
          <w:p>
            <w:pPr>
              <w:spacing w:after="80" w:before="0"/>
            </w:pPr>
            <w:r>
              <w:rPr>
                <w:rFonts w:ascii="Arial" w:cs="Arial" w:eastAsia="Arial" w:hAnsi="Arial"/>
                <w:b/>
                <w:bCs/>
                <w:i w:val="false"/>
                <w:iCs w:val="false"/>
                <w:caps w:val="false"/>
                <w:color w:val="B7950B"/>
                <w:sz w:val="19"/>
                <w:szCs w:val="19"/>
              </w:rPr>
              <w:t xml:space="preserve">[ PENDIENTE — BASE DE DATOS DE SEGUIMIENTO ]</w:t>
            </w:r>
          </w:p>
          <w:p>
            <w:pPr>
              <w:spacing w:after="0" w:before="0"/>
            </w:pPr>
            <w:r>
              <w:rPr>
                <w:rFonts w:ascii="Arial" w:cs="Arial" w:eastAsia="Arial" w:hAnsi="Arial"/>
                <w:b w:val="false"/>
                <w:bCs w:val="false"/>
                <w:i/>
                <w:iCs/>
                <w:caps w:val="false"/>
                <w:color w:val="555555"/>
                <w:sz w:val="18"/>
                <w:szCs w:val="18"/>
              </w:rPr>
              <w:t xml:space="preserve">Completar con: sistema actual de registro de egresados, tasa de respuesta a seguimientos anteriores, mecanismo de contacto (teléfono, familiar de referencia, empresa socia). Evaluar implementación de CRM o base de datos estructurada para sistematizar el seguimiento de todas las cohortes.</w:t>
            </w:r>
          </w:p>
        </w:tc>
      </w:tr>
    </w:tbl>
    <w:p>
      <w:pPr>
        <w:spacing w:after="0" w:before="0"/>
      </w:pPr>
      <w:r>
        <w:rPr>
          <w:rFonts w:ascii="Arial" w:cs="Arial" w:eastAsia="Arial" w:hAnsi="Arial"/>
          <w:b w:val="false"/>
          <w:bCs w:val="false"/>
          <w:i w:val="false"/>
          <w:iCs w:val="false"/>
          <w:caps w:val="false"/>
          <w:color w:val="212121"/>
          <w:sz w:val="160"/>
          <w:szCs w:val="16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9. PRESUPUESTO DETALLADO A 2 AÑOS</w:t>
      </w:r>
    </w:p>
    <w:p>
      <w:pPr>
        <w:pStyle w:val="Heading2"/>
        <w:spacing w:after="100" w:before="320"/>
      </w:pPr>
      <w:r>
        <w:rPr>
          <w:rFonts w:ascii="Arial" w:cs="Arial" w:eastAsia="Arial" w:hAnsi="Arial"/>
          <w:b/>
          <w:bCs/>
          <w:i w:val="false"/>
          <w:iCs w:val="false"/>
          <w:caps w:val="false"/>
          <w:color w:val="1F618D"/>
          <w:sz w:val="26"/>
          <w:szCs w:val="26"/>
        </w:rPr>
        <w:t xml:space="preserve">9.1 Justificación General del Presupuesto</w:t>
      </w:r>
    </w:p>
    <w:p>
      <w:pPr>
        <w:spacing w:after="80" w:before="60"/>
        <w:jc w:val="left"/>
      </w:pPr>
      <w:r>
        <w:rPr>
          <w:rFonts w:ascii="Arial" w:cs="Arial" w:eastAsia="Arial" w:hAnsi="Arial"/>
          <w:b w:val="false"/>
          <w:bCs w:val="false"/>
          <w:i w:val="false"/>
          <w:iCs w:val="false"/>
          <w:caps w:val="false"/>
          <w:color w:val="212121"/>
          <w:sz w:val="20"/>
          <w:szCs w:val="20"/>
        </w:rPr>
        <w:t xml:space="preserve">El presupuesto está diseñado en dos fases claramente diferenciadas. El Año 1 concentra la inversión en infraestructura y equipamiento especializado — CNC router, corte láser de calidad productiva, bordadoras industriales, sierras y herramientas para taller de 20 personas, más las mejoras físicas del espacio — totalizando CLP $30M solo en maquinaria. Esta inversión no se repite en el Año 2, donde el equipamiento pasa a régimen de mantención. Eso explica la diferencia de CLP $36,5M entre ambos años y la caída del 42% en el costo por participante. A partir del Año 2, el costo operacional se estabiliza en torno a CLP $49,5M, lo que hace al programa altamente eficiente para financiadores de largo plazo.</w:t>
      </w:r>
    </w:p>
    <w:p>
      <w:pPr>
        <w:spacing w:after="80" w:before="60"/>
        <w:jc w:val="left"/>
      </w:pPr>
      <w:r>
        <w:rPr>
          <w:rFonts w:ascii="Arial" w:cs="Arial" w:eastAsia="Arial" w:hAnsi="Arial"/>
          <w:b w:val="false"/>
          <w:bCs w:val="false"/>
          <w:i w:val="false"/>
          <w:iCs w:val="false"/>
          <w:caps w:val="false"/>
          <w:color w:val="212121"/>
          <w:sz w:val="20"/>
          <w:szCs w:val="20"/>
        </w:rPr>
        <w:t xml:space="preserve">El equipo psicosocial (trabajador/a social + psicólogo/a) opera en régimen part time estable durante ambos años (2–3 días/semana por profesional, ~CLP $1.250.000/mes en total), lo que asegura continuidad del acompañamiento sin sobredimensionar el equipo. Gendarmería de Chile provee el espacio físico (galpón) sin costo, aporte en especie relevante no incluido en el presupuesto monetario.</w:t>
      </w:r>
    </w:p>
    <w:p>
      <w:pPr>
        <w:spacing w:after="0" w:before="0"/>
      </w:pPr>
      <w:r>
        <w:rPr>
          <w:rFonts w:ascii="Arial" w:cs="Arial" w:eastAsia="Arial" w:hAnsi="Arial"/>
          <w:b w:val="false"/>
          <w:bCs w:val="false"/>
          <w:i w:val="false"/>
          <w:iCs w:val="false"/>
          <w:caps w:val="false"/>
          <w:color w:val="212121"/>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00"/>
        <w:gridCol w:w="1600"/>
        <w:gridCol w:w="760"/>
      </w:tblGrid>
      <w:tr>
        <w:tc>
          <w:tcPr>
            <w:tcW w:type="dxa" w:w="28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Componente / Ítem</w:t>
            </w:r>
          </w:p>
        </w:tc>
        <w:tc>
          <w:tcPr>
            <w:tcW w:type="dxa" w:w="26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Detalle</w:t>
            </w:r>
          </w:p>
        </w:tc>
        <w:tc>
          <w:tcPr>
            <w:tcW w:type="dxa" w:w="16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Año 1 (CLP)</w:t>
            </w:r>
          </w:p>
        </w:tc>
        <w:tc>
          <w:tcPr>
            <w:tcW w:type="dxa" w:w="16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Año 2 (CLP)</w:t>
            </w:r>
          </w:p>
        </w:tc>
        <w:tc>
          <w:tcPr>
            <w:tcW w:type="dxa" w:w="76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w:t>
            </w:r>
          </w:p>
        </w:tc>
      </w:tr>
      <w:tr>
        <w:tc>
          <w:tcPr>
            <w:tcW w:type="dxa" w:w="9360"/>
            <w:gridSpan w:val="5"/>
            <w:tcBorders>
              <w:top w:val="single" w:color="AAAAAA" w:sz="1"/>
              <w:left w:val="single" w:color="AAAAAA" w:sz="1"/>
              <w:bottom w:val="single" w:color="AAAAAA" w:sz="1"/>
              <w:right w:val="single" w:color="AAAAAA" w:sz="1"/>
            </w:tcBorders>
            <w:shd w:fill="1F618D" w:val="clear"/>
            <w:tcMar>
              <w:top w:type="dxa" w:w="80"/>
              <w:left w:type="dxa" w:w="160"/>
              <w:bottom w:type="dxa" w:w="80"/>
              <w:right w:type="dxa" w:w="160"/>
            </w:tcMar>
          </w:tcPr>
          <w:p>
            <w:pPr>
              <w:spacing w:after="0" w:before="0"/>
              <w:jc w:val="left"/>
            </w:pPr>
            <w:r>
              <w:rPr>
                <w:rFonts w:ascii="Arial" w:cs="Arial" w:eastAsia="Arial" w:hAnsi="Arial"/>
                <w:b/>
                <w:bCs/>
                <w:i w:val="false"/>
                <w:iCs w:val="false"/>
                <w:caps w:val="false"/>
                <w:color w:val="FFFFFF"/>
                <w:sz w:val="18"/>
                <w:szCs w:val="18"/>
              </w:rPr>
              <w:t xml:space="preserve">A. CAPACITACIÓN TÉCNICA</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Instructores y certificación (9 cohortes)</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iCs/>
                <w:caps w:val="false"/>
                <w:color w:val="555555"/>
                <w:sz w:val="16"/>
                <w:szCs w:val="16"/>
              </w:rPr>
              <w:t xml:space="preserve">Honorarios 2 instructores x 9 cohortes + costos SENCE/OTEC (60 pax/ciclo)</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18.500.000</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16.500.000</w:t>
            </w:r>
          </w:p>
        </w:tc>
        <w:tc>
          <w:tcPr>
            <w:tcW w:type="dxa" w:w="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1F618D"/>
                <w:sz w:val="17"/>
                <w:szCs w:val="17"/>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Materiales e insumos por oficio</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iCs/>
                <w:caps w:val="false"/>
                <w:color w:val="555555"/>
                <w:sz w:val="16"/>
                <w:szCs w:val="16"/>
              </w:rPr>
              <w:t xml:space="preserve">Maderas, telas, componentes eléctricos, insumos de producción de alta salida</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2.500.000</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1.500.000</w:t>
            </w:r>
          </w:p>
        </w:tc>
        <w:tc>
          <w:tcPr>
            <w:tcW w:type="dxa" w:w="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1F618D"/>
                <w:sz w:val="17"/>
                <w:szCs w:val="17"/>
              </w:rPr>
              <w:t xml:space="preserve"/>
            </w:r>
          </w:p>
        </w:tc>
      </w:tr>
      <w:tr>
        <w:tc>
          <w:tcPr>
            <w:tcW w:type="dxa" w:w="2800"/>
            <w:tcBorders>
              <w:top w:val="single" w:color="AAAAAA" w:sz="1"/>
              <w:left w:val="single" w:color="AAAAAA" w:sz="1"/>
              <w:bottom w:val="single" w:color="AAAAAA" w:sz="1"/>
              <w:right w:val="single" w:color="AAAAAA" w:sz="1"/>
            </w:tcBorders>
            <w:shd w:fill="E8F4FD"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Subtotal A</w:t>
            </w:r>
          </w:p>
        </w:tc>
        <w:tc>
          <w:tcPr>
            <w:tcW w:type="dxa" w:w="2600"/>
            <w:tcBorders>
              <w:top w:val="single" w:color="AAAAAA" w:sz="1"/>
              <w:left w:val="single" w:color="AAAAAA" w:sz="1"/>
              <w:bottom w:val="single" w:color="AAAAAA" w:sz="1"/>
              <w:right w:val="single" w:color="AAAAAA" w:sz="1"/>
            </w:tcBorders>
            <w:shd w:fill="E8F4FD"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1A2F4A"/>
                <w:sz w:val="16"/>
                <w:szCs w:val="16"/>
              </w:rPr>
              <w:t xml:space="preserve"/>
            </w:r>
          </w:p>
        </w:tc>
        <w:tc>
          <w:tcPr>
            <w:tcW w:type="dxa" w:w="1600"/>
            <w:tcBorders>
              <w:top w:val="single" w:color="AAAAAA" w:sz="1"/>
              <w:left w:val="single" w:color="AAAAAA" w:sz="1"/>
              <w:bottom w:val="single" w:color="AAAAAA" w:sz="1"/>
              <w:right w:val="single" w:color="AAAAAA" w:sz="1"/>
            </w:tcBorders>
            <w:shd w:fill="E8F4FD" w:val="clear"/>
            <w:tcMar>
              <w:top w:type="dxa" w:w="100"/>
              <w:left w:type="dxa" w:w="160"/>
              <w:bottom w:type="dxa" w:w="100"/>
              <w:right w:type="dxa" w:w="160"/>
            </w:tcMar>
            <w:vAlign w:val="center"/>
          </w:tcPr>
          <w:p>
            <w:pPr>
              <w:spacing w:after="0" w:before="0"/>
              <w:jc w:val="right"/>
            </w:pPr>
            <w:r>
              <w:rPr>
                <w:rFonts w:ascii="Arial" w:cs="Arial" w:eastAsia="Arial" w:hAnsi="Arial"/>
                <w:b/>
                <w:bCs/>
                <w:i w:val="false"/>
                <w:iCs w:val="false"/>
                <w:caps w:val="false"/>
                <w:color w:val="1A2F4A"/>
                <w:sz w:val="17"/>
                <w:szCs w:val="17"/>
              </w:rPr>
              <w:t xml:space="preserve">21.000.000</w:t>
            </w:r>
          </w:p>
        </w:tc>
        <w:tc>
          <w:tcPr>
            <w:tcW w:type="dxa" w:w="1600"/>
            <w:tcBorders>
              <w:top w:val="single" w:color="AAAAAA" w:sz="1"/>
              <w:left w:val="single" w:color="AAAAAA" w:sz="1"/>
              <w:bottom w:val="single" w:color="AAAAAA" w:sz="1"/>
              <w:right w:val="single" w:color="AAAAAA" w:sz="1"/>
            </w:tcBorders>
            <w:shd w:fill="E8F4FD" w:val="clear"/>
            <w:tcMar>
              <w:top w:type="dxa" w:w="100"/>
              <w:left w:type="dxa" w:w="160"/>
              <w:bottom w:type="dxa" w:w="100"/>
              <w:right w:type="dxa" w:w="160"/>
            </w:tcMar>
            <w:vAlign w:val="center"/>
          </w:tcPr>
          <w:p>
            <w:pPr>
              <w:spacing w:after="0" w:before="0"/>
              <w:jc w:val="right"/>
            </w:pPr>
            <w:r>
              <w:rPr>
                <w:rFonts w:ascii="Arial" w:cs="Arial" w:eastAsia="Arial" w:hAnsi="Arial"/>
                <w:b/>
                <w:bCs/>
                <w:i w:val="false"/>
                <w:iCs w:val="false"/>
                <w:caps w:val="false"/>
                <w:color w:val="1A2F4A"/>
                <w:sz w:val="17"/>
                <w:szCs w:val="17"/>
              </w:rPr>
              <w:t xml:space="preserve">18.000.000</w:t>
            </w:r>
          </w:p>
        </w:tc>
        <w:tc>
          <w:tcPr>
            <w:tcW w:type="dxa" w:w="760"/>
            <w:tcBorders>
              <w:top w:val="single" w:color="AAAAAA" w:sz="1"/>
              <w:left w:val="single" w:color="AAAAAA" w:sz="1"/>
              <w:bottom w:val="single" w:color="AAAAAA" w:sz="1"/>
              <w:right w:val="single" w:color="AAAAAA" w:sz="1"/>
            </w:tcBorders>
            <w:shd w:fill="E8F4FD"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1F618D"/>
                <w:sz w:val="17"/>
                <w:szCs w:val="17"/>
              </w:rPr>
              <w:t xml:space="preserve">28,7%</w:t>
            </w:r>
          </w:p>
        </w:tc>
      </w:tr>
      <w:tr>
        <w:tc>
          <w:tcPr>
            <w:tcW w:type="dxa" w:w="9360"/>
            <w:gridSpan w:val="5"/>
            <w:tcBorders>
              <w:top w:val="single" w:color="AAAAAA" w:sz="1"/>
              <w:left w:val="single" w:color="AAAAAA" w:sz="1"/>
              <w:bottom w:val="single" w:color="AAAAAA" w:sz="1"/>
              <w:right w:val="single" w:color="AAAAAA" w:sz="1"/>
            </w:tcBorders>
            <w:shd w:fill="1F618D" w:val="clear"/>
            <w:tcMar>
              <w:top w:type="dxa" w:w="80"/>
              <w:left w:type="dxa" w:w="160"/>
              <w:bottom w:type="dxa" w:w="80"/>
              <w:right w:type="dxa" w:w="160"/>
            </w:tcMar>
          </w:tcPr>
          <w:p>
            <w:pPr>
              <w:spacing w:after="0" w:before="0"/>
              <w:jc w:val="left"/>
            </w:pPr>
            <w:r>
              <w:rPr>
                <w:rFonts w:ascii="Arial" w:cs="Arial" w:eastAsia="Arial" w:hAnsi="Arial"/>
                <w:b/>
                <w:bCs/>
                <w:i w:val="false"/>
                <w:iCs w:val="false"/>
                <w:caps w:val="false"/>
                <w:color w:val="FFFFFF"/>
                <w:sz w:val="18"/>
                <w:szCs w:val="18"/>
              </w:rPr>
              <w:t xml:space="preserve">B. EQUIPAMIENTO Y HABILITACIÓN</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Maquinaria principal</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iCs/>
                <w:caps w:val="false"/>
                <w:color w:val="555555"/>
                <w:sz w:val="16"/>
                <w:szCs w:val="16"/>
              </w:rPr>
              <w:t xml:space="preserve">CNC router + corte láser (calidad productiva), sierras, bordadoras industriales (x2), herramientas manuales completas (taller 20 pax). Cotización estimada: CNC láser ~USD 5–8K, router ~USD 4–7K, resto equipamiento complementario.</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30.000.000</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4.000.000</w:t>
            </w:r>
          </w:p>
        </w:tc>
        <w:tc>
          <w:tcPr>
            <w:tcW w:type="dxa" w:w="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1F618D"/>
                <w:sz w:val="17"/>
                <w:szCs w:val="17"/>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Mejoras físicas del espacio</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iCs/>
                <w:caps w:val="false"/>
                <w:color w:val="555555"/>
                <w:sz w:val="16"/>
                <w:szCs w:val="16"/>
              </w:rPr>
              <w:t xml:space="preserve">Luminaria LED industrial, aislación acústica, pintura, climatización básica, renovación piso terciado, mobiliario y bancos de trabajo</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7.000.000</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2.000.000</w:t>
            </w:r>
          </w:p>
        </w:tc>
        <w:tc>
          <w:tcPr>
            <w:tcW w:type="dxa" w:w="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1F618D"/>
                <w:sz w:val="17"/>
                <w:szCs w:val="17"/>
              </w:rPr>
              <w:t xml:space="preserve"/>
            </w:r>
          </w:p>
        </w:tc>
      </w:tr>
      <w:tr>
        <w:tc>
          <w:tcPr>
            <w:tcW w:type="dxa" w:w="2800"/>
            <w:tcBorders>
              <w:top w:val="single" w:color="AAAAAA" w:sz="1"/>
              <w:left w:val="single" w:color="AAAAAA" w:sz="1"/>
              <w:bottom w:val="single" w:color="AAAAAA" w:sz="1"/>
              <w:right w:val="single" w:color="AAAAAA" w:sz="1"/>
            </w:tcBorders>
            <w:shd w:fill="EAFAF1"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Subtotal B</w:t>
            </w:r>
          </w:p>
        </w:tc>
        <w:tc>
          <w:tcPr>
            <w:tcW w:type="dxa" w:w="2600"/>
            <w:tcBorders>
              <w:top w:val="single" w:color="AAAAAA" w:sz="1"/>
              <w:left w:val="single" w:color="AAAAAA" w:sz="1"/>
              <w:bottom w:val="single" w:color="AAAAAA" w:sz="1"/>
              <w:right w:val="single" w:color="AAAAAA" w:sz="1"/>
            </w:tcBorders>
            <w:shd w:fill="EAFAF1"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1A2F4A"/>
                <w:sz w:val="16"/>
                <w:szCs w:val="16"/>
              </w:rPr>
              <w:t xml:space="preserve"/>
            </w:r>
          </w:p>
        </w:tc>
        <w:tc>
          <w:tcPr>
            <w:tcW w:type="dxa" w:w="1600"/>
            <w:tcBorders>
              <w:top w:val="single" w:color="AAAAAA" w:sz="1"/>
              <w:left w:val="single" w:color="AAAAAA" w:sz="1"/>
              <w:bottom w:val="single" w:color="AAAAAA" w:sz="1"/>
              <w:right w:val="single" w:color="AAAAAA" w:sz="1"/>
            </w:tcBorders>
            <w:shd w:fill="EAFAF1" w:val="clear"/>
            <w:tcMar>
              <w:top w:type="dxa" w:w="100"/>
              <w:left w:type="dxa" w:w="160"/>
              <w:bottom w:type="dxa" w:w="100"/>
              <w:right w:type="dxa" w:w="160"/>
            </w:tcMar>
            <w:vAlign w:val="center"/>
          </w:tcPr>
          <w:p>
            <w:pPr>
              <w:spacing w:after="0" w:before="0"/>
              <w:jc w:val="right"/>
            </w:pPr>
            <w:r>
              <w:rPr>
                <w:rFonts w:ascii="Arial" w:cs="Arial" w:eastAsia="Arial" w:hAnsi="Arial"/>
                <w:b/>
                <w:bCs/>
                <w:i w:val="false"/>
                <w:iCs w:val="false"/>
                <w:caps w:val="false"/>
                <w:color w:val="1A2F4A"/>
                <w:sz w:val="17"/>
                <w:szCs w:val="17"/>
              </w:rPr>
              <w:t xml:space="preserve">37.000.000</w:t>
            </w:r>
          </w:p>
        </w:tc>
        <w:tc>
          <w:tcPr>
            <w:tcW w:type="dxa" w:w="1600"/>
            <w:tcBorders>
              <w:top w:val="single" w:color="AAAAAA" w:sz="1"/>
              <w:left w:val="single" w:color="AAAAAA" w:sz="1"/>
              <w:bottom w:val="single" w:color="AAAAAA" w:sz="1"/>
              <w:right w:val="single" w:color="AAAAAA" w:sz="1"/>
            </w:tcBorders>
            <w:shd w:fill="EAFAF1" w:val="clear"/>
            <w:tcMar>
              <w:top w:type="dxa" w:w="100"/>
              <w:left w:type="dxa" w:w="160"/>
              <w:bottom w:type="dxa" w:w="100"/>
              <w:right w:type="dxa" w:w="160"/>
            </w:tcMar>
            <w:vAlign w:val="center"/>
          </w:tcPr>
          <w:p>
            <w:pPr>
              <w:spacing w:after="0" w:before="0"/>
              <w:jc w:val="right"/>
            </w:pPr>
            <w:r>
              <w:rPr>
                <w:rFonts w:ascii="Arial" w:cs="Arial" w:eastAsia="Arial" w:hAnsi="Arial"/>
                <w:b/>
                <w:bCs/>
                <w:i w:val="false"/>
                <w:iCs w:val="false"/>
                <w:caps w:val="false"/>
                <w:color w:val="1A2F4A"/>
                <w:sz w:val="17"/>
                <w:szCs w:val="17"/>
              </w:rPr>
              <w:t xml:space="preserve">6.000.000</w:t>
            </w:r>
          </w:p>
        </w:tc>
        <w:tc>
          <w:tcPr>
            <w:tcW w:type="dxa" w:w="760"/>
            <w:tcBorders>
              <w:top w:val="single" w:color="AAAAAA" w:sz="1"/>
              <w:left w:val="single" w:color="AAAAAA" w:sz="1"/>
              <w:bottom w:val="single" w:color="AAAAAA" w:sz="1"/>
              <w:right w:val="single" w:color="AAAAAA" w:sz="1"/>
            </w:tcBorders>
            <w:shd w:fill="EAFAF1"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1F618D"/>
                <w:sz w:val="17"/>
                <w:szCs w:val="17"/>
              </w:rPr>
              <w:t xml:space="preserve">31,9%</w:t>
            </w:r>
          </w:p>
        </w:tc>
      </w:tr>
      <w:tr>
        <w:tc>
          <w:tcPr>
            <w:tcW w:type="dxa" w:w="9360"/>
            <w:gridSpan w:val="5"/>
            <w:tcBorders>
              <w:top w:val="single" w:color="AAAAAA" w:sz="1"/>
              <w:left w:val="single" w:color="AAAAAA" w:sz="1"/>
              <w:bottom w:val="single" w:color="AAAAAA" w:sz="1"/>
              <w:right w:val="single" w:color="AAAAAA" w:sz="1"/>
            </w:tcBorders>
            <w:shd w:fill="1F618D" w:val="clear"/>
            <w:tcMar>
              <w:top w:type="dxa" w:w="80"/>
              <w:left w:type="dxa" w:w="160"/>
              <w:bottom w:type="dxa" w:w="80"/>
              <w:right w:type="dxa" w:w="160"/>
            </w:tcMar>
          </w:tcPr>
          <w:p>
            <w:pPr>
              <w:spacing w:after="0" w:before="0"/>
              <w:jc w:val="left"/>
            </w:pPr>
            <w:r>
              <w:rPr>
                <w:rFonts w:ascii="Arial" w:cs="Arial" w:eastAsia="Arial" w:hAnsi="Arial"/>
                <w:b/>
                <w:bCs/>
                <w:i w:val="false"/>
                <w:iCs w:val="false"/>
                <w:caps w:val="false"/>
                <w:color w:val="FFFFFF"/>
                <w:sz w:val="18"/>
                <w:szCs w:val="18"/>
              </w:rPr>
              <w:t xml:space="preserve">C. ACOMPAÑAMIENTO PSICOSOCIAL</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Honorarios equipo psicosocial</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iCs/>
                <w:caps w:val="false"/>
                <w:color w:val="555555"/>
                <w:sz w:val="16"/>
                <w:szCs w:val="16"/>
              </w:rPr>
              <w:t xml:space="preserve">Trabajador/a social part time (2–3 días/semana, ~CLP $650K/mes) + Psicólogo/a part time (2–3 días/semana, ~CLP $600K/mes). Total: ~CLP $1.250.000/mes x 12.</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15.000.000</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15.000.000</w:t>
            </w:r>
          </w:p>
        </w:tc>
        <w:tc>
          <w:tcPr>
            <w:tcW w:type="dxa" w:w="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1F618D"/>
                <w:sz w:val="17"/>
                <w:szCs w:val="17"/>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Materiales habilidades blandas y remedial</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iCs/>
                <w:caps w:val="false"/>
                <w:color w:val="555555"/>
                <w:sz w:val="16"/>
                <w:szCs w:val="16"/>
              </w:rPr>
              <w:t xml:space="preserve">Materiales talleres ESPERE, nivelación matemática y lenguaje, taller de libertad, arte y espiritualidad</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2.000.000</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2.000.000</w:t>
            </w:r>
          </w:p>
        </w:tc>
        <w:tc>
          <w:tcPr>
            <w:tcW w:type="dxa" w:w="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1F618D"/>
                <w:sz w:val="17"/>
                <w:szCs w:val="17"/>
              </w:rPr>
              <w:t xml:space="preserve"/>
            </w:r>
          </w:p>
        </w:tc>
      </w:tr>
      <w:tr>
        <w:tc>
          <w:tcPr>
            <w:tcW w:type="dxa" w:w="2800"/>
            <w:tcBorders>
              <w:top w:val="single" w:color="AAAAAA" w:sz="1"/>
              <w:left w:val="single" w:color="AAAAAA" w:sz="1"/>
              <w:bottom w:val="single" w:color="AAAAAA" w:sz="1"/>
              <w:right w:val="single" w:color="AAAAAA" w:sz="1"/>
            </w:tcBorders>
            <w:shd w:fill="F5EE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Subtotal C</w:t>
            </w:r>
          </w:p>
        </w:tc>
        <w:tc>
          <w:tcPr>
            <w:tcW w:type="dxa" w:w="2600"/>
            <w:tcBorders>
              <w:top w:val="single" w:color="AAAAAA" w:sz="1"/>
              <w:left w:val="single" w:color="AAAAAA" w:sz="1"/>
              <w:bottom w:val="single" w:color="AAAAAA" w:sz="1"/>
              <w:right w:val="single" w:color="AAAAAA" w:sz="1"/>
            </w:tcBorders>
            <w:shd w:fill="F5EEF8"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1A2F4A"/>
                <w:sz w:val="16"/>
                <w:szCs w:val="16"/>
              </w:rPr>
              <w:t xml:space="preserve"/>
            </w:r>
          </w:p>
        </w:tc>
        <w:tc>
          <w:tcPr>
            <w:tcW w:type="dxa" w:w="1600"/>
            <w:tcBorders>
              <w:top w:val="single" w:color="AAAAAA" w:sz="1"/>
              <w:left w:val="single" w:color="AAAAAA" w:sz="1"/>
              <w:bottom w:val="single" w:color="AAAAAA" w:sz="1"/>
              <w:right w:val="single" w:color="AAAAAA" w:sz="1"/>
            </w:tcBorders>
            <w:shd w:fill="F5EEF8" w:val="clear"/>
            <w:tcMar>
              <w:top w:type="dxa" w:w="100"/>
              <w:left w:type="dxa" w:w="160"/>
              <w:bottom w:type="dxa" w:w="100"/>
              <w:right w:type="dxa" w:w="160"/>
            </w:tcMar>
            <w:vAlign w:val="center"/>
          </w:tcPr>
          <w:p>
            <w:pPr>
              <w:spacing w:after="0" w:before="0"/>
              <w:jc w:val="right"/>
            </w:pPr>
            <w:r>
              <w:rPr>
                <w:rFonts w:ascii="Arial" w:cs="Arial" w:eastAsia="Arial" w:hAnsi="Arial"/>
                <w:b/>
                <w:bCs/>
                <w:i w:val="false"/>
                <w:iCs w:val="false"/>
                <w:caps w:val="false"/>
                <w:color w:val="1A2F4A"/>
                <w:sz w:val="17"/>
                <w:szCs w:val="17"/>
              </w:rPr>
              <w:t xml:space="preserve">17.000.000</w:t>
            </w:r>
          </w:p>
        </w:tc>
        <w:tc>
          <w:tcPr>
            <w:tcW w:type="dxa" w:w="1600"/>
            <w:tcBorders>
              <w:top w:val="single" w:color="AAAAAA" w:sz="1"/>
              <w:left w:val="single" w:color="AAAAAA" w:sz="1"/>
              <w:bottom w:val="single" w:color="AAAAAA" w:sz="1"/>
              <w:right w:val="single" w:color="AAAAAA" w:sz="1"/>
            </w:tcBorders>
            <w:shd w:fill="F5EEF8" w:val="clear"/>
            <w:tcMar>
              <w:top w:type="dxa" w:w="100"/>
              <w:left w:type="dxa" w:w="160"/>
              <w:bottom w:type="dxa" w:w="100"/>
              <w:right w:type="dxa" w:w="160"/>
            </w:tcMar>
            <w:vAlign w:val="center"/>
          </w:tcPr>
          <w:p>
            <w:pPr>
              <w:spacing w:after="0" w:before="0"/>
              <w:jc w:val="right"/>
            </w:pPr>
            <w:r>
              <w:rPr>
                <w:rFonts w:ascii="Arial" w:cs="Arial" w:eastAsia="Arial" w:hAnsi="Arial"/>
                <w:b/>
                <w:bCs/>
                <w:i w:val="false"/>
                <w:iCs w:val="false"/>
                <w:caps w:val="false"/>
                <w:color w:val="1A2F4A"/>
                <w:sz w:val="17"/>
                <w:szCs w:val="17"/>
              </w:rPr>
              <w:t xml:space="preserve">17.000.000</w:t>
            </w:r>
          </w:p>
        </w:tc>
        <w:tc>
          <w:tcPr>
            <w:tcW w:type="dxa" w:w="760"/>
            <w:tcBorders>
              <w:top w:val="single" w:color="AAAAAA" w:sz="1"/>
              <w:left w:val="single" w:color="AAAAAA" w:sz="1"/>
              <w:bottom w:val="single" w:color="AAAAAA" w:sz="1"/>
              <w:right w:val="single" w:color="AAAAAA" w:sz="1"/>
            </w:tcBorders>
            <w:shd w:fill="F5EEF8"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1F618D"/>
                <w:sz w:val="17"/>
                <w:szCs w:val="17"/>
              </w:rPr>
              <w:t xml:space="preserve">25,0%</w:t>
            </w:r>
          </w:p>
        </w:tc>
      </w:tr>
      <w:tr>
        <w:tc>
          <w:tcPr>
            <w:tcW w:type="dxa" w:w="9360"/>
            <w:gridSpan w:val="5"/>
            <w:tcBorders>
              <w:top w:val="single" w:color="AAAAAA" w:sz="1"/>
              <w:left w:val="single" w:color="AAAAAA" w:sz="1"/>
              <w:bottom w:val="single" w:color="AAAAAA" w:sz="1"/>
              <w:right w:val="single" w:color="AAAAAA" w:sz="1"/>
            </w:tcBorders>
            <w:shd w:fill="1F618D" w:val="clear"/>
            <w:tcMar>
              <w:top w:type="dxa" w:w="80"/>
              <w:left w:type="dxa" w:w="160"/>
              <w:bottom w:type="dxa" w:w="80"/>
              <w:right w:type="dxa" w:w="160"/>
            </w:tcMar>
          </w:tcPr>
          <w:p>
            <w:pPr>
              <w:spacing w:after="0" w:before="0"/>
              <w:jc w:val="left"/>
            </w:pPr>
            <w:r>
              <w:rPr>
                <w:rFonts w:ascii="Arial" w:cs="Arial" w:eastAsia="Arial" w:hAnsi="Arial"/>
                <w:b/>
                <w:bCs/>
                <w:i w:val="false"/>
                <w:iCs w:val="false"/>
                <w:caps w:val="false"/>
                <w:color w:val="FFFFFF"/>
                <w:sz w:val="18"/>
                <w:szCs w:val="18"/>
              </w:rPr>
              <w:t xml:space="preserve">D. COORDINACIÓN, MONITOREO Y GESTIÓN</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Coordinación operativa</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iCs/>
                <w:caps w:val="false"/>
                <w:color w:val="555555"/>
                <w:sz w:val="16"/>
                <w:szCs w:val="16"/>
              </w:rPr>
              <w:t xml:space="preserve">Gestión con Gendarmería RM y Valparaíso, logística cohortes, agenda sedes</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6.000.000</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5.000.000</w:t>
            </w:r>
          </w:p>
        </w:tc>
        <w:tc>
          <w:tcPr>
            <w:tcW w:type="dxa" w:w="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1F618D"/>
                <w:sz w:val="17"/>
                <w:szCs w:val="17"/>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Monitoreo y evaluación (M&amp;E)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iCs/>
                <w:caps w:val="false"/>
                <w:color w:val="555555"/>
                <w:sz w:val="16"/>
                <w:szCs w:val="16"/>
              </w:rPr>
              <w:t xml:space="preserve">Sistema de registro, seguimiento egresados, sistematización, informes de impacto</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2.000.000</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1.500.000</w:t>
            </w:r>
          </w:p>
        </w:tc>
        <w:tc>
          <w:tcPr>
            <w:tcW w:type="dxa" w:w="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1F618D"/>
                <w:sz w:val="17"/>
                <w:szCs w:val="17"/>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Gastos administrativos</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iCs/>
                <w:caps w:val="false"/>
                <w:color w:val="555555"/>
                <w:sz w:val="16"/>
                <w:szCs w:val="16"/>
              </w:rPr>
              <w:t xml:space="preserve">Comunicaciones, traslados equipo, insumos oficina, gestión operativa general. Mayor en Año 1 por arranque y set-up del programa en segunda sede.</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3.000.000</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right"/>
            </w:pPr>
            <w:r>
              <w:rPr>
                <w:rFonts w:ascii="Arial" w:cs="Arial" w:eastAsia="Arial" w:hAnsi="Arial"/>
                <w:b w:val="false"/>
                <w:bCs w:val="false"/>
                <w:i w:val="false"/>
                <w:iCs w:val="false"/>
                <w:caps w:val="false"/>
                <w:color w:val="212121"/>
                <w:sz w:val="17"/>
                <w:szCs w:val="17"/>
              </w:rPr>
              <w:t xml:space="preserve">2.000.000</w:t>
            </w:r>
          </w:p>
        </w:tc>
        <w:tc>
          <w:tcPr>
            <w:tcW w:type="dxa" w:w="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1F618D"/>
                <w:sz w:val="17"/>
                <w:szCs w:val="17"/>
              </w:rPr>
              <w:t xml:space="preserve"/>
            </w:r>
          </w:p>
        </w:tc>
      </w:tr>
      <w:tr>
        <w:tc>
          <w:tcPr>
            <w:tcW w:type="dxa" w:w="2800"/>
            <w:tcBorders>
              <w:top w:val="single" w:color="AAAAAA" w:sz="1"/>
              <w:left w:val="single" w:color="AAAAAA" w:sz="1"/>
              <w:bottom w:val="single" w:color="AAAAAA" w:sz="1"/>
              <w:right w:val="single" w:color="AAAAAA" w:sz="1"/>
            </w:tcBorders>
            <w:shd w:fill="FEF9E7"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Subtotal D</w:t>
            </w:r>
          </w:p>
        </w:tc>
        <w:tc>
          <w:tcPr>
            <w:tcW w:type="dxa" w:w="2600"/>
            <w:tcBorders>
              <w:top w:val="single" w:color="AAAAAA" w:sz="1"/>
              <w:left w:val="single" w:color="AAAAAA" w:sz="1"/>
              <w:bottom w:val="single" w:color="AAAAAA" w:sz="1"/>
              <w:right w:val="single" w:color="AAAAAA" w:sz="1"/>
            </w:tcBorders>
            <w:shd w:fill="FEF9E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1A2F4A"/>
                <w:sz w:val="16"/>
                <w:szCs w:val="16"/>
              </w:rPr>
              <w:t xml:space="preserve"/>
            </w:r>
          </w:p>
        </w:tc>
        <w:tc>
          <w:tcPr>
            <w:tcW w:type="dxa" w:w="1600"/>
            <w:tcBorders>
              <w:top w:val="single" w:color="AAAAAA" w:sz="1"/>
              <w:left w:val="single" w:color="AAAAAA" w:sz="1"/>
              <w:bottom w:val="single" w:color="AAAAAA" w:sz="1"/>
              <w:right w:val="single" w:color="AAAAAA" w:sz="1"/>
            </w:tcBorders>
            <w:shd w:fill="FEF9E7" w:val="clear"/>
            <w:tcMar>
              <w:top w:type="dxa" w:w="100"/>
              <w:left w:type="dxa" w:w="160"/>
              <w:bottom w:type="dxa" w:w="100"/>
              <w:right w:type="dxa" w:w="160"/>
            </w:tcMar>
            <w:vAlign w:val="center"/>
          </w:tcPr>
          <w:p>
            <w:pPr>
              <w:spacing w:after="0" w:before="0"/>
              <w:jc w:val="right"/>
            </w:pPr>
            <w:r>
              <w:rPr>
                <w:rFonts w:ascii="Arial" w:cs="Arial" w:eastAsia="Arial" w:hAnsi="Arial"/>
                <w:b/>
                <w:bCs/>
                <w:i w:val="false"/>
                <w:iCs w:val="false"/>
                <w:caps w:val="false"/>
                <w:color w:val="1A2F4A"/>
                <w:sz w:val="17"/>
                <w:szCs w:val="17"/>
              </w:rPr>
              <w:t xml:space="preserve">11.000.000</w:t>
            </w:r>
          </w:p>
        </w:tc>
        <w:tc>
          <w:tcPr>
            <w:tcW w:type="dxa" w:w="1600"/>
            <w:tcBorders>
              <w:top w:val="single" w:color="AAAAAA" w:sz="1"/>
              <w:left w:val="single" w:color="AAAAAA" w:sz="1"/>
              <w:bottom w:val="single" w:color="AAAAAA" w:sz="1"/>
              <w:right w:val="single" w:color="AAAAAA" w:sz="1"/>
            </w:tcBorders>
            <w:shd w:fill="FEF9E7" w:val="clear"/>
            <w:tcMar>
              <w:top w:type="dxa" w:w="100"/>
              <w:left w:type="dxa" w:w="160"/>
              <w:bottom w:type="dxa" w:w="100"/>
              <w:right w:type="dxa" w:w="160"/>
            </w:tcMar>
            <w:vAlign w:val="center"/>
          </w:tcPr>
          <w:p>
            <w:pPr>
              <w:spacing w:after="0" w:before="0"/>
              <w:jc w:val="right"/>
            </w:pPr>
            <w:r>
              <w:rPr>
                <w:rFonts w:ascii="Arial" w:cs="Arial" w:eastAsia="Arial" w:hAnsi="Arial"/>
                <w:b/>
                <w:bCs/>
                <w:i w:val="false"/>
                <w:iCs w:val="false"/>
                <w:caps w:val="false"/>
                <w:color w:val="1A2F4A"/>
                <w:sz w:val="17"/>
                <w:szCs w:val="17"/>
              </w:rPr>
              <w:t xml:space="preserve">8.500.000</w:t>
            </w:r>
          </w:p>
        </w:tc>
        <w:tc>
          <w:tcPr>
            <w:tcW w:type="dxa" w:w="760"/>
            <w:tcBorders>
              <w:top w:val="single" w:color="AAAAAA" w:sz="1"/>
              <w:left w:val="single" w:color="AAAAAA" w:sz="1"/>
              <w:bottom w:val="single" w:color="AAAAAA" w:sz="1"/>
              <w:right w:val="single" w:color="AAAAAA" w:sz="1"/>
            </w:tcBorders>
            <w:shd w:fill="FEF9E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1F618D"/>
                <w:sz w:val="17"/>
                <w:szCs w:val="17"/>
              </w:rPr>
              <w:t xml:space="preserve">14,4%</w:t>
            </w:r>
          </w:p>
        </w:tc>
      </w:tr>
      <w:tr>
        <w:tc>
          <w:tcPr>
            <w:tcW w:type="dxa" w:w="28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FFFFFF"/>
                <w:sz w:val="19"/>
                <w:szCs w:val="19"/>
              </w:rPr>
              <w:t xml:space="preserve">TOTAL GENERAL</w:t>
            </w:r>
          </w:p>
        </w:tc>
        <w:tc>
          <w:tcPr>
            <w:tcW w:type="dxa" w:w="26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iCs/>
                <w:caps w:val="false"/>
                <w:color w:val="AED6F1"/>
                <w:sz w:val="16"/>
                <w:szCs w:val="16"/>
              </w:rPr>
              <w:t xml:space="preserve">2 años de operación en 2 recintos · 9 cohortes · 180 pax/año</w:t>
            </w:r>
          </w:p>
        </w:tc>
        <w:tc>
          <w:tcPr>
            <w:tcW w:type="dxa" w:w="16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right"/>
            </w:pPr>
            <w:r>
              <w:rPr>
                <w:rFonts w:ascii="Arial" w:cs="Arial" w:eastAsia="Arial" w:hAnsi="Arial"/>
                <w:b/>
                <w:bCs/>
                <w:i w:val="false"/>
                <w:iCs w:val="false"/>
                <w:caps w:val="false"/>
                <w:color w:val="FFFFFF"/>
                <w:sz w:val="19"/>
                <w:szCs w:val="19"/>
              </w:rPr>
              <w:t xml:space="preserve">$86.000.000</w:t>
            </w:r>
          </w:p>
        </w:tc>
        <w:tc>
          <w:tcPr>
            <w:tcW w:type="dxa" w:w="16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right"/>
            </w:pPr>
            <w:r>
              <w:rPr>
                <w:rFonts w:ascii="Arial" w:cs="Arial" w:eastAsia="Arial" w:hAnsi="Arial"/>
                <w:b/>
                <w:bCs/>
                <w:i w:val="false"/>
                <w:iCs w:val="false"/>
                <w:caps w:val="false"/>
                <w:color w:val="FFFFFF"/>
                <w:sz w:val="19"/>
                <w:szCs w:val="19"/>
              </w:rPr>
              <w:t xml:space="preserve">$49.500.000</w:t>
            </w:r>
          </w:p>
        </w:tc>
        <w:tc>
          <w:tcPr>
            <w:tcW w:type="dxa" w:w="76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9"/>
                <w:szCs w:val="19"/>
              </w:rPr>
              <w:t xml:space="preserve">100%</w:t>
            </w:r>
          </w:p>
        </w:tc>
      </w:tr>
      <w:tr>
        <w:tc>
          <w:tcPr>
            <w:tcW w:type="dxa" w:w="28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Referencia en USD (TC ~$894)</w:t>
            </w:r>
          </w:p>
        </w:tc>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iCs/>
                <w:caps w:val="false"/>
                <w:color w:val="555555"/>
                <w:sz w:val="16"/>
                <w:szCs w:val="16"/>
              </w:rPr>
              <w:t xml:space="preserve">Tipo de cambio referencial — actualizar al postular</w:t>
            </w:r>
          </w:p>
        </w:tc>
        <w:tc>
          <w:tcPr>
            <w:tcW w:type="dxa" w:w="1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right"/>
            </w:pPr>
            <w:r>
              <w:rPr>
                <w:rFonts w:ascii="Arial" w:cs="Arial" w:eastAsia="Arial" w:hAnsi="Arial"/>
                <w:b/>
                <w:bCs/>
                <w:i w:val="false"/>
                <w:iCs w:val="false"/>
                <w:caps w:val="false"/>
                <w:color w:val="1A2F4A"/>
                <w:sz w:val="17"/>
                <w:szCs w:val="17"/>
              </w:rPr>
              <w:t xml:space="preserve">USD ~96.200</w:t>
            </w:r>
          </w:p>
        </w:tc>
        <w:tc>
          <w:tcPr>
            <w:tcW w:type="dxa" w:w="1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right"/>
            </w:pPr>
            <w:r>
              <w:rPr>
                <w:rFonts w:ascii="Arial" w:cs="Arial" w:eastAsia="Arial" w:hAnsi="Arial"/>
                <w:b/>
                <w:bCs/>
                <w:i w:val="false"/>
                <w:iCs w:val="false"/>
                <w:caps w:val="false"/>
                <w:color w:val="1A2F4A"/>
                <w:sz w:val="17"/>
                <w:szCs w:val="17"/>
              </w:rPr>
              <w:t xml:space="preserve">USD ~55.400</w:t>
            </w:r>
          </w:p>
        </w:tc>
        <w:tc>
          <w:tcPr>
            <w:tcW w:type="dxa" w:w="76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1A2F4A"/>
                <w:sz w:val="15"/>
                <w:szCs w:val="15"/>
              </w:rPr>
              <w:t xml:space="preserve">~USD 151.600 total</w:t>
            </w:r>
          </w:p>
        </w:tc>
      </w:tr>
      <w:tr>
        <w:tc>
          <w:tcPr>
            <w:tcW w:type="dxa" w:w="28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Costo por participante / año</w:t>
            </w:r>
          </w:p>
        </w:tc>
        <w:tc>
          <w:tcPr>
            <w:tcW w:type="dxa" w:w="2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iCs/>
                <w:caps w:val="false"/>
                <w:color w:val="555555"/>
                <w:sz w:val="16"/>
                <w:szCs w:val="16"/>
              </w:rPr>
              <w:t xml:space="preserve">Basado en 180 participantes por año · Baja 42% entre Año 1 y Año 2 por amortización del equipamiento</w:t>
            </w:r>
          </w:p>
        </w:tc>
        <w:tc>
          <w:tcPr>
            <w:tcW w:type="dxa" w:w="1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right"/>
            </w:pPr>
            <w:r>
              <w:rPr>
                <w:rFonts w:ascii="Arial" w:cs="Arial" w:eastAsia="Arial" w:hAnsi="Arial"/>
                <w:b/>
                <w:bCs/>
                <w:i w:val="false"/>
                <w:iCs w:val="false"/>
                <w:caps w:val="false"/>
                <w:color w:val="1A2F4A"/>
                <w:sz w:val="17"/>
                <w:szCs w:val="17"/>
              </w:rPr>
              <w:t xml:space="preserve">CLP ~$478.000</w:t>
            </w:r>
          </w:p>
        </w:tc>
        <w:tc>
          <w:tcPr>
            <w:tcW w:type="dxa" w:w="16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right"/>
            </w:pPr>
            <w:r>
              <w:rPr>
                <w:rFonts w:ascii="Arial" w:cs="Arial" w:eastAsia="Arial" w:hAnsi="Arial"/>
                <w:b/>
                <w:bCs/>
                <w:i w:val="false"/>
                <w:iCs w:val="false"/>
                <w:caps w:val="false"/>
                <w:color w:val="1A2F4A"/>
                <w:sz w:val="17"/>
                <w:szCs w:val="17"/>
              </w:rPr>
              <w:t xml:space="preserve">CLP ~$275.000</w:t>
            </w:r>
          </w:p>
        </w:tc>
        <w:tc>
          <w:tcPr>
            <w:tcW w:type="dxa" w:w="7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1A2F4A"/>
                <w:sz w:val="17"/>
                <w:szCs w:val="17"/>
              </w:rPr>
              <w:t xml:space="preserve">—</w:t>
            </w:r>
          </w:p>
        </w:tc>
      </w:tr>
    </w:tbl>
    <w:p>
      <w:pPr>
        <w:spacing w:after="0" w:before="0"/>
      </w:pPr>
      <w:r>
        <w:rPr>
          <w:rFonts w:ascii="Arial" w:cs="Arial" w:eastAsia="Arial" w:hAnsi="Arial"/>
          <w:b w:val="false"/>
          <w:bCs w:val="false"/>
          <w:i w:val="false"/>
          <w:iCs w:val="false"/>
          <w:caps w:val="false"/>
          <w:color w:val="212121"/>
          <w:sz w:val="120"/>
          <w:szCs w:val="120"/>
        </w:rPr>
        <w:t xml:space="preserve"/>
      </w:r>
    </w:p>
    <w:p>
      <w:pPr>
        <w:pStyle w:val="Heading2"/>
        <w:spacing w:after="100" w:before="320"/>
      </w:pPr>
      <w:r>
        <w:rPr>
          <w:rFonts w:ascii="Arial" w:cs="Arial" w:eastAsia="Arial" w:hAnsi="Arial"/>
          <w:b/>
          <w:bCs/>
          <w:i w:val="false"/>
          <w:iCs w:val="false"/>
          <w:caps w:val="false"/>
          <w:color w:val="1F618D"/>
          <w:sz w:val="26"/>
          <w:szCs w:val="26"/>
        </w:rPr>
        <w:t xml:space="preserve">9.2 Fuentes de Financiamiento (Modelo Diversificado)</w:t>
      </w:r>
    </w:p>
    <w:p>
      <w:pPr>
        <w:spacing w:after="80" w:before="60"/>
        <w:jc w:val="left"/>
      </w:pPr>
      <w:r>
        <w:rPr>
          <w:rFonts w:ascii="Arial" w:cs="Arial" w:eastAsia="Arial" w:hAnsi="Arial"/>
          <w:b w:val="false"/>
          <w:bCs w:val="false"/>
          <w:i w:val="false"/>
          <w:iCs w:val="false"/>
          <w:caps w:val="false"/>
          <w:color w:val="212121"/>
          <w:sz w:val="20"/>
          <w:szCs w:val="20"/>
        </w:rPr>
        <w:t xml:space="preserve">Renace opera bajo un modelo de financiamiento que no depende de una única fuente. Las fuentes complementarias al fondo postulado incluyen: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40"/>
        <w:gridCol w:w="1520"/>
      </w:tblGrid>
      <w:tr>
        <w:tc>
          <w:tcPr>
            <w:tcW w:type="dxa" w:w="28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Fuente</w:t>
            </w:r>
          </w:p>
        </w:tc>
        <w:tc>
          <w:tcPr>
            <w:tcW w:type="dxa" w:w="504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Aporte</w:t>
            </w:r>
          </w:p>
        </w:tc>
        <w:tc>
          <w:tcPr>
            <w:tcW w:type="dxa" w:w="152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 estimado</w:t>
            </w:r>
          </w:p>
        </w:tc>
      </w:tr>
      <w:tr>
        <w:tc>
          <w:tcPr>
            <w:tcW w:type="dxa" w:w="28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F618D"/>
                <w:sz w:val="17"/>
                <w:szCs w:val="17"/>
              </w:rPr>
              <w:t xml:space="preserve">[FONDO POSTULADO]</w:t>
            </w:r>
          </w:p>
        </w:tc>
        <w:tc>
          <w:tcPr>
            <w:tcW w:type="dxa" w:w="504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Financiamiento principal del ciclo del proyecto</w:t>
            </w:r>
          </w:p>
        </w:tc>
        <w:tc>
          <w:tcPr>
            <w:tcW w:type="dxa" w:w="152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212121"/>
                <w:sz w:val="17"/>
                <w:szCs w:val="17"/>
              </w:rPr>
              <w:t xml:space="preserve">[X]%</w:t>
            </w:r>
          </w:p>
        </w:tc>
      </w:tr>
      <w:tr>
        <w:tc>
          <w:tcPr>
            <w:tcW w:type="dxa" w:w="28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Gendarmería de Chile</w:t>
            </w:r>
          </w:p>
        </w:tc>
        <w:tc>
          <w:tcPr>
            <w:tcW w:type="dxa" w:w="50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Infraestructura física (galpón), acceso supervisado, coordinación institucional (aporte en especie)</w:t>
            </w:r>
          </w:p>
        </w:tc>
        <w:tc>
          <w:tcPr>
            <w:tcW w:type="dxa" w:w="152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N/A</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Empresas socias de producción</w:t>
            </w:r>
          </w:p>
        </w:tc>
        <w:tc>
          <w:tcPr>
            <w:tcW w:type="dxa" w:w="50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Compra de productos fabricados en talleres — autofinanciamiento parcial sostenible</w:t>
            </w:r>
          </w:p>
        </w:tc>
        <w:tc>
          <w:tcPr>
            <w:tcW w:type="dxa" w:w="152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~10–15%</w:t>
            </w:r>
          </w:p>
        </w:tc>
      </w:tr>
      <w:tr>
        <w:tc>
          <w:tcPr>
            <w:tcW w:type="dxa" w:w="28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Fondos concursables nacionales</w:t>
            </w:r>
          </w:p>
        </w:tc>
        <w:tc>
          <w:tcPr>
            <w:tcW w:type="dxa" w:w="50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SENCE, SEGEGOB/FFOIP, SEDESOL y otros según convocatorias</w:t>
            </w:r>
          </w:p>
        </w:tc>
        <w:tc>
          <w:tcPr>
            <w:tcW w:type="dxa" w:w="152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Variable</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Donantes privados individuales</w:t>
            </w:r>
          </w:p>
        </w:tc>
        <w:tc>
          <w:tcPr>
            <w:tcW w:type="dxa" w:w="504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Donaciones de personas a través de mecanismos de exención tributaria</w:t>
            </w:r>
          </w:p>
        </w:tc>
        <w:tc>
          <w:tcPr>
            <w:tcW w:type="dxa" w:w="152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Variable</w:t>
            </w:r>
          </w:p>
        </w:tc>
      </w:tr>
      <w:tr>
        <w:tc>
          <w:tcPr>
            <w:tcW w:type="dxa" w:w="28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Aporte propio Fundación Invictus</w:t>
            </w:r>
          </w:p>
        </w:tc>
        <w:tc>
          <w:tcPr>
            <w:tcW w:type="dxa" w:w="504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Equipo de coordinación y gestión no financiado por el fondo (horas profesionales)</w:t>
            </w:r>
          </w:p>
        </w:tc>
        <w:tc>
          <w:tcPr>
            <w:tcW w:type="dxa" w:w="152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i w:val="false"/>
                <w:iCs w:val="false"/>
                <w:caps w:val="false"/>
                <w:color w:val="212121"/>
                <w:sz w:val="17"/>
                <w:szCs w:val="17"/>
              </w:rPr>
              <w:t xml:space="preserve">~5%</w:t>
            </w:r>
          </w:p>
        </w:tc>
      </w:tr>
    </w:tbl>
    <w:p>
      <w:pPr>
        <w:spacing w:after="0" w:before="0"/>
      </w:pPr>
      <w:r>
        <w:rPr>
          <w:rFonts w:ascii="Arial" w:cs="Arial" w:eastAsia="Arial" w:hAnsi="Arial"/>
          <w:b w:val="false"/>
          <w:bCs w:val="false"/>
          <w:i w:val="false"/>
          <w:iCs w:val="false"/>
          <w:caps w:val="false"/>
          <w:color w:val="212121"/>
          <w:sz w:val="160"/>
          <w:szCs w:val="16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10. TRAYECTORIA INSTITUCIONAL Y EVIDENCIA DEL MODELO</w:t>
      </w:r>
    </w:p>
    <w:p>
      <w:pPr>
        <w:pStyle w:val="Heading2"/>
        <w:spacing w:after="100" w:before="320"/>
      </w:pPr>
      <w:r>
        <w:rPr>
          <w:rFonts w:ascii="Arial" w:cs="Arial" w:eastAsia="Arial" w:hAnsi="Arial"/>
          <w:b/>
          <w:bCs/>
          <w:i w:val="false"/>
          <w:iCs w:val="false"/>
          <w:caps w:val="false"/>
          <w:color w:val="1F618D"/>
          <w:sz w:val="26"/>
          <w:szCs w:val="26"/>
        </w:rPr>
        <w:t xml:space="preserve">10.1 Fundación Invictus — 9 años en el Sistema Penitenciario</w:t>
      </w:r>
    </w:p>
    <w:p>
      <w:pPr>
        <w:spacing w:after="80" w:before="60"/>
        <w:jc w:val="left"/>
      </w:pPr>
      <w:r>
        <w:rPr>
          <w:rFonts w:ascii="Arial" w:cs="Arial" w:eastAsia="Arial" w:hAnsi="Arial"/>
          <w:b w:val="false"/>
          <w:bCs w:val="false"/>
          <w:i w:val="false"/>
          <w:iCs w:val="false"/>
          <w:caps w:val="false"/>
          <w:color w:val="212121"/>
          <w:sz w:val="20"/>
          <w:szCs w:val="20"/>
        </w:rPr>
        <w:t xml:space="preserve">Fundación Invictus opera ininterrumpidamente desde 2016 en el CDP Santiago Sur. Esta trayectoria representa:</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Una relación institucional consolidada con Gendarmería de Chile, basada en confianza mutua, cumplimiento normativo y resultados demostrables, que permite acceder a recintos y poblaciones que otras organizaciones no pueden alcanzar.</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Conocimiento profundo de las dinámicas, barreras y potencialidades de la población penitenciaria del CDP Santiago Sur — el recinto de mayor densidad carcelaria del país.</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Metodología probada y ajustada a través de múltiples cohortes, con aprendizajes sistematizados que permiten replicabilidad y escalabilidad. El 'Mandela Blueprint' es la documentación de esta metodología.</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Equipo técnico especializado con formación en trabajo social, psicología y gestión de organizaciones sociales en contextos de alta vulnerabilidad.</w:t>
      </w:r>
    </w:p>
    <w:p>
      <w:pPr>
        <w:spacing w:after="0" w:before="0"/>
      </w:pPr>
      <w:r>
        <w:rPr>
          <w:rFonts w:ascii="Arial" w:cs="Arial" w:eastAsia="Arial" w:hAnsi="Arial"/>
          <w:b w:val="false"/>
          <w:bCs w:val="false"/>
          <w:i w:val="false"/>
          <w:iCs w:val="false"/>
          <w:caps w:val="false"/>
          <w:color w:val="212121"/>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27A" w:sz="4"/>
              <w:left w:val="single" w:color="B7950B" w:sz="12"/>
              <w:bottom w:val="single" w:color="F0B27A" w:sz="4"/>
              <w:right w:val="single" w:color="F0B27A" w:sz="4"/>
            </w:tcBorders>
            <w:shd w:fill="FEF9E7" w:val="clear"/>
            <w:tcMar>
              <w:top w:type="dxa" w:w="160"/>
              <w:left w:type="dxa" w:w="280"/>
              <w:bottom w:type="dxa" w:w="160"/>
              <w:right w:type="dxa" w:w="280"/>
            </w:tcMar>
          </w:tcPr>
          <w:p>
            <w:pPr>
              <w:spacing w:after="80" w:before="0"/>
            </w:pPr>
            <w:r>
              <w:rPr>
                <w:rFonts w:ascii="Arial" w:cs="Arial" w:eastAsia="Arial" w:hAnsi="Arial"/>
                <w:b/>
                <w:bCs/>
                <w:i w:val="false"/>
                <w:iCs w:val="false"/>
                <w:caps w:val="false"/>
                <w:color w:val="B7950B"/>
                <w:sz w:val="19"/>
                <w:szCs w:val="19"/>
              </w:rPr>
              <w:t xml:space="preserve">[ PENDIENTE — RESULTADOS HISTÓRICOS CUANTIFICADOS ]</w:t>
            </w:r>
          </w:p>
          <w:p>
            <w:pPr>
              <w:spacing w:after="0" w:before="0"/>
            </w:pPr>
            <w:r>
              <w:rPr>
                <w:rFonts w:ascii="Arial" w:cs="Arial" w:eastAsia="Arial" w:hAnsi="Arial"/>
                <w:b w:val="false"/>
                <w:bCs w:val="false"/>
                <w:i/>
                <w:iCs/>
                <w:caps w:val="false"/>
                <w:color w:val="555555"/>
                <w:sz w:val="18"/>
                <w:szCs w:val="18"/>
              </w:rPr>
              <w:t xml:space="preserve">Completar con: (1) N° total de participantes atendidos 2016–2024. (2) Cohortes completadas. (3) N° certificaciones SENCE emitidas. (4) Datos de empleo post-egreso si se han medido. (5) Alianzas empresariales actualmente vigentes (nombres y años de relación si es posible). (6) Reconocimientos, premios, menciones institucionales, cobertura en medios. Esta sección transforma el proyecto de 'propuesta' a 'track record demostrado'.</w:t>
            </w:r>
          </w:p>
        </w:tc>
      </w:tr>
    </w:tbl>
    <w:p>
      <w:pPr>
        <w:spacing w:after="0" w:before="0"/>
      </w:pPr>
      <w:r>
        <w:rPr>
          <w:rFonts w:ascii="Arial" w:cs="Arial" w:eastAsia="Arial" w:hAnsi="Arial"/>
          <w:b w:val="false"/>
          <w:bCs w:val="false"/>
          <w:i w:val="false"/>
          <w:iCs w:val="false"/>
          <w:caps w:val="false"/>
          <w:color w:val="212121"/>
          <w:sz w:val="120"/>
          <w:szCs w:val="120"/>
        </w:rPr>
        <w:t xml:space="preserve"/>
      </w:r>
    </w:p>
    <w:p>
      <w:pPr>
        <w:pStyle w:val="Heading2"/>
        <w:spacing w:after="100" w:before="320"/>
      </w:pPr>
      <w:r>
        <w:rPr>
          <w:rFonts w:ascii="Arial" w:cs="Arial" w:eastAsia="Arial" w:hAnsi="Arial"/>
          <w:b/>
          <w:bCs/>
          <w:i w:val="false"/>
          <w:iCs w:val="false"/>
          <w:caps w:val="false"/>
          <w:color w:val="1F618D"/>
          <w:sz w:val="26"/>
          <w:szCs w:val="26"/>
        </w:rPr>
        <w:t xml:space="preserve">10.2 Evidencia Académica del Modelo</w:t>
      </w:r>
    </w:p>
    <w:p>
      <w:pPr>
        <w:spacing w:after="80" w:before="60"/>
        <w:jc w:val="left"/>
      </w:pPr>
      <w:r>
        <w:rPr>
          <w:rFonts w:ascii="Arial" w:cs="Arial" w:eastAsia="Arial" w:hAnsi="Arial"/>
          <w:b w:val="false"/>
          <w:bCs w:val="false"/>
          <w:i w:val="false"/>
          <w:iCs w:val="false"/>
          <w:caps w:val="false"/>
          <w:color w:val="212121"/>
          <w:sz w:val="20"/>
          <w:szCs w:val="20"/>
        </w:rPr>
        <w:t xml:space="preserve">Las tres referencias clave que sustentan el enfoque de Renace:</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BID (2019). 'Programas de formación laboral en el sistema penitenciario latinoamericano: evidencia de impacto sobre reincidencia.' Washington D.C.: Banco Interamericano de Desarrollo. → Reducción de reincidencia 20–35%.</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RAND Corporation (2013). 'Evaluating the Effectiveness of Correctional Education: A Meta-Analysis of Programs That Provide Education to Incarcerated Adults.' Santa Monica, CA. → USD 4–5 ahorrados por cada dólar invertido en educación penitenciaria.</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CESC, Universidad de Chile. 'Reinserción laboral y estigma penal: barreras de empleabilidad en ex reclusos.' → La vinculación empresarial directa reduce el estigma y mejora la retención laboral.</w:t>
      </w:r>
    </w:p>
    <w:p>
      <w:pPr>
        <w:spacing w:after="0" w:before="0"/>
      </w:pPr>
      <w:r>
        <w:rPr>
          <w:rFonts w:ascii="Arial" w:cs="Arial" w:eastAsia="Arial" w:hAnsi="Arial"/>
          <w:b w:val="false"/>
          <w:bCs w:val="false"/>
          <w:i w:val="false"/>
          <w:iCs w:val="false"/>
          <w:caps w:val="false"/>
          <w:color w:val="212121"/>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27A" w:sz="4"/>
              <w:left w:val="single" w:color="B7950B" w:sz="12"/>
              <w:bottom w:val="single" w:color="F0B27A" w:sz="4"/>
              <w:right w:val="single" w:color="F0B27A" w:sz="4"/>
            </w:tcBorders>
            <w:shd w:fill="FEF9E7" w:val="clear"/>
            <w:tcMar>
              <w:top w:type="dxa" w:w="160"/>
              <w:left w:type="dxa" w:w="280"/>
              <w:bottom w:type="dxa" w:w="160"/>
              <w:right w:type="dxa" w:w="280"/>
            </w:tcMar>
          </w:tcPr>
          <w:p>
            <w:pPr>
              <w:spacing w:after="80" w:before="0"/>
            </w:pPr>
            <w:r>
              <w:rPr>
                <w:rFonts w:ascii="Arial" w:cs="Arial" w:eastAsia="Arial" w:hAnsi="Arial"/>
                <w:b/>
                <w:bCs/>
                <w:i w:val="false"/>
                <w:iCs w:val="false"/>
                <w:caps w:val="false"/>
                <w:color w:val="B7950B"/>
                <w:sz w:val="19"/>
                <w:szCs w:val="19"/>
              </w:rPr>
              <w:t xml:space="preserve">[ PENDIENTE — REFERENCIAS ADICIONALES ESPECÍFICAS ]</w:t>
            </w:r>
          </w:p>
          <w:p>
            <w:pPr>
              <w:spacing w:after="0" w:before="0"/>
            </w:pPr>
            <w:r>
              <w:rPr>
                <w:rFonts w:ascii="Arial" w:cs="Arial" w:eastAsia="Arial" w:hAnsi="Arial"/>
                <w:b w:val="false"/>
                <w:bCs w:val="false"/>
                <w:i/>
                <w:iCs/>
                <w:caps w:val="false"/>
                <w:color w:val="555555"/>
                <w:sz w:val="18"/>
                <w:szCs w:val="18"/>
              </w:rPr>
              <w:t xml:space="preserve">Agregar referencias académicas adicionales relevantes para el fondo específico al que se postula (algunos donantes priorizan evidencia de salud mental, otros de educación técnica, otros de género). Verificar también si existen evaluaciones de impacto de programas similares en Chile (SENCE, Ministerio de Justicia) que puedan citarse.</w:t>
            </w:r>
          </w:p>
        </w:tc>
      </w:tr>
    </w:tbl>
    <w:p>
      <w:pPr>
        <w:spacing w:after="0" w:before="0"/>
      </w:pPr>
      <w:r>
        <w:rPr>
          <w:rFonts w:ascii="Arial" w:cs="Arial" w:eastAsia="Arial" w:hAnsi="Arial"/>
          <w:b w:val="false"/>
          <w:bCs w:val="false"/>
          <w:i w:val="false"/>
          <w:iCs w:val="false"/>
          <w:caps w:val="false"/>
          <w:color w:val="212121"/>
          <w:sz w:val="160"/>
          <w:szCs w:val="16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11. SOSTENIBILIDAD Y ESCALABILIDAD</w:t>
      </w:r>
    </w:p>
    <w:p>
      <w:pPr>
        <w:pStyle w:val="Heading2"/>
        <w:spacing w:after="100" w:before="320"/>
      </w:pPr>
      <w:r>
        <w:rPr>
          <w:rFonts w:ascii="Arial" w:cs="Arial" w:eastAsia="Arial" w:hAnsi="Arial"/>
          <w:b/>
          <w:bCs/>
          <w:i w:val="false"/>
          <w:iCs w:val="false"/>
          <w:caps w:val="false"/>
          <w:color w:val="1F618D"/>
          <w:sz w:val="26"/>
          <w:szCs w:val="26"/>
        </w:rPr>
        <w:t xml:space="preserve">11.1 Sostenibilidad Financiera</w:t>
      </w:r>
    </w:p>
    <w:p>
      <w:pPr>
        <w:spacing w:after="80" w:before="60"/>
        <w:jc w:val="left"/>
      </w:pPr>
      <w:r>
        <w:rPr>
          <w:rFonts w:ascii="Arial" w:cs="Arial" w:eastAsia="Arial" w:hAnsi="Arial"/>
          <w:b w:val="false"/>
          <w:bCs w:val="false"/>
          <w:i w:val="false"/>
          <w:iCs w:val="false"/>
          <w:caps w:val="false"/>
          <w:color w:val="212121"/>
          <w:sz w:val="20"/>
          <w:szCs w:val="20"/>
        </w:rPr>
        <w:t xml:space="preserve">El modelo de producción con empresas socias genera ingresos directos al programa a través de la venta de productos fabricados en los talleres. Esta lógica de autofinanciamiento parcial, combinada con financiamiento diversificado de múltiples fuentes, reduce la dependencia de cualquier donante único y garantiza continuidad operacional incluso ante la no renovación de un fondo específico.</w:t>
      </w:r>
    </w:p>
    <w:p>
      <w:pPr>
        <w:spacing w:after="0" w:before="0"/>
      </w:pPr>
      <w:r>
        <w:rPr>
          <w:rFonts w:ascii="Arial" w:cs="Arial" w:eastAsia="Arial" w:hAnsi="Arial"/>
          <w:b w:val="false"/>
          <w:bCs w:val="false"/>
          <w:i w:val="false"/>
          <w:iCs w:val="false"/>
          <w:caps w:val="false"/>
          <w:color w:val="212121"/>
          <w:sz w:val="80"/>
          <w:szCs w:val="80"/>
        </w:rPr>
        <w:t xml:space="preserve"/>
      </w:r>
    </w:p>
    <w:p>
      <w:pPr>
        <w:pStyle w:val="Heading2"/>
        <w:spacing w:after="100" w:before="320"/>
      </w:pPr>
      <w:r>
        <w:rPr>
          <w:rFonts w:ascii="Arial" w:cs="Arial" w:eastAsia="Arial" w:hAnsi="Arial"/>
          <w:b/>
          <w:bCs/>
          <w:i w:val="false"/>
          <w:iCs w:val="false"/>
          <w:caps w:val="false"/>
          <w:color w:val="1F618D"/>
          <w:sz w:val="26"/>
          <w:szCs w:val="26"/>
        </w:rPr>
        <w:t xml:space="preserve">11.2 Sostenibilidad Institucional</w:t>
      </w:r>
    </w:p>
    <w:p>
      <w:pPr>
        <w:spacing w:after="80" w:before="60"/>
        <w:jc w:val="left"/>
      </w:pPr>
      <w:r>
        <w:rPr>
          <w:rFonts w:ascii="Arial" w:cs="Arial" w:eastAsia="Arial" w:hAnsi="Arial"/>
          <w:b w:val="false"/>
          <w:bCs w:val="false"/>
          <w:i w:val="false"/>
          <w:iCs w:val="false"/>
          <w:caps w:val="false"/>
          <w:color w:val="212121"/>
          <w:sz w:val="20"/>
          <w:szCs w:val="20"/>
        </w:rPr>
        <w:t xml:space="preserve">El convenio marco con Gendarmería de Chile y el acceso a los recintos penitenciarios están consolidados tras 9 años de trabajo conjunto. La metodología del programa — el 'Mandela Blueprint' — está sistematizada y documentada, permitiendo su operación continua independientemente de cambios de personal en el equipo de Fundación Invictus.</w:t>
      </w:r>
    </w:p>
    <w:p>
      <w:pPr>
        <w:spacing w:after="0" w:before="0"/>
      </w:pPr>
      <w:r>
        <w:rPr>
          <w:rFonts w:ascii="Arial" w:cs="Arial" w:eastAsia="Arial" w:hAnsi="Arial"/>
          <w:b w:val="false"/>
          <w:bCs w:val="false"/>
          <w:i w:val="false"/>
          <w:iCs w:val="false"/>
          <w:caps w:val="false"/>
          <w:color w:val="212121"/>
          <w:sz w:val="80"/>
          <w:szCs w:val="80"/>
        </w:rPr>
        <w:t xml:space="preserve"/>
      </w:r>
    </w:p>
    <w:p>
      <w:pPr>
        <w:pStyle w:val="Heading2"/>
        <w:spacing w:after="100" w:before="320"/>
      </w:pPr>
      <w:r>
        <w:rPr>
          <w:rFonts w:ascii="Arial" w:cs="Arial" w:eastAsia="Arial" w:hAnsi="Arial"/>
          <w:b/>
          <w:bCs/>
          <w:i w:val="false"/>
          <w:iCs w:val="false"/>
          <w:caps w:val="false"/>
          <w:color w:val="1F618D"/>
          <w:sz w:val="26"/>
          <w:szCs w:val="26"/>
        </w:rPr>
        <w:t xml:space="preserve">11.3 Sostenibilidad del Impacto</w:t>
      </w:r>
    </w:p>
    <w:p>
      <w:pPr>
        <w:spacing w:after="80" w:before="60"/>
        <w:jc w:val="left"/>
      </w:pPr>
      <w:r>
        <w:rPr>
          <w:rFonts w:ascii="Arial" w:cs="Arial" w:eastAsia="Arial" w:hAnsi="Arial"/>
          <w:b w:val="false"/>
          <w:bCs w:val="false"/>
          <w:i w:val="false"/>
          <w:iCs w:val="false"/>
          <w:caps w:val="false"/>
          <w:color w:val="212121"/>
          <w:sz w:val="20"/>
          <w:szCs w:val="20"/>
        </w:rPr>
        <w:t xml:space="preserve">La certificación técnica es un activo permanente que permanece con cada egresado. Las competencias psicosociales desarrolladas durante el programa fortalecen capacidades individuales que perduran más allá de la intervención. Las redes empresariales construidas generan oportunidades laborales continuas, incluso para cohortes futuras.</w:t>
      </w:r>
    </w:p>
    <w:p>
      <w:pPr>
        <w:spacing w:after="0" w:before="0"/>
      </w:pPr>
      <w:r>
        <w:rPr>
          <w:rFonts w:ascii="Arial" w:cs="Arial" w:eastAsia="Arial" w:hAnsi="Arial"/>
          <w:b w:val="false"/>
          <w:bCs w:val="false"/>
          <w:i w:val="false"/>
          <w:iCs w:val="false"/>
          <w:caps w:val="false"/>
          <w:color w:val="212121"/>
          <w:sz w:val="80"/>
          <w:szCs w:val="80"/>
        </w:rPr>
        <w:t xml:space="preserve"/>
      </w:r>
    </w:p>
    <w:p>
      <w:pPr>
        <w:pStyle w:val="Heading2"/>
        <w:spacing w:after="100" w:before="320"/>
      </w:pPr>
      <w:r>
        <w:rPr>
          <w:rFonts w:ascii="Arial" w:cs="Arial" w:eastAsia="Arial" w:hAnsi="Arial"/>
          <w:b/>
          <w:bCs/>
          <w:i w:val="false"/>
          <w:iCs w:val="false"/>
          <w:caps w:val="false"/>
          <w:color w:val="1F618D"/>
          <w:sz w:val="26"/>
          <w:szCs w:val="26"/>
        </w:rPr>
        <w:t xml:space="preserve">11.4 Escalabilidad — Hoja de Ruta</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Año 1: Consolidación en CDP Santiago Sur + expansión a CP Valparaíso (9 cohortes, 180 pax/año).</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Año 2: Estabilización del modelo en 2 recintos, sistematización del 'Mandela Blueprint', medición de impacto a largo plazo de cohortes 2020–2024.</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Año 3 (proyección): Replicación en un tercer recinto (CDP Santiago Norte o recinto del Maule) + evaluación de impacto externo independiente.</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Año 4–5 (proyección): Alianza con el sistema SENCE para que el modelo se incorpore a la oferta programática estatal de reinserción laboral.</w:t>
      </w:r>
    </w:p>
    <w:p>
      <w:pPr>
        <w:spacing w:after="0" w:before="0"/>
      </w:pPr>
      <w:r>
        <w:rPr>
          <w:rFonts w:ascii="Arial" w:cs="Arial" w:eastAsia="Arial" w:hAnsi="Arial"/>
          <w:b w:val="false"/>
          <w:bCs w:val="false"/>
          <w:i w:val="false"/>
          <w:iCs w:val="false"/>
          <w:caps w:val="false"/>
          <w:color w:val="212121"/>
          <w:sz w:val="160"/>
          <w:szCs w:val="16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12. ANÁLISIS DE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c>
          <w:tcPr>
            <w:tcW w:type="dxa" w:w="22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Riesgo identificado</w:t>
            </w:r>
          </w:p>
        </w:tc>
        <w:tc>
          <w:tcPr>
            <w:tcW w:type="dxa" w:w="11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Probabilidad</w:t>
            </w:r>
          </w:p>
        </w:tc>
        <w:tc>
          <w:tcPr>
            <w:tcW w:type="dxa" w:w="11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Impacto</w:t>
            </w:r>
          </w:p>
        </w:tc>
        <w:tc>
          <w:tcPr>
            <w:tcW w:type="dxa" w:w="496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Estrategia de mitigación</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Cambios en política penitenciaria o restricción de acceso a recintos</w:t>
            </w:r>
          </w:p>
        </w:tc>
        <w:tc>
          <w:tcPr>
            <w:tcW w:type="dxa" w:w="11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B7950B"/>
                <w:sz w:val="17"/>
                <w:szCs w:val="17"/>
              </w:rPr>
              <w:t xml:space="preserve">Media</w:t>
            </w:r>
          </w:p>
        </w:tc>
        <w:tc>
          <w:tcPr>
            <w:tcW w:type="dxa" w:w="11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C0392B"/>
                <w:sz w:val="17"/>
                <w:szCs w:val="17"/>
              </w:rPr>
              <w:t xml:space="preserve">Alto</w:t>
            </w:r>
          </w:p>
        </w:tc>
        <w:tc>
          <w:tcPr>
            <w:tcW w:type="dxa" w:w="49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Convenio marco con Gendarmería de Chile vigente y renovado anualmente. Relación institucional de 9 años reduce riesgo. Cláusulas de continuidad en convenio.</w:t>
            </w:r>
          </w:p>
        </w:tc>
      </w:tr>
      <w:tr>
        <w:tc>
          <w:tcPr>
            <w:tcW w:type="dxa" w:w="22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Rotación de participantes por traslado, libertad anticipada o conflictos internos</w:t>
            </w:r>
          </w:p>
        </w:tc>
        <w:tc>
          <w:tcPr>
            <w:tcW w:type="dxa" w:w="11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C0392B"/>
                <w:sz w:val="17"/>
                <w:szCs w:val="17"/>
              </w:rPr>
              <w:t xml:space="preserve">Alta</w:t>
            </w:r>
          </w:p>
        </w:tc>
        <w:tc>
          <w:tcPr>
            <w:tcW w:type="dxa" w:w="11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B7950B"/>
                <w:sz w:val="17"/>
                <w:szCs w:val="17"/>
              </w:rPr>
              <w:t xml:space="preserve">Medio</w:t>
            </w:r>
          </w:p>
        </w:tc>
        <w:tc>
          <w:tcPr>
            <w:tcW w:type="dxa" w:w="49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Proceso de selección que considera tiempo de condena restante. Diseño modular de cohortes permite incorporar reemplazos. Meta de completitud establecida en 90%.</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Dificultad de las empresas socias para absorber egresados</w:t>
            </w:r>
          </w:p>
        </w:tc>
        <w:tc>
          <w:tcPr>
            <w:tcW w:type="dxa" w:w="11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B7950B"/>
                <w:sz w:val="17"/>
                <w:szCs w:val="17"/>
              </w:rPr>
              <w:t xml:space="preserve">Media</w:t>
            </w:r>
          </w:p>
        </w:tc>
        <w:tc>
          <w:tcPr>
            <w:tcW w:type="dxa" w:w="11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C0392B"/>
                <w:sz w:val="17"/>
                <w:szCs w:val="17"/>
              </w:rPr>
              <w:t xml:space="preserve">Alto</w:t>
            </w:r>
          </w:p>
        </w:tc>
        <w:tc>
          <w:tcPr>
            <w:tcW w:type="dxa" w:w="49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Diversificación activa de red de empresas socias (meta: 8 al año 2). Protocolo de seguimiento de egresados a 6 meses. Alianzas con bolsas de trabajo y ferias laborales.</w:t>
            </w:r>
          </w:p>
        </w:tc>
      </w:tr>
      <w:tr>
        <w:tc>
          <w:tcPr>
            <w:tcW w:type="dxa" w:w="22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Deterioro de la maquinaria o equipos del taller</w:t>
            </w:r>
          </w:p>
        </w:tc>
        <w:tc>
          <w:tcPr>
            <w:tcW w:type="dxa" w:w="11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1E8449"/>
                <w:sz w:val="17"/>
                <w:szCs w:val="17"/>
              </w:rPr>
              <w:t xml:space="preserve">Baja</w:t>
            </w:r>
          </w:p>
        </w:tc>
        <w:tc>
          <w:tcPr>
            <w:tcW w:type="dxa" w:w="11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B7950B"/>
                <w:sz w:val="17"/>
                <w:szCs w:val="17"/>
              </w:rPr>
              <w:t xml:space="preserve">Medio</w:t>
            </w:r>
          </w:p>
        </w:tc>
        <w:tc>
          <w:tcPr>
            <w:tcW w:type="dxa" w:w="49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Presupuesto de mantención preventiva incluido (Año 1: CLP 22M incluye adquisición). Plan de mantención semestral documentado.</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Dependencia de un único donante</w:t>
            </w:r>
          </w:p>
        </w:tc>
        <w:tc>
          <w:tcPr>
            <w:tcW w:type="dxa" w:w="11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B7950B"/>
                <w:sz w:val="17"/>
                <w:szCs w:val="17"/>
              </w:rPr>
              <w:t xml:space="preserve">Media</w:t>
            </w:r>
          </w:p>
        </w:tc>
        <w:tc>
          <w:tcPr>
            <w:tcW w:type="dxa" w:w="11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C0392B"/>
                <w:sz w:val="17"/>
                <w:szCs w:val="17"/>
              </w:rPr>
              <w:t xml:space="preserve">Alto</w:t>
            </w:r>
          </w:p>
        </w:tc>
        <w:tc>
          <w:tcPr>
            <w:tcW w:type="dxa" w:w="49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Modelo de financiamiento diversificado: fondos públicos (SENCE, SEGEGOB), fondos privados nacionales e internacionales, ingresos de talleres productivos, donaciones individuales.</w:t>
            </w:r>
          </w:p>
        </w:tc>
      </w:tr>
      <w:tr>
        <w:tc>
          <w:tcPr>
            <w:tcW w:type="dxa" w:w="22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Cambios normativos en certificación SENCE/OTEC</w:t>
            </w:r>
          </w:p>
        </w:tc>
        <w:tc>
          <w:tcPr>
            <w:tcW w:type="dxa" w:w="11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1E8449"/>
                <w:sz w:val="17"/>
                <w:szCs w:val="17"/>
              </w:rPr>
              <w:t xml:space="preserve">Baja</w:t>
            </w:r>
          </w:p>
        </w:tc>
        <w:tc>
          <w:tcPr>
            <w:tcW w:type="dxa" w:w="11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B7950B"/>
                <w:sz w:val="17"/>
                <w:szCs w:val="17"/>
              </w:rPr>
              <w:t xml:space="preserve">Medio</w:t>
            </w:r>
          </w:p>
        </w:tc>
        <w:tc>
          <w:tcPr>
            <w:tcW w:type="dxa" w:w="49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Relación directa con OTEC certificadora. Seguimiento de cambios regulatorios. Plan alternativo con certificación de Fundación Invictus como respaldo.</w:t>
            </w:r>
          </w:p>
        </w:tc>
      </w:tr>
    </w:tbl>
    <w:p>
      <w:pPr>
        <w:spacing w:after="0" w:before="0"/>
      </w:pPr>
      <w:r>
        <w:rPr>
          <w:rFonts w:ascii="Arial" w:cs="Arial" w:eastAsia="Arial" w:hAnsi="Arial"/>
          <w:b w:val="false"/>
          <w:bCs w:val="false"/>
          <w:i w:val="false"/>
          <w:iCs w:val="false"/>
          <w:caps w:val="false"/>
          <w:color w:val="212121"/>
          <w:sz w:val="160"/>
          <w:szCs w:val="16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13. OPORTUNIDADES DE VOLUNTARIADO CORPORATIVO</w:t>
      </w:r>
    </w:p>
    <w:p>
      <w:pPr>
        <w:spacing w:after="80" w:before="60"/>
        <w:jc w:val="left"/>
      </w:pPr>
      <w:r>
        <w:rPr>
          <w:rFonts w:ascii="Arial" w:cs="Arial" w:eastAsia="Arial" w:hAnsi="Arial"/>
          <w:b w:val="false"/>
          <w:bCs w:val="false"/>
          <w:i w:val="false"/>
          <w:iCs w:val="false"/>
          <w:caps w:val="false"/>
          <w:color w:val="212121"/>
          <w:sz w:val="20"/>
          <w:szCs w:val="20"/>
        </w:rPr>
        <w:t xml:space="preserve">Esta sección se activa cuando el donante tiene un programa de voluntariado corporativo. Para fondos que no incluyen este componente, puede omitirse o mantenerse como valor agregado de la propuesta.</w:t>
      </w:r>
    </w:p>
    <w:p>
      <w:pPr>
        <w:spacing w:after="0" w:before="0"/>
      </w:pPr>
      <w:r>
        <w:rPr>
          <w:rFonts w:ascii="Arial" w:cs="Arial" w:eastAsia="Arial" w:hAnsi="Arial"/>
          <w:b w:val="false"/>
          <w:bCs w:val="false"/>
          <w:i w:val="false"/>
          <w:iCs w:val="false"/>
          <w:caps w:val="false"/>
          <w:color w:val="212121"/>
          <w:sz w:val="80"/>
          <w:szCs w:val="80"/>
        </w:rPr>
        <w:t xml:space="preserve"/>
      </w:r>
    </w:p>
    <w:p>
      <w:pPr>
        <w:pStyle w:val="Heading2"/>
        <w:spacing w:after="100" w:before="320"/>
      </w:pPr>
      <w:r>
        <w:rPr>
          <w:rFonts w:ascii="Arial" w:cs="Arial" w:eastAsia="Arial" w:hAnsi="Arial"/>
          <w:b/>
          <w:bCs/>
          <w:i w:val="false"/>
          <w:iCs w:val="false"/>
          <w:caps w:val="false"/>
          <w:color w:val="1F618D"/>
          <w:sz w:val="26"/>
          <w:szCs w:val="26"/>
        </w:rPr>
        <w:t xml:space="preserve">Propuesta de Involucramiento</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Mentoría empresarial: Profesionales del donante pueden guiar a participantes en gestión financiera personal, emprendimiento básico y orientación vocacional.</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Talleres de preparación laboral: Empleados del área de RRHH pueden facilitar simulacros de entrevistas de trabajo y orientación sobre el mercado laboral formal.</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Visitas al taller productivo: Grupos de voluntarios pueden conocer el trabajo de los participantes, generando conexión humana y reduciendo el estigma hacia la población penitenciaria.</w:t>
      </w:r>
    </w:p>
    <w:p>
      <w:pPr>
        <w:pStyle w:val="ListParagraph"/>
        <w:numPr>
          <w:ilvl w:val="0"/>
          <w:numId w:val="2"/>
        </w:numPr>
        <w:spacing w:after="40" w:before="40"/>
      </w:pPr>
      <w:r>
        <w:rPr>
          <w:rFonts w:ascii="Arial" w:cs="Arial" w:eastAsia="Arial" w:hAnsi="Arial"/>
          <w:b w:val="false"/>
          <w:bCs w:val="false"/>
          <w:i w:val="false"/>
          <w:iCs w:val="false"/>
          <w:caps w:val="false"/>
          <w:color w:val="212121"/>
          <w:sz w:val="19"/>
          <w:szCs w:val="19"/>
        </w:rPr>
        <w:t xml:space="preserve">Redes de empleo: Profesionales del donante pueden actuar como conectores entre egresados y empresas de su red dispuestas a contratar personas en proceso de reinserción.</w:t>
      </w:r>
    </w:p>
    <w:p>
      <w:pPr>
        <w:spacing w:after="0" w:before="0"/>
      </w:pPr>
      <w:r>
        <w:rPr>
          <w:rFonts w:ascii="Arial" w:cs="Arial" w:eastAsia="Arial" w:hAnsi="Arial"/>
          <w:b w:val="false"/>
          <w:bCs w:val="false"/>
          <w:i w:val="false"/>
          <w:iCs w:val="false"/>
          <w:caps w:val="false"/>
          <w:color w:val="212121"/>
          <w:sz w:val="80"/>
          <w:szCs w:val="80"/>
        </w:rPr>
        <w:t xml:space="preserve"/>
      </w:r>
    </w:p>
    <w:p>
      <w:pPr>
        <w:spacing w:after="80" w:before="60"/>
        <w:jc w:val="left"/>
      </w:pPr>
      <w:r>
        <w:rPr>
          <w:rFonts w:ascii="Arial" w:cs="Arial" w:eastAsia="Arial" w:hAnsi="Arial"/>
          <w:b w:val="false"/>
          <w:bCs w:val="false"/>
          <w:i w:val="false"/>
          <w:iCs w:val="false"/>
          <w:caps w:val="false"/>
          <w:color w:val="212121"/>
          <w:sz w:val="20"/>
          <w:szCs w:val="20"/>
        </w:rPr>
        <w:t xml:space="preserve">El voluntariado corporativo en contextos penitenciarios tiene un efecto dual: genera impacto en los participantes y transforma la percepción de los voluntarios, fortaleciendo la cultura de inclusión y responsabilidad social dentro de la organización donante.</w:t>
      </w:r>
    </w:p>
    <w:p>
      <w:pPr>
        <w:spacing w:after="0" w:before="0"/>
      </w:pPr>
      <w:r>
        <w:rPr>
          <w:rFonts w:ascii="Arial" w:cs="Arial" w:eastAsia="Arial" w:hAnsi="Arial"/>
          <w:b w:val="false"/>
          <w:bCs w:val="false"/>
          <w:i w:val="false"/>
          <w:iCs w:val="false"/>
          <w:caps w:val="false"/>
          <w:color w:val="212121"/>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27A" w:sz="4"/>
              <w:left w:val="single" w:color="B7950B" w:sz="12"/>
              <w:bottom w:val="single" w:color="F0B27A" w:sz="4"/>
              <w:right w:val="single" w:color="F0B27A" w:sz="4"/>
            </w:tcBorders>
            <w:shd w:fill="FEF9E7" w:val="clear"/>
            <w:tcMar>
              <w:top w:type="dxa" w:w="160"/>
              <w:left w:type="dxa" w:w="280"/>
              <w:bottom w:type="dxa" w:w="160"/>
              <w:right w:type="dxa" w:w="280"/>
            </w:tcMar>
          </w:tcPr>
          <w:p>
            <w:pPr>
              <w:spacing w:after="80" w:before="0"/>
            </w:pPr>
            <w:r>
              <w:rPr>
                <w:rFonts w:ascii="Arial" w:cs="Arial" w:eastAsia="Arial" w:hAnsi="Arial"/>
                <w:b/>
                <w:bCs/>
                <w:i w:val="false"/>
                <w:iCs w:val="false"/>
                <w:caps w:val="false"/>
                <w:color w:val="B7950B"/>
                <w:sz w:val="19"/>
                <w:szCs w:val="19"/>
              </w:rPr>
              <w:t xml:space="preserve">[ PENDIENTE — PROPUESTA ESPECÍFICA DE VOLUNTARIADO ]</w:t>
            </w:r>
          </w:p>
          <w:p>
            <w:pPr>
              <w:spacing w:after="0" w:before="0"/>
            </w:pPr>
            <w:r>
              <w:rPr>
                <w:rFonts w:ascii="Arial" w:cs="Arial" w:eastAsia="Arial" w:hAnsi="Arial"/>
                <w:b w:val="false"/>
                <w:bCs w:val="false"/>
                <w:i/>
                <w:iCs/>
                <w:caps w:val="false"/>
                <w:color w:val="555555"/>
                <w:sz w:val="18"/>
                <w:szCs w:val="18"/>
              </w:rPr>
              <w:t xml:space="preserve">Personalizar según el donante: N° estimado de voluntarios, frecuencia de visitas, formato de actividades propuesto, logística de acceso al recinto (requiere coordinación previa con Gendarmería). Algunos donantes pueden requerir seguro de responsabilidad civil para voluntarios en recintos penitenciarios.</w:t>
            </w:r>
          </w:p>
        </w:tc>
      </w:tr>
    </w:tbl>
    <w:p>
      <w:pPr>
        <w:spacing w:after="0" w:before="0"/>
      </w:pPr>
      <w:r>
        <w:rPr>
          <w:rFonts w:ascii="Arial" w:cs="Arial" w:eastAsia="Arial" w:hAnsi="Arial"/>
          <w:b w:val="false"/>
          <w:bCs w:val="false"/>
          <w:i w:val="false"/>
          <w:iCs w:val="false"/>
          <w:caps w:val="false"/>
          <w:color w:val="212121"/>
          <w:sz w:val="160"/>
          <w:szCs w:val="16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14. ALIANZAS ESTRATÉGICAS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Aliado</w:t>
            </w:r>
          </w:p>
        </w:tc>
        <w:tc>
          <w:tcPr>
            <w:tcW w:type="dxa" w:w="396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Tipo de aporte</w:t>
            </w:r>
          </w:p>
        </w:tc>
        <w:tc>
          <w:tcPr>
            <w:tcW w:type="dxa" w:w="30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Estado de la relación</w:t>
            </w:r>
          </w:p>
        </w:tc>
      </w:tr>
      <w:tr>
        <w:tc>
          <w:tcPr>
            <w:tcW w:type="dxa" w:w="24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Gendarmería de Chile</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Acceso a recintos, coordinación institucional, infraestructura física (galpón), selección de participantes</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1E8449"/>
                <w:sz w:val="17"/>
                <w:szCs w:val="17"/>
              </w:rPr>
              <w:t xml:space="preserve">Convenio vigente — relación de 9 años</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[Empresa socia 1]</w:t>
            </w:r>
          </w:p>
        </w:tc>
        <w:tc>
          <w:tcPr>
            <w:tcW w:type="dxa" w:w="39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Compra de productos fabricados en talleres, posibles oportunidades de empleo post-egreso</w:t>
            </w:r>
          </w:p>
        </w:tc>
        <w:tc>
          <w:tcPr>
            <w:tcW w:type="dxa" w:w="30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[Completar]</w:t>
            </w:r>
          </w:p>
        </w:tc>
      </w:tr>
      <w:tr>
        <w:tc>
          <w:tcPr>
            <w:tcW w:type="dxa" w:w="24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[Empresa socia 2]</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Compra de productos, mentoría laboral</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[Completar]</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[OTEC certificadora]</w:t>
            </w:r>
          </w:p>
        </w:tc>
        <w:tc>
          <w:tcPr>
            <w:tcW w:type="dxa" w:w="39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Certificación técnica de participantes ante SENCE</w:t>
            </w:r>
          </w:p>
        </w:tc>
        <w:tc>
          <w:tcPr>
            <w:tcW w:type="dxa" w:w="30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[Completar — nombre OTEC, N° registro]</w:t>
            </w:r>
          </w:p>
        </w:tc>
      </w:tr>
      <w:tr>
        <w:tc>
          <w:tcPr>
            <w:tcW w:type="dxa" w:w="24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[Universidad o centro de investigación]</w:t>
            </w:r>
          </w:p>
        </w:tc>
        <w:tc>
          <w:tcPr>
            <w:tcW w:type="dxa" w:w="39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Evaluación de impacto externo, publicación de resultados</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[Completar — potencial aliado]</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[Organización complementaria]</w:t>
            </w:r>
          </w:p>
        </w:tc>
        <w:tc>
          <w:tcPr>
            <w:tcW w:type="dxa" w:w="39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Derivación de casos que requieren servicios no cubiertos por Renace</w:t>
            </w:r>
          </w:p>
        </w:tc>
        <w:tc>
          <w:tcPr>
            <w:tcW w:type="dxa" w:w="300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B7950B"/>
                <w:sz w:val="17"/>
                <w:szCs w:val="17"/>
              </w:rPr>
              <w:t xml:space="preserve">[Completar]</w:t>
            </w:r>
          </w:p>
        </w:tc>
      </w:tr>
    </w:tbl>
    <w:p>
      <w:pPr>
        <w:spacing w:after="0" w:before="0"/>
      </w:pPr>
      <w:r>
        <w:rPr>
          <w:rFonts w:ascii="Arial" w:cs="Arial" w:eastAsia="Arial" w:hAnsi="Arial"/>
          <w:b w:val="false"/>
          <w:bCs w:val="false"/>
          <w:i w:val="false"/>
          <w:iCs w:val="false"/>
          <w:caps w:val="false"/>
          <w:color w:val="212121"/>
          <w:sz w:val="160"/>
          <w:szCs w:val="160"/>
        </w:rPr>
        <w:t xml:space="preserve"/>
      </w:r>
    </w:p>
    <w:p>
      <w:pPr>
        <w:pStyle w:val="Heading1"/>
        <w:pBdr>
          <w:bottom w:val="single" w:color="2E86C1" w:sz="6" w:space="4"/>
        </w:pBdr>
        <w:spacing w:after="120" w:before="400"/>
      </w:pPr>
      <w:r>
        <w:rPr>
          <w:rFonts w:ascii="Arial" w:cs="Arial" w:eastAsia="Arial" w:hAnsi="Arial"/>
          <w:b/>
          <w:bCs/>
          <w:i w:val="false"/>
          <w:iCs w:val="false"/>
          <w:caps w:val="false"/>
          <w:color w:val="1A2F4A"/>
          <w:sz w:val="32"/>
          <w:szCs w:val="32"/>
        </w:rPr>
        <w:t xml:space="preserve">15. GUÍA DE ADAPTACIÓN POR FONDO</w:t>
      </w:r>
    </w:p>
    <w:p>
      <w:pPr>
        <w:spacing w:after="80" w:before="60"/>
        <w:jc w:val="left"/>
      </w:pPr>
      <w:r>
        <w:rPr>
          <w:rFonts w:ascii="Arial" w:cs="Arial" w:eastAsia="Arial" w:hAnsi="Arial"/>
          <w:b w:val="false"/>
          <w:bCs w:val="false"/>
          <w:i w:val="false"/>
          <w:iCs w:val="false"/>
          <w:caps w:val="false"/>
          <w:color w:val="212121"/>
          <w:sz w:val="20"/>
          <w:szCs w:val="20"/>
        </w:rPr>
        <w:t xml:space="preserve">Antes de postular con este documento base a cualquier fondo, completar el siguiente checklist:</w:t>
      </w:r>
    </w:p>
    <w:p>
      <w:pPr>
        <w:spacing w:after="0" w:before="0"/>
      </w:pPr>
      <w:r>
        <w:rPr>
          <w:rFonts w:ascii="Arial" w:cs="Arial" w:eastAsia="Arial" w:hAnsi="Arial"/>
          <w:b w:val="false"/>
          <w:bCs w:val="false"/>
          <w:i w:val="false"/>
          <w:iCs w:val="false"/>
          <w:caps w:val="false"/>
          <w:color w:val="212121"/>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Al postular a un fondo, verificar y completar:</w:t>
            </w:r>
          </w:p>
        </w:tc>
        <w:tc>
          <w:tcPr>
            <w:tcW w:type="dxa" w:w="6760"/>
            <w:tcBorders>
              <w:top w:val="single" w:color="AAAAAA" w:sz="1"/>
              <w:left w:val="single" w:color="AAAAAA" w:sz="1"/>
              <w:bottom w:val="single" w:color="AAAAAA" w:sz="1"/>
              <w:right w:val="single" w:color="AAAAAA" w:sz="1"/>
            </w:tcBorders>
            <w:shd w:fill="1A2F4A" w:val="clear"/>
            <w:tcMar>
              <w:top w:type="dxa" w:w="100"/>
              <w:left w:type="dxa" w:w="160"/>
              <w:bottom w:type="dxa" w:w="100"/>
              <w:right w:type="dxa" w:w="160"/>
            </w:tcMar>
            <w:vAlign w:val="center"/>
          </w:tcPr>
          <w:p>
            <w:pPr>
              <w:spacing w:after="0" w:before="0"/>
              <w:jc w:val="center"/>
            </w:pPr>
            <w:r>
              <w:rPr>
                <w:rFonts w:ascii="Arial" w:cs="Arial" w:eastAsia="Arial" w:hAnsi="Arial"/>
                <w:b/>
                <w:bCs/>
                <w:i w:val="false"/>
                <w:iCs w:val="false"/>
                <w:caps w:val="false"/>
                <w:color w:val="FFFFFF"/>
                <w:sz w:val="18"/>
                <w:szCs w:val="18"/>
              </w:rPr>
              <w:t xml:space="preserve">Descripción / Instrucción</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Nombre del donante / fondo</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Reemplazar todas las menciones al fondo específico (ScotiaRISE, SEGEGOB, Sodimac, etc.)</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Monto solicitado</w:t>
            </w:r>
          </w:p>
        </w:tc>
        <w:tc>
          <w:tcPr>
            <w:tcW w:type="dxa" w:w="67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Definir monto total y si es 1 año o 2 años. Actualizar portada y sección de presupuesto.</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Moneda del presupuesto</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Algunos fondos piden CLP, otros USD. Actualizar tipo de cambio referencial a la fecha de postulación.</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Cofinanciamiento requerido</w:t>
            </w:r>
          </w:p>
        </w:tc>
        <w:tc>
          <w:tcPr>
            <w:tcW w:type="dxa" w:w="67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Verificar si el fondo exige % de contrapartida. Calcular aporte propio (Gendarmería, producción, etc.)</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Área de enfoque del fondo</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Ajustar sección 5.2 'Alineación estratégica' con los ejes específicos del donante.</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Datos de línea base</w:t>
            </w:r>
          </w:p>
        </w:tc>
        <w:tc>
          <w:tcPr>
            <w:tcW w:type="dxa" w:w="67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Completar todos los campos marcados como [Por completar] con datos reales del programa.</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Número de cohortes por año</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Ajustar si el período de ejecución del fondo es menor a 12 meses.</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Voluntariado corporativo</w:t>
            </w:r>
          </w:p>
        </w:tc>
        <w:tc>
          <w:tcPr>
            <w:tcW w:type="dxa" w:w="67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Si el donante tiene programa de voluntarios, completar sección 8 con propuesta específica.</w:t>
            </w:r>
          </w:p>
        </w:tc>
      </w:tr>
      <w:tr>
        <w:tc>
          <w:tcPr>
            <w:tcW w:type="dxa" w:w="2600"/>
            <w:tcBorders>
              <w:top w:val="single" w:color="AAAAAA" w:sz="1"/>
              <w:left w:val="single" w:color="AAAAAA" w:sz="1"/>
              <w:bottom w:val="single" w:color="AAAAAA" w:sz="1"/>
              <w:right w:val="single" w:color="AAAAAA" w:sz="1"/>
            </w:tcBorders>
            <w:shd w:fill="D6EAF8"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Evidencia de impacto propio</w:t>
            </w:r>
          </w:p>
        </w:tc>
        <w:tc>
          <w:tcPr>
            <w:tcW w:type="dxa" w:w="676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Agregar datos de cohortes 2020–2024: tasas de completitud, empleo, reincidencia (si disponibles).</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60"/>
              <w:bottom w:type="dxa" w:w="100"/>
              <w:right w:type="dxa" w:w="160"/>
            </w:tcMar>
            <w:vAlign w:val="center"/>
          </w:tcPr>
          <w:p>
            <w:pPr>
              <w:spacing w:after="0" w:before="0"/>
              <w:jc w:val="left"/>
            </w:pPr>
            <w:r>
              <w:rPr>
                <w:rFonts w:ascii="Arial" w:cs="Arial" w:eastAsia="Arial" w:hAnsi="Arial"/>
                <w:b/>
                <w:bCs/>
                <w:i w:val="false"/>
                <w:iCs w:val="false"/>
                <w:caps w:val="false"/>
                <w:color w:val="1A2F4A"/>
                <w:sz w:val="17"/>
                <w:szCs w:val="17"/>
              </w:rPr>
              <w:t xml:space="preserve">ODS y alineación estratégica</w:t>
            </w:r>
          </w:p>
        </w:tc>
        <w:tc>
          <w:tcPr>
            <w:tcW w:type="dxa" w:w="6760"/>
            <w:tcBorders>
              <w:top w:val="single" w:color="AAAAAA" w:sz="1"/>
              <w:left w:val="single" w:color="AAAAAA" w:sz="1"/>
              <w:bottom w:val="single" w:color="AAAAAA" w:sz="1"/>
              <w:right w:val="single" w:color="AAAAAA" w:sz="1"/>
            </w:tcBorders>
            <w:shd w:fill="F4F6F7" w:val="clear"/>
            <w:tcMar>
              <w:top w:type="dxa" w:w="100"/>
              <w:left w:type="dxa" w:w="160"/>
              <w:bottom w:type="dxa" w:w="100"/>
              <w:right w:type="dxa" w:w="160"/>
            </w:tcMar>
            <w:vAlign w:val="center"/>
          </w:tcPr>
          <w:p>
            <w:pPr>
              <w:spacing w:after="0" w:before="0"/>
              <w:jc w:val="left"/>
            </w:pPr>
            <w:r>
              <w:rPr>
                <w:rFonts w:ascii="Arial" w:cs="Arial" w:eastAsia="Arial" w:hAnsi="Arial"/>
                <w:b w:val="false"/>
                <w:bCs w:val="false"/>
                <w:i w:val="false"/>
                <w:iCs w:val="false"/>
                <w:caps w:val="false"/>
                <w:color w:val="212121"/>
                <w:sz w:val="17"/>
                <w:szCs w:val="17"/>
              </w:rPr>
              <w:t xml:space="preserve">Priorizar los ODS más relevantes para el donante (algunos priorizan ODS 8, otros ODS 16, etc.)</w:t>
            </w:r>
          </w:p>
        </w:tc>
      </w:tr>
    </w:tbl>
    <w:p>
      <w:pPr>
        <w:spacing w:after="0" w:before="0"/>
      </w:pPr>
      <w:r>
        <w:rPr>
          <w:rFonts w:ascii="Arial" w:cs="Arial" w:eastAsia="Arial" w:hAnsi="Arial"/>
          <w:b w:val="false"/>
          <w:bCs w:val="false"/>
          <w:i w:val="false"/>
          <w:iCs w:val="false"/>
          <w:caps w:val="false"/>
          <w:color w:val="212121"/>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4A" w:sz="4"/>
              <w:left w:val="single" w:color="1A2F4A" w:sz="4"/>
              <w:bottom w:val="single" w:color="1A2F4A" w:sz="4"/>
              <w:right w:val="single" w:color="1A2F4A" w:sz="4"/>
            </w:tcBorders>
            <w:shd w:fill="1A2F4A" w:val="clear"/>
            <w:tcMar>
              <w:top w:type="dxa" w:w="240"/>
              <w:left w:type="dxa" w:w="360"/>
              <w:bottom w:type="dxa" w:w="240"/>
              <w:right w:type="dxa" w:w="360"/>
            </w:tcMar>
          </w:tcPr>
          <w:p>
            <w:pPr>
              <w:spacing w:after="100" w:before="0"/>
              <w:jc w:val="left"/>
            </w:pPr>
            <w:r>
              <w:rPr>
                <w:rFonts w:ascii="Arial" w:cs="Arial" w:eastAsia="Arial" w:hAnsi="Arial"/>
                <w:b/>
                <w:bCs/>
                <w:i w:val="false"/>
                <w:iCs w:val="false"/>
                <w:caps w:val="false"/>
                <w:color w:val="7FB3D3"/>
                <w:sz w:val="20"/>
                <w:szCs w:val="20"/>
              </w:rPr>
              <w:t xml:space="preserve">DECLARACIÓN INSTITUCIONAL</w:t>
            </w:r>
          </w:p>
          <w:p>
            <w:pPr>
              <w:spacing w:after="120" w:before="0"/>
              <w:jc w:val="left"/>
            </w:pPr>
            <w:r>
              <w:rPr>
                <w:rFonts w:ascii="Arial" w:cs="Arial" w:eastAsia="Arial" w:hAnsi="Arial"/>
                <w:b w:val="false"/>
                <w:bCs w:val="false"/>
                <w:i w:val="false"/>
                <w:iCs w:val="false"/>
                <w:caps w:val="false"/>
                <w:color w:val="FFFFFF"/>
                <w:sz w:val="19"/>
                <w:szCs w:val="19"/>
              </w:rPr>
              <w:t xml:space="preserve">Fundación Invictus postula convencida de que la reinserción social efectiva no es solo un imperativo ético: es también una inversión social de alto retorno. Cada persona que egresa del sistema penitenciario con una certificación técnica, una red de contactos laborales y herramientas psicosociales para enfrentar la vida, representa un menor costo para el sistema de justicia, una familia fortalecida, y un trabajador o trabajadora que contribuye activamente a la economía y al tejido social del país.</w:t>
            </w:r>
          </w:p>
          <w:p>
            <w:pPr>
              <w:spacing w:after="120" w:before="0"/>
              <w:jc w:val="left"/>
            </w:pPr>
            <w:r>
              <w:rPr>
                <w:rFonts w:ascii="Arial" w:cs="Arial" w:eastAsia="Arial" w:hAnsi="Arial"/>
                <w:b w:val="false"/>
                <w:bCs w:val="false"/>
                <w:i/>
                <w:iCs/>
                <w:caps w:val="false"/>
                <w:color w:val="AED6F1"/>
                <w:sz w:val="19"/>
                <w:szCs w:val="19"/>
              </w:rPr>
              <w:t xml:space="preserve">El apoyo de los donantes a Renace no solo financia un programa. Envía un mensaje: que el sector privado y la sociedad civil creen en la capacidad de las personas de transformarse, y están dispuestos a ser parte de ese proceso.</w:t>
            </w:r>
          </w:p>
          <w:p>
            <w:pPr>
              <w:spacing w:after="40" w:before="0"/>
              <w:jc w:val="left"/>
            </w:pPr>
            <w:r>
              <w:rPr>
                <w:rFonts w:ascii="Arial" w:cs="Arial" w:eastAsia="Arial" w:hAnsi="Arial"/>
                <w:b/>
                <w:bCs/>
                <w:i w:val="false"/>
                <w:iCs w:val="false"/>
                <w:caps w:val="false"/>
                <w:color w:val="7FB3D3"/>
                <w:sz w:val="18"/>
                <w:szCs w:val="18"/>
              </w:rPr>
              <w:t xml:space="preserve">Fundación Invictus Chile  |  José Ignacio Torrealba, Director Ejecutivo</w:t>
            </w:r>
          </w:p>
          <w:p>
            <w:pPr>
              <w:spacing w:after="0" w:before="0"/>
              <w:jc w:val="left"/>
            </w:pPr>
            <w:r>
              <w:rPr>
                <w:rFonts w:ascii="Arial" w:cs="Arial" w:eastAsia="Arial" w:hAnsi="Arial"/>
                <w:b w:val="false"/>
                <w:bCs w:val="false"/>
                <w:i w:val="false"/>
                <w:iCs w:val="false"/>
                <w:caps w:val="false"/>
                <w:color w:val="5D9BBD"/>
                <w:sz w:val="17"/>
                <w:szCs w:val="17"/>
              </w:rPr>
              <w:t xml:space="preserve">equipo@fundacioninvictus.cl  |  www.fundacioninvictus.cl  |  Santiago, Chile</w:t>
            </w:r>
          </w:p>
        </w:tc>
      </w:tr>
    </w:tbl>
    <w:p>
      <w:pPr>
        <w:spacing w:after="0" w:before="0"/>
      </w:pPr>
      <w:r>
        <w:rPr>
          <w:rFonts w:ascii="Arial" w:cs="Arial" w:eastAsia="Arial" w:hAnsi="Arial"/>
          <w:b w:val="false"/>
          <w:bCs w:val="false"/>
          <w:i w:val="false"/>
          <w:iCs w:val="false"/>
          <w:caps w:val="false"/>
          <w:color w:val="212121"/>
          <w:sz w:val="80"/>
          <w:szCs w:val="80"/>
        </w:rPr>
        <w:t xml:space="preserve"/>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72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2"/>
      <w:szCs w:val="32"/>
    </w:rPr>
  </w:style>
  <w:style w:type="paragraph" w:styleId="Heading2">
    <w:name w:val="Heading 2"/>
    <w:basedOn w:val="Normal"/>
    <w:next w:val="Normal"/>
    <w:qFormat/>
    <w:pPr>
      <w:spacing w:after="10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2026-04-27T21:02:59.202Z</dcterms:created>
  <dcterms:modified xsi:type="dcterms:W3CDTF">2026-04-27T21:02:59.203Z</dcterms:modified>
</cp:coreProperties>
</file>

<file path=docProps/custom.xml><?xml version="1.0" encoding="utf-8"?>
<Properties xmlns="http://schemas.openxmlformats.org/officeDocument/2006/custom-properties" xmlns:vt="http://schemas.openxmlformats.org/officeDocument/2006/docPropsVTypes"/>
</file>