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Jerry Vasquez</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499</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Narrative 3</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The artifact, </w:t>
      </w:r>
      <w:r w:rsidDel="00000000" w:rsidR="00000000" w:rsidRPr="00000000">
        <w:rPr>
          <w:rFonts w:ascii="Times New Roman" w:cs="Times New Roman" w:eastAsia="Times New Roman" w:hAnsi="Times New Roman"/>
          <w:sz w:val="24"/>
          <w:szCs w:val="24"/>
          <w:rtl w:val="0"/>
        </w:rPr>
        <w:t xml:space="preserve">CRUD_Python_Module.py, is part of the animal shelter dashboard project completed in the course, CS 340. This artifact aimed to handle CRUD (Create, Read, Update, Delete) operations with the MongoDB database. Using this file, the frontend was able to load the data needed for the dashboard data table, chart, and geo map.  </w:t>
      </w:r>
      <w:r w:rsidDel="00000000" w:rsidR="00000000" w:rsidRPr="00000000">
        <w:rPr>
          <w:rtl w:val="0"/>
        </w:rPr>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goal of enhancing the artifacts for category one and three were to create a fullstack web application. This particular artifact served as the backend that provides the requested data to the dashboard. I think that the design of this enhancement highlights my knowledge in restful APIs and HTTP request-response cycle. The implemented prepared statements and hiding credentials behind environment variables showcase secure practices for mitigating SQL injection and safeguarding sensitive data. I also created three indexes for faster querying of the animal rescue types. </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course outcomes I set out to accomplish were course outcomes 3, 4, and 5. A security mindset was demonstrated with the use of prepared statements to mitigate SQL injections and avoiding database hardcoded credentials. The completion of outcomes 3 and 4 were moved to the first and second artifacts respectively. </w:t>
      </w:r>
    </w:p>
    <w:p w:rsidR="00000000" w:rsidDel="00000000" w:rsidP="00000000" w:rsidRDefault="00000000" w:rsidRPr="00000000" w14:paraId="00000008">
      <w:pPr>
        <w:spacing w:line="480" w:lineRule="auto"/>
        <w:rPr/>
      </w:pPr>
      <w:r w:rsidDel="00000000" w:rsidR="00000000" w:rsidRPr="00000000">
        <w:rPr>
          <w:rFonts w:ascii="Times New Roman" w:cs="Times New Roman" w:eastAsia="Times New Roman" w:hAnsi="Times New Roman"/>
          <w:sz w:val="24"/>
          <w:szCs w:val="24"/>
          <w:rtl w:val="0"/>
        </w:rPr>
        <w:tab/>
        <w:t xml:space="preserve">When working on connecting with the database, I learned about the concept of connection pooling and its benefits through the node-postgres documentation. The value of using a connection pool is that we avoid the computational cost and latency associated with opening a brand new database connection for every query. The documentation was also very helpful with showing me how to implement the prepared statements through examples. </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