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0AC9B" w14:textId="77777777" w:rsidR="00094C19" w:rsidRDefault="00094C19">
      <w:pPr>
        <w:pStyle w:val="Title"/>
      </w:pPr>
      <w:r>
        <w:t>Theory of the Transfer Function defining the angle and position of the vehicle</w:t>
      </w:r>
    </w:p>
    <w:p w14:paraId="31DA96E4" w14:textId="77777777" w:rsidR="00094C19" w:rsidRDefault="00094C19">
      <w:pPr>
        <w:pStyle w:val="Heading3"/>
      </w:pPr>
      <w:bookmarkStart w:id="0" w:name="state-definitions"/>
      <w:r>
        <w:t>State Definitions</w:t>
      </w:r>
    </w:p>
    <w:p w14:paraId="29DB87D7" w14:textId="2388B97A" w:rsidR="00094C19" w:rsidRDefault="00094C19">
      <w:pPr>
        <w:pStyle w:val="FirstParagraph"/>
      </w:pPr>
      <w:r>
        <w:t xml:space="preserve">Define the state vector </w:t>
      </w:r>
      <w:r w:rsidRPr="00094C19">
        <w:rPr>
          <w:i/>
          <w:iCs/>
        </w:rPr>
        <w:t>x</w:t>
      </w:r>
      <w:r>
        <w:t xml:space="preserve"> and the input </w:t>
      </w:r>
      <w:r w:rsidRPr="00094C19">
        <w:rPr>
          <w:i/>
          <w:iCs/>
        </w:rPr>
        <w:t>u</w:t>
      </w:r>
      <w:r>
        <w:t xml:space="preserve"> </w:t>
      </w:r>
      <w:r>
        <w:t>as follows:</w:t>
      </w:r>
    </w:p>
    <w:p w14:paraId="65F702DE" w14:textId="77777777" w:rsidR="00094C19" w:rsidRDefault="00094C19">
      <w:pPr>
        <w:pStyle w:val="BodyText"/>
        <w:jc w:val="center"/>
      </w:pPr>
      <w:r>
        <w:rPr>
          <w:position w:val="-50"/>
        </w:rPr>
        <w:object w:dxaOrig="1509" w:dyaOrig="1252" w14:anchorId="3921B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45pt;height:62.55pt" o:ole="" filled="t">
            <v:fill color2="black"/>
            <v:imagedata r:id="rId5" o:title=""/>
          </v:shape>
          <o:OLEObject Type="Embed" ShapeID="_x0000_i1027" DrawAspect="Content" ObjectID="_1760183534" r:id="rId6"/>
        </w:object>
      </w:r>
      <w:bookmarkEnd w:id="0"/>
    </w:p>
    <w:p w14:paraId="5035EE97" w14:textId="77777777" w:rsidR="00094C19" w:rsidRDefault="00094C19">
      <w:pPr>
        <w:pStyle w:val="Heading3"/>
      </w:pPr>
      <w:bookmarkStart w:id="1" w:name="conservation-of-linear-momentum"/>
      <w:r>
        <w:t>Conservation of Linear Momentum</w:t>
      </w:r>
    </w:p>
    <w:p w14:paraId="400EFEEE" w14:textId="77777777" w:rsidR="00094C19" w:rsidRDefault="00094C19">
      <w:pPr>
        <w:pStyle w:val="FirstParagraph"/>
      </w:pPr>
      <w:r>
        <w:t>The equation for the conservation of linear momentum in lateral direction can be written as in [1]:</w:t>
      </w:r>
    </w:p>
    <w:p w14:paraId="1A56D5C4" w14:textId="77777777" w:rsidR="00094C19" w:rsidRDefault="00094C19">
      <w:pPr>
        <w:pStyle w:val="BodyText"/>
        <w:jc w:val="center"/>
      </w:pPr>
      <w:r>
        <w:rPr>
          <w:position w:val="-23"/>
        </w:rPr>
        <w:object w:dxaOrig="4109" w:dyaOrig="717" w14:anchorId="5D4673EB">
          <v:shape id="_x0000_i1028" type="#_x0000_t75" style="width:205.4pt;height:35.8pt" o:ole="" filled="t">
            <v:fill color2="black"/>
            <v:imagedata r:id="rId7" o:title=""/>
          </v:shape>
          <o:OLEObject Type="Embed" ShapeID="_x0000_i1028" DrawAspect="Content" ObjectID="_1760183535" r:id="rId8"/>
        </w:object>
      </w:r>
    </w:p>
    <w:p w14:paraId="105389DC" w14:textId="77777777" w:rsidR="00094C19" w:rsidRDefault="00094C19">
      <w:pPr>
        <w:pStyle w:val="FirstParagraph"/>
      </w:pPr>
      <w:r>
        <w:t xml:space="preserve">Here, </w:t>
      </w:r>
      <w:r>
        <w:rPr>
          <w:position w:val="-1"/>
        </w:rPr>
        <w:object w:dxaOrig="179" w:dyaOrig="265" w14:anchorId="72D9F129">
          <v:shape id="_x0000_i1029" type="#_x0000_t75" style="width:8.85pt;height:13.3pt" o:ole="" filled="t">
            <v:fill color2="black"/>
            <v:imagedata r:id="rId9" o:title=""/>
          </v:shape>
          <o:OLEObject Type="Embed" ShapeID="_x0000_i1029" DrawAspect="Content" ObjectID="_1760183536" r:id="rId10"/>
        </w:object>
      </w:r>
      <w:r>
        <w:t xml:space="preserve"> is the mass of the vehicle and </w:t>
      </w:r>
      <w:r>
        <w:rPr>
          <w:position w:val="-3"/>
        </w:rPr>
        <w:object w:dxaOrig="272" w:dyaOrig="304" w14:anchorId="2E05963A">
          <v:shape id="_x0000_i1030" type="#_x0000_t75" style="width:13.65pt;height:15.2pt" o:ole="" filled="t">
            <v:fill color2="black"/>
            <v:imagedata r:id="rId11" o:title=""/>
          </v:shape>
          <o:OLEObject Type="Embed" ShapeID="_x0000_i1030" DrawAspect="Content" ObjectID="_1760183537" r:id="rId12"/>
        </w:object>
      </w:r>
      <w:r>
        <w:t xml:space="preserve"> is the rate of change of lateral velocity. </w:t>
      </w:r>
      <w:r>
        <w:rPr>
          <w:position w:val="-3"/>
        </w:rPr>
        <w:object w:dxaOrig="345" w:dyaOrig="301" w14:anchorId="2760EAF1">
          <v:shape id="_x0000_i1031" type="#_x0000_t75" style="width:17.35pt;height:15pt" o:ole="" filled="t">
            <v:fill color2="black"/>
            <v:imagedata r:id="rId13" o:title=""/>
          </v:shape>
          <o:OLEObject Type="Embed" ShapeID="_x0000_i1031" DrawAspect="Content" ObjectID="_1760183538" r:id="rId14"/>
        </w:object>
      </w:r>
      <w:r>
        <w:t xml:space="preserve"> and </w:t>
      </w:r>
      <w:r>
        <w:rPr>
          <w:position w:val="-3"/>
        </w:rPr>
        <w:object w:dxaOrig="341" w:dyaOrig="301" w14:anchorId="4C21D80C">
          <v:shape id="_x0000_i1032" type="#_x0000_t75" style="width:17.15pt;height:15pt" o:ole="" filled="t">
            <v:fill color2="black"/>
            <v:imagedata r:id="rId15" o:title=""/>
          </v:shape>
          <o:OLEObject Type="Embed" ShapeID="_x0000_i1032" DrawAspect="Content" ObjectID="_1760183539" r:id="rId16"/>
        </w:object>
      </w:r>
      <w:r>
        <w:t xml:space="preserve"> are the cornering stiffness for the front and rear tires, respectively. </w:t>
      </w:r>
      <w:r>
        <w:rPr>
          <w:position w:val="-1"/>
        </w:rPr>
        <w:object w:dxaOrig="132" w:dyaOrig="265" w14:anchorId="496A1C8D">
          <v:shape id="_x0000_i1033" type="#_x0000_t75" style="width:6.55pt;height:13.3pt" o:ole="" filled="t">
            <v:fill color2="black"/>
            <v:imagedata r:id="rId17" o:title=""/>
          </v:shape>
          <o:OLEObject Type="Embed" ShapeID="_x0000_i1033" DrawAspect="Content" ObjectID="_1760183540" r:id="rId18"/>
        </w:object>
      </w:r>
      <w:r>
        <w:t xml:space="preserve"> is the steering angle input, </w:t>
      </w:r>
      <w:r>
        <w:rPr>
          <w:position w:val="-3"/>
        </w:rPr>
        <w:object w:dxaOrig="260" w:dyaOrig="301" w14:anchorId="06D61F0C">
          <v:shape id="_x0000_i1034" type="#_x0000_t75" style="width:13.1pt;height:15pt" o:ole="" filled="t">
            <v:fill color2="black"/>
            <v:imagedata r:id="rId19" o:title=""/>
          </v:shape>
          <o:OLEObject Type="Embed" ShapeID="_x0000_i1034" DrawAspect="Content" ObjectID="_1760183541" r:id="rId20"/>
        </w:object>
      </w:r>
      <w:r>
        <w:t xml:space="preserve"> is the longitudinal velocity, </w:t>
      </w:r>
      <w:r>
        <w:rPr>
          <w:position w:val="-3"/>
        </w:rPr>
        <w:object w:dxaOrig="143" w:dyaOrig="301" w14:anchorId="5F71D052">
          <v:shape id="_x0000_i1035" type="#_x0000_t75" style="width:7.1pt;height:15pt" o:ole="" filled="t">
            <v:fill color2="black"/>
            <v:imagedata r:id="rId21" o:title=""/>
          </v:shape>
          <o:OLEObject Type="Embed" ShapeID="_x0000_i1035" DrawAspect="Content" ObjectID="_1760183542" r:id="rId22"/>
        </w:object>
      </w:r>
      <w:r>
        <w:t xml:space="preserve"> and </w:t>
      </w:r>
      <w:r>
        <w:rPr>
          <w:position w:val="-3"/>
        </w:rPr>
        <w:object w:dxaOrig="138" w:dyaOrig="301" w14:anchorId="2C51C623">
          <v:shape id="_x0000_i1036" type="#_x0000_t75" style="width:6.95pt;height:15pt" o:ole="" filled="t">
            <v:fill color2="black"/>
            <v:imagedata r:id="rId23" o:title=""/>
          </v:shape>
          <o:OLEObject Type="Embed" ShapeID="_x0000_i1036" DrawAspect="Content" ObjectID="_1760183543" r:id="rId24"/>
        </w:object>
      </w:r>
      <w:r>
        <w:t xml:space="preserve"> are the distances from the center of gravity to the front and rear wheels, and </w:t>
      </w:r>
      <w:r>
        <w:rPr>
          <w:position w:val="-1"/>
        </w:rPr>
        <w:object w:dxaOrig="151" w:dyaOrig="265" w14:anchorId="582AF937">
          <v:shape id="_x0000_i1037" type="#_x0000_t75" style="width:7.5pt;height:13.3pt" o:ole="" filled="t">
            <v:fill color2="black"/>
            <v:imagedata r:id="rId25" o:title=""/>
          </v:shape>
          <o:OLEObject Type="Embed" ShapeID="_x0000_i1037" DrawAspect="Content" ObjectID="_1760183544" r:id="rId26"/>
        </w:object>
      </w:r>
      <w:r>
        <w:t xml:space="preserve"> </w:t>
      </w:r>
      <w:proofErr w:type="spellStart"/>
      <w:r>
        <w:t>and</w:t>
      </w:r>
      <w:proofErr w:type="spellEnd"/>
      <w:r>
        <w:t xml:space="preserve"> </w:t>
      </w:r>
      <w:r>
        <w:rPr>
          <w:position w:val="-1"/>
        </w:rPr>
        <w:object w:dxaOrig="138" w:dyaOrig="278" w14:anchorId="03A79E48">
          <v:shape id="_x0000_i1038" type="#_x0000_t75" style="width:6.95pt;height:13.85pt" o:ole="" filled="t">
            <v:fill color2="black"/>
            <v:imagedata r:id="rId27" o:title=""/>
          </v:shape>
          <o:OLEObject Type="Embed" ShapeID="_x0000_i1038" DrawAspect="Content" ObjectID="_1760183545" r:id="rId28"/>
        </w:object>
      </w:r>
      <w:r>
        <w:t xml:space="preserve"> are the rate of change of lateral position and yaw rate, respectively.</w:t>
      </w:r>
      <w:bookmarkEnd w:id="1"/>
    </w:p>
    <w:p w14:paraId="6FDC859A" w14:textId="77777777" w:rsidR="00094C19" w:rsidRDefault="00094C19">
      <w:pPr>
        <w:pStyle w:val="Heading3"/>
      </w:pPr>
      <w:bookmarkStart w:id="2" w:name="conservation-of-angular-momentum"/>
      <w:r>
        <w:t>Conservation of Angular Momentum</w:t>
      </w:r>
    </w:p>
    <w:p w14:paraId="79FE4620" w14:textId="77777777" w:rsidR="00094C19" w:rsidRDefault="00094C19">
      <w:pPr>
        <w:pStyle w:val="FirstParagraph"/>
      </w:pPr>
      <w:r>
        <w:t xml:space="preserve">Similarly, the equation for the conservation of angular momentum about the </w:t>
      </w:r>
      <w:r>
        <w:rPr>
          <w:position w:val="-1"/>
        </w:rPr>
        <w:object w:dxaOrig="117" w:dyaOrig="265" w14:anchorId="506FE7D4">
          <v:shape id="_x0000_i1039" type="#_x0000_t75" style="width:5.8pt;height:13.3pt" o:ole="" filled="t">
            <v:fill color2="black"/>
            <v:imagedata r:id="rId29" o:title=""/>
          </v:shape>
          <o:OLEObject Type="Embed" ShapeID="_x0000_i1039" DrawAspect="Content" ObjectID="_1760183546" r:id="rId30"/>
        </w:object>
      </w:r>
      <w:r>
        <w:t>-axis is:</w:t>
      </w:r>
    </w:p>
    <w:p w14:paraId="2AD52A18" w14:textId="77777777" w:rsidR="00094C19" w:rsidRDefault="00094C19">
      <w:pPr>
        <w:pStyle w:val="BodyText"/>
        <w:jc w:val="center"/>
      </w:pPr>
      <w:r>
        <w:rPr>
          <w:position w:val="-23"/>
        </w:rPr>
        <w:object w:dxaOrig="4354" w:dyaOrig="717" w14:anchorId="701D8847">
          <v:shape id="_x0000_i1040" type="#_x0000_t75" style="width:217.75pt;height:35.8pt" o:ole="" filled="t">
            <v:fill color2="black"/>
            <v:imagedata r:id="rId31" o:title=""/>
          </v:shape>
          <o:OLEObject Type="Embed" ShapeID="_x0000_i1040" DrawAspect="Content" ObjectID="_1760183547" r:id="rId32"/>
        </w:object>
      </w:r>
    </w:p>
    <w:p w14:paraId="4EBCA6EC" w14:textId="77777777" w:rsidR="00094C19" w:rsidRDefault="00094C19">
      <w:pPr>
        <w:pStyle w:val="FirstParagraph"/>
      </w:pPr>
      <w:r>
        <w:t xml:space="preserve">In this equation, </w:t>
      </w:r>
      <w:r>
        <w:rPr>
          <w:position w:val="-3"/>
        </w:rPr>
        <w:object w:dxaOrig="184" w:dyaOrig="301" w14:anchorId="38020AF2">
          <v:shape id="_x0000_i1041" type="#_x0000_t75" style="width:9.25pt;height:15pt" o:ole="" filled="t">
            <v:fill color2="black"/>
            <v:imagedata r:id="rId33" o:title=""/>
          </v:shape>
          <o:OLEObject Type="Embed" ShapeID="_x0000_i1041" DrawAspect="Content" ObjectID="_1760183548" r:id="rId34"/>
        </w:object>
      </w:r>
      <w:r>
        <w:t xml:space="preserve"> is the moment of inertia of the vehicle about the </w:t>
      </w:r>
      <w:r>
        <w:rPr>
          <w:position w:val="-1"/>
        </w:rPr>
        <w:object w:dxaOrig="117" w:dyaOrig="265" w14:anchorId="416AC932">
          <v:shape id="_x0000_i1042" type="#_x0000_t75" style="width:5.8pt;height:13.3pt" o:ole="" filled="t">
            <v:fill color2="black"/>
            <v:imagedata r:id="rId29" o:title=""/>
          </v:shape>
          <o:OLEObject Type="Embed" ShapeID="_x0000_i1042" DrawAspect="Content" ObjectID="_1760183549" r:id="rId35"/>
        </w:object>
      </w:r>
      <w:r>
        <w:t xml:space="preserve">-axis. The terms </w:t>
      </w:r>
      <w:r>
        <w:rPr>
          <w:position w:val="-3"/>
        </w:rPr>
        <w:object w:dxaOrig="143" w:dyaOrig="301" w14:anchorId="38B5507E">
          <v:shape id="_x0000_i1043" type="#_x0000_t75" style="width:7.1pt;height:15pt" o:ole="" filled="t">
            <v:fill color2="black"/>
            <v:imagedata r:id="rId21" o:title=""/>
          </v:shape>
          <o:OLEObject Type="Embed" ShapeID="_x0000_i1043" DrawAspect="Content" ObjectID="_1760183550" r:id="rId36"/>
        </w:object>
      </w:r>
      <w:r>
        <w:t xml:space="preserve"> and </w:t>
      </w:r>
      <w:r>
        <w:rPr>
          <w:position w:val="-3"/>
        </w:rPr>
        <w:object w:dxaOrig="138" w:dyaOrig="301" w14:anchorId="1EDDB6A3">
          <v:shape id="_x0000_i1044" type="#_x0000_t75" style="width:6.95pt;height:15pt" o:ole="" filled="t">
            <v:fill color2="black"/>
            <v:imagedata r:id="rId23" o:title=""/>
          </v:shape>
          <o:OLEObject Type="Embed" ShapeID="_x0000_i1044" DrawAspect="Content" ObjectID="_1760183551" r:id="rId37"/>
        </w:object>
      </w:r>
      <w:r>
        <w:t xml:space="preserve"> are again the distances from the center of gravity to the front and rear wheels, respectively. </w:t>
      </w:r>
      <w:r>
        <w:rPr>
          <w:position w:val="-3"/>
        </w:rPr>
        <w:object w:dxaOrig="345" w:dyaOrig="301" w14:anchorId="3AB43BEB">
          <v:shape id="_x0000_i1045" type="#_x0000_t75" style="width:17.35pt;height:15pt" o:ole="" filled="t">
            <v:fill color2="black"/>
            <v:imagedata r:id="rId13" o:title=""/>
          </v:shape>
          <o:OLEObject Type="Embed" ShapeID="_x0000_i1045" DrawAspect="Content" ObjectID="_1760183552" r:id="rId38"/>
        </w:object>
      </w:r>
      <w:r>
        <w:t xml:space="preserve"> and </w:t>
      </w:r>
      <w:r>
        <w:rPr>
          <w:position w:val="-3"/>
        </w:rPr>
        <w:object w:dxaOrig="341" w:dyaOrig="301" w14:anchorId="2F6B82C2">
          <v:shape id="_x0000_i1046" type="#_x0000_t75" style="width:17.15pt;height:15pt" o:ole="" filled="t">
            <v:fill color2="black"/>
            <v:imagedata r:id="rId15" o:title=""/>
          </v:shape>
          <o:OLEObject Type="Embed" ShapeID="_x0000_i1046" DrawAspect="Content" ObjectID="_1760183553" r:id="rId39"/>
        </w:object>
      </w:r>
      <w:r>
        <w:t xml:space="preserve"> are the cornering stiffness for the front and rear tires.</w:t>
      </w:r>
    </w:p>
    <w:p w14:paraId="365C7B29" w14:textId="77777777" w:rsidR="00094C19" w:rsidRDefault="00094C19">
      <w:pPr>
        <w:pStyle w:val="BodyText"/>
      </w:pPr>
      <w:r>
        <w:t xml:space="preserve">In both equations, the terms involving </w:t>
      </w:r>
      <w:r>
        <w:rPr>
          <w:position w:val="-3"/>
        </w:rPr>
        <w:object w:dxaOrig="345" w:dyaOrig="301" w14:anchorId="4A8424E4">
          <v:shape id="_x0000_i1047" type="#_x0000_t75" style="width:17.35pt;height:15pt" o:ole="" filled="t">
            <v:fill color2="black"/>
            <v:imagedata r:id="rId13" o:title=""/>
          </v:shape>
          <o:OLEObject Type="Embed" ShapeID="_x0000_i1047" DrawAspect="Content" ObjectID="_1760183554" r:id="rId40"/>
        </w:object>
      </w:r>
      <w:r>
        <w:t xml:space="preserve"> and </w:t>
      </w:r>
      <w:r>
        <w:rPr>
          <w:position w:val="-3"/>
        </w:rPr>
        <w:object w:dxaOrig="341" w:dyaOrig="301" w14:anchorId="4A88258E">
          <v:shape id="_x0000_i1048" type="#_x0000_t75" style="width:17.15pt;height:15pt" o:ole="" filled="t">
            <v:fill color2="black"/>
            <v:imagedata r:id="rId15" o:title=""/>
          </v:shape>
          <o:OLEObject Type="Embed" ShapeID="_x0000_i1048" DrawAspect="Content" ObjectID="_1760183555" r:id="rId41"/>
        </w:object>
      </w:r>
      <w:r>
        <w:t xml:space="preserve"> represent the lateral forces acting on the front and rear tires, respectively. These forces depend on the slip angles, which in turn depend on the rate of change of lateral position (</w:t>
      </w:r>
      <w:r>
        <w:rPr>
          <w:position w:val="-1"/>
        </w:rPr>
        <w:object w:dxaOrig="151" w:dyaOrig="265" w14:anchorId="6415938C">
          <v:shape id="_x0000_i1049" type="#_x0000_t75" style="width:7.5pt;height:13.3pt" o:ole="" filled="t">
            <v:fill color2="black"/>
            <v:imagedata r:id="rId25" o:title=""/>
          </v:shape>
          <o:OLEObject Type="Embed" ShapeID="_x0000_i1049" DrawAspect="Content" ObjectID="_1760183556" r:id="rId42"/>
        </w:object>
      </w:r>
      <w:r>
        <w:t>) and the yaw rate (</w:t>
      </w:r>
      <w:r>
        <w:rPr>
          <w:position w:val="-1"/>
        </w:rPr>
        <w:object w:dxaOrig="138" w:dyaOrig="278" w14:anchorId="2ACA4F55">
          <v:shape id="_x0000_i1050" type="#_x0000_t75" style="width:6.95pt;height:13.85pt" o:ole="" filled="t">
            <v:fill color2="black"/>
            <v:imagedata r:id="rId27" o:title=""/>
          </v:shape>
          <o:OLEObject Type="Embed" ShapeID="_x0000_i1050" DrawAspect="Content" ObjectID="_1760183557" r:id="rId43"/>
        </w:object>
      </w:r>
      <w:r>
        <w:t xml:space="preserve">). The terms </w:t>
      </w:r>
      <w:r>
        <w:rPr>
          <w:position w:val="-3"/>
        </w:rPr>
        <w:object w:dxaOrig="143" w:dyaOrig="301" w14:anchorId="2E5231D1">
          <v:shape id="_x0000_i1051" type="#_x0000_t75" style="width:7.1pt;height:15pt" o:ole="" filled="t">
            <v:fill color2="black"/>
            <v:imagedata r:id="rId21" o:title=""/>
          </v:shape>
          <o:OLEObject Type="Embed" ShapeID="_x0000_i1051" DrawAspect="Content" ObjectID="_1760183558" r:id="rId44"/>
        </w:object>
      </w:r>
      <w:r>
        <w:t xml:space="preserve"> and </w:t>
      </w:r>
      <w:r>
        <w:rPr>
          <w:position w:val="-3"/>
        </w:rPr>
        <w:object w:dxaOrig="138" w:dyaOrig="301" w14:anchorId="224DF2C6">
          <v:shape id="_x0000_i1052" type="#_x0000_t75" style="width:6.95pt;height:15pt" o:ole="" filled="t">
            <v:fill color2="black"/>
            <v:imagedata r:id="rId23" o:title=""/>
          </v:shape>
          <o:OLEObject Type="Embed" ShapeID="_x0000_i1052" DrawAspect="Content" ObjectID="_1760183559" r:id="rId45"/>
        </w:object>
      </w:r>
      <w:r>
        <w:t xml:space="preserve"> weigh the contribution of these forces in creating a moment </w:t>
      </w:r>
      <w:proofErr w:type="gramStart"/>
      <w:r>
        <w:t>about</w:t>
      </w:r>
      <w:proofErr w:type="gramEnd"/>
      <w:r>
        <w:t xml:space="preserve"> the center of gravity of the vehicle, affecting its yaw behavior (</w:t>
      </w:r>
      <w:r>
        <w:rPr>
          <w:position w:val="-1"/>
        </w:rPr>
        <w:object w:dxaOrig="138" w:dyaOrig="265" w14:anchorId="23675339">
          <v:shape id="_x0000_i1053" type="#_x0000_t75" style="width:6.95pt;height:13.3pt" o:ole="" filled="t">
            <v:fill color2="black"/>
            <v:imagedata r:id="rId46" o:title=""/>
          </v:shape>
          <o:OLEObject Type="Embed" ShapeID="_x0000_i1053" DrawAspect="Content" ObjectID="_1760183560" r:id="rId47"/>
        </w:object>
      </w:r>
      <w:r>
        <w:t>).</w:t>
      </w:r>
      <w:bookmarkEnd w:id="2"/>
    </w:p>
    <w:p w14:paraId="14ED9C0E" w14:textId="77777777" w:rsidR="00094C19" w:rsidRDefault="00094C19">
      <w:pPr>
        <w:pStyle w:val="Heading3"/>
      </w:pPr>
      <w:bookmarkStart w:id="3" w:name="differential-equations"/>
      <w:r>
        <w:lastRenderedPageBreak/>
        <w:t>Differential Equations</w:t>
      </w:r>
    </w:p>
    <w:p w14:paraId="7A88757D" w14:textId="77777777" w:rsidR="00094C19" w:rsidRDefault="00094C19">
      <w:pPr>
        <w:pStyle w:val="FirstParagraph"/>
      </w:pPr>
      <w:r>
        <w:t>The main differential equations are derived from the conservation of linear and angular momentum for a vehicle [2]:</w:t>
      </w:r>
    </w:p>
    <w:p w14:paraId="60102349" w14:textId="77777777" w:rsidR="00094C19" w:rsidRDefault="00094C19">
      <w:pPr>
        <w:pStyle w:val="BodyText"/>
        <w:jc w:val="center"/>
      </w:pPr>
      <w:r>
        <w:rPr>
          <w:position w:val="-23"/>
        </w:rPr>
        <w:object w:dxaOrig="4109" w:dyaOrig="717" w14:anchorId="4DF07B83">
          <v:shape id="_x0000_i1054" type="#_x0000_t75" style="width:205.4pt;height:35.8pt" o:ole="" filled="t">
            <v:fill color2="black"/>
            <v:imagedata r:id="rId7" o:title=""/>
          </v:shape>
          <o:OLEObject Type="Embed" ShapeID="_x0000_i1054" DrawAspect="Content" ObjectID="_1760183561" r:id="rId48"/>
        </w:object>
      </w:r>
    </w:p>
    <w:p w14:paraId="6626907E" w14:textId="77777777" w:rsidR="00094C19" w:rsidRDefault="00094C19">
      <w:pPr>
        <w:pStyle w:val="FirstParagraph"/>
        <w:jc w:val="center"/>
      </w:pPr>
      <w:r>
        <w:rPr>
          <w:position w:val="-23"/>
        </w:rPr>
        <w:object w:dxaOrig="4354" w:dyaOrig="717" w14:anchorId="1DBF2736">
          <v:shape id="_x0000_i1055" type="#_x0000_t75" style="width:217.75pt;height:35.8pt" o:ole="" filled="t">
            <v:fill color2="black"/>
            <v:imagedata r:id="rId31" o:title=""/>
          </v:shape>
          <o:OLEObject Type="Embed" ShapeID="_x0000_i1055" DrawAspect="Content" ObjectID="_1760183562" r:id="rId49"/>
        </w:object>
      </w:r>
      <w:bookmarkEnd w:id="3"/>
    </w:p>
    <w:p w14:paraId="70821DF8" w14:textId="77777777" w:rsidR="00094C19" w:rsidRDefault="00094C19">
      <w:pPr>
        <w:pStyle w:val="Heading3"/>
      </w:pPr>
      <w:bookmarkStart w:id="4" w:name="equation-re-arrangement"/>
      <w:r>
        <w:t>Equation Re-arrangement</w:t>
      </w:r>
    </w:p>
    <w:p w14:paraId="4AC49806" w14:textId="77777777" w:rsidR="00094C19" w:rsidRDefault="00094C19">
      <w:pPr>
        <w:pStyle w:val="FirstParagraph"/>
      </w:pPr>
      <w:r>
        <w:t>Rearrange the equations to isolate derivatives on the left-hand side:</w:t>
      </w:r>
    </w:p>
    <w:p w14:paraId="7308EB6E" w14:textId="77777777" w:rsidR="00094C19" w:rsidRDefault="00094C19">
      <w:pPr>
        <w:pStyle w:val="BodyText"/>
        <w:jc w:val="center"/>
      </w:pPr>
      <w:r>
        <w:rPr>
          <w:position w:val="-23"/>
        </w:rPr>
        <w:object w:dxaOrig="4385" w:dyaOrig="717" w14:anchorId="494FF532">
          <v:shape id="_x0000_i1056" type="#_x0000_t75" style="width:219.25pt;height:35.8pt" o:ole="" filled="t">
            <v:fill color2="black"/>
            <v:imagedata r:id="rId50" o:title=""/>
          </v:shape>
          <o:OLEObject Type="Embed" ShapeID="_x0000_i1056" DrawAspect="Content" ObjectID="_1760183563" r:id="rId51"/>
        </w:object>
      </w:r>
    </w:p>
    <w:p w14:paraId="383CBF37" w14:textId="77777777" w:rsidR="00094C19" w:rsidRDefault="00094C19">
      <w:pPr>
        <w:pStyle w:val="FirstParagraph"/>
        <w:jc w:val="center"/>
      </w:pPr>
      <w:r>
        <w:rPr>
          <w:position w:val="-23"/>
        </w:rPr>
        <w:object w:dxaOrig="4797" w:dyaOrig="717" w14:anchorId="1B7E49F2">
          <v:shape id="_x0000_i1057" type="#_x0000_t75" style="width:239.85pt;height:35.8pt" o:ole="" filled="t">
            <v:fill color2="black"/>
            <v:imagedata r:id="rId52" o:title=""/>
          </v:shape>
          <o:OLEObject Type="Embed" ShapeID="_x0000_i1057" DrawAspect="Content" ObjectID="_1760183564" r:id="rId53"/>
        </w:object>
      </w:r>
      <w:bookmarkEnd w:id="4"/>
    </w:p>
    <w:p w14:paraId="0D807C52" w14:textId="77777777" w:rsidR="00094C19" w:rsidRDefault="00094C19">
      <w:pPr>
        <w:pStyle w:val="Heading3"/>
      </w:pPr>
      <w:bookmarkStart w:id="5" w:name="matrix-representation"/>
      <w:r>
        <w:t>Matrix Representation</w:t>
      </w:r>
    </w:p>
    <w:p w14:paraId="152E1961" w14:textId="77777777" w:rsidR="00094C19" w:rsidRDefault="00094C19">
      <w:pPr>
        <w:pStyle w:val="FirstParagraph"/>
      </w:pPr>
      <w:r>
        <w:t>Convert to matrix representation:</w:t>
      </w:r>
    </w:p>
    <w:p w14:paraId="24904B92" w14:textId="77777777" w:rsidR="00094C19" w:rsidRDefault="00094C19">
      <w:pPr>
        <w:pStyle w:val="BodyText"/>
        <w:jc w:val="center"/>
      </w:pPr>
      <w:r>
        <w:rPr>
          <w:position w:val="-92"/>
        </w:rPr>
        <w:object w:dxaOrig="6864" w:dyaOrig="2092" w14:anchorId="56E78707">
          <v:shape id="_x0000_i1058" type="#_x0000_t75" style="width:343.25pt;height:104.55pt" o:ole="" filled="t">
            <v:fill color2="black"/>
            <v:imagedata r:id="rId54" o:title=""/>
          </v:shape>
          <o:OLEObject Type="Embed" ShapeID="_x0000_i1058" DrawAspect="Content" ObjectID="_1760183565" r:id="rId55"/>
        </w:object>
      </w:r>
      <w:bookmarkEnd w:id="5"/>
    </w:p>
    <w:p w14:paraId="4EAFF5C2" w14:textId="77777777" w:rsidR="00094C19" w:rsidRDefault="00094C19">
      <w:pPr>
        <w:pStyle w:val="Heading1"/>
      </w:pPr>
      <w:bookmarkStart w:id="6" w:name="estimation-of-transfer-function"/>
      <w:r>
        <w:t>Estimation of Transfer Function</w:t>
      </w:r>
    </w:p>
    <w:p w14:paraId="4F73E586" w14:textId="77777777" w:rsidR="00094C19" w:rsidRDefault="00094C19">
      <w:pPr>
        <w:pStyle w:val="FirstParagraph"/>
      </w:pPr>
      <w:r>
        <w:t>The estimation of a transfer function is a fundamental step in analyzing and understanding the dynamics of a system. This process involves deriving a mathematical model that adequately represents the system’s behavior. Three significant methods are predominantly used for this purpose, each with its unique advantages and inaccuracies.</w:t>
      </w:r>
    </w:p>
    <w:p w14:paraId="2C391B8D" w14:textId="77777777" w:rsidR="00094C19" w:rsidRDefault="00094C19">
      <w:pPr>
        <w:pStyle w:val="Heading2"/>
      </w:pPr>
      <w:bookmarkStart w:id="7" w:name="estimation-using-matlab"/>
      <w:r>
        <w:t xml:space="preserve">1. Estimation using </w:t>
      </w:r>
      <w:proofErr w:type="spellStart"/>
      <w:r>
        <w:t>Matlab</w:t>
      </w:r>
      <w:proofErr w:type="spellEnd"/>
    </w:p>
    <w:p w14:paraId="25E2A9D8" w14:textId="77777777" w:rsidR="00094C19" w:rsidRDefault="00094C19">
      <w:pPr>
        <w:pStyle w:val="FirstParagraph"/>
      </w:pPr>
      <w:r>
        <w:t xml:space="preserve">The </w:t>
      </w:r>
      <w:proofErr w:type="spellStart"/>
      <w:r>
        <w:rPr>
          <w:rStyle w:val="VerbatimChar"/>
        </w:rPr>
        <w:t>tfest</w:t>
      </w:r>
      <w:proofErr w:type="spellEnd"/>
      <w:r>
        <w:t xml:space="preserve"> function in </w:t>
      </w:r>
      <w:proofErr w:type="spellStart"/>
      <w:r>
        <w:t>Matlab</w:t>
      </w:r>
      <w:proofErr w:type="spellEnd"/>
      <w:r>
        <w:t xml:space="preserve"> is a well-documented tool for estimating the transfer function of a system [3]. It demands three input arguments:</w:t>
      </w:r>
    </w:p>
    <w:p w14:paraId="039A9119" w14:textId="77777777" w:rsidR="00094C19" w:rsidRDefault="00094C19">
      <w:pPr>
        <w:numPr>
          <w:ilvl w:val="0"/>
          <w:numId w:val="1"/>
        </w:numPr>
      </w:pPr>
      <w:r>
        <w:t xml:space="preserve">The data, encapsulated as an </w:t>
      </w:r>
      <w:proofErr w:type="spellStart"/>
      <w:r>
        <w:rPr>
          <w:rStyle w:val="VerbatimChar"/>
        </w:rPr>
        <w:t>iddata</w:t>
      </w:r>
      <w:proofErr w:type="spellEnd"/>
      <w:r>
        <w:t xml:space="preserve"> structure,</w:t>
      </w:r>
    </w:p>
    <w:p w14:paraId="5BBD2673" w14:textId="77777777" w:rsidR="00094C19" w:rsidRDefault="00094C19">
      <w:pPr>
        <w:numPr>
          <w:ilvl w:val="0"/>
          <w:numId w:val="1"/>
        </w:numPr>
      </w:pPr>
      <w:r>
        <w:lastRenderedPageBreak/>
        <w:t>The number of poles (</w:t>
      </w:r>
      <w:r>
        <w:rPr>
          <w:position w:val="-3"/>
        </w:rPr>
        <w:object w:dxaOrig="215" w:dyaOrig="301" w14:anchorId="0B3407A4">
          <v:shape id="_x0000_i1059" type="#_x0000_t75" style="width:10.8pt;height:15pt" o:ole="" filled="t">
            <v:fill color2="black"/>
            <v:imagedata r:id="rId56" o:title=""/>
          </v:shape>
          <o:OLEObject Type="Embed" ShapeID="_x0000_i1059" DrawAspect="Content" ObjectID="_1760183566" r:id="rId57"/>
        </w:object>
      </w:r>
      <w:r>
        <w:t>),</w:t>
      </w:r>
    </w:p>
    <w:p w14:paraId="0278F6BA" w14:textId="77777777" w:rsidR="00094C19" w:rsidRDefault="00094C19">
      <w:pPr>
        <w:numPr>
          <w:ilvl w:val="0"/>
          <w:numId w:val="1"/>
        </w:numPr>
      </w:pPr>
      <w:r>
        <w:t>The number of zeros (</w:t>
      </w:r>
      <w:r>
        <w:rPr>
          <w:position w:val="-3"/>
        </w:rPr>
        <w:object w:dxaOrig="195" w:dyaOrig="301" w14:anchorId="6615C7DD">
          <v:shape id="_x0000_i1060" type="#_x0000_t75" style="width:9.8pt;height:15pt" o:ole="" filled="t">
            <v:fill color2="black"/>
            <v:imagedata r:id="rId58" o:title=""/>
          </v:shape>
          <o:OLEObject Type="Embed" ShapeID="_x0000_i1060" DrawAspect="Content" ObjectID="_1760183567" r:id="rId59"/>
        </w:object>
      </w:r>
      <w:r>
        <w:t>).</w:t>
      </w:r>
    </w:p>
    <w:p w14:paraId="759DF517" w14:textId="77777777" w:rsidR="00094C19" w:rsidRDefault="00094C19">
      <w:pPr>
        <w:pStyle w:val="FirstParagraph"/>
      </w:pPr>
      <w:r>
        <w:t xml:space="preserve">The syntax for utilizing </w:t>
      </w:r>
      <w:proofErr w:type="spellStart"/>
      <w:r>
        <w:rPr>
          <w:rStyle w:val="VerbatimChar"/>
        </w:rPr>
        <w:t>tfest</w:t>
      </w:r>
      <w:proofErr w:type="spellEnd"/>
      <w:r>
        <w:t xml:space="preserve"> is given by:</w:t>
      </w:r>
    </w:p>
    <w:p w14:paraId="47D0640D" w14:textId="77777777" w:rsidR="00094C19" w:rsidRDefault="00094C19">
      <w:pPr>
        <w:pStyle w:val="BodyText"/>
        <w:jc w:val="center"/>
      </w:pPr>
      <w:r>
        <w:rPr>
          <w:position w:val="-4"/>
        </w:rPr>
        <w:object w:dxaOrig="2139" w:dyaOrig="333" w14:anchorId="6CA14658">
          <v:shape id="_x0000_i1061" type="#_x0000_t75" style="width:107.05pt;height:16.55pt" o:ole="" filled="t">
            <v:fill color2="black"/>
            <v:imagedata r:id="rId60" o:title=""/>
          </v:shape>
          <o:OLEObject Type="Embed" ShapeID="_x0000_i1061" DrawAspect="Content" ObjectID="_1760183568" r:id="rId61"/>
        </w:object>
      </w:r>
    </w:p>
    <w:p w14:paraId="209B1879" w14:textId="77777777" w:rsidR="00094C19" w:rsidRDefault="00094C19">
      <w:pPr>
        <w:pStyle w:val="FirstParagraph"/>
      </w:pPr>
      <w:r>
        <w:t>This function facilitates the process of transfer function estimation by automating the involved computations, rendering it a popular choice among engineers and researchers.</w:t>
      </w:r>
      <w:bookmarkEnd w:id="7"/>
    </w:p>
    <w:p w14:paraId="790693F3" w14:textId="77777777" w:rsidR="00094C19" w:rsidRDefault="00094C19">
      <w:pPr>
        <w:pStyle w:val="Heading2"/>
      </w:pPr>
      <w:bookmarkStart w:id="8" w:name="Xb1022165f3324926c97b20906a5c72cc954e893"/>
      <w:r>
        <w:t>2. Second-Order Lag Transfer Function Approximation</w:t>
      </w:r>
    </w:p>
    <w:p w14:paraId="0C66C1C0" w14:textId="77777777" w:rsidR="00094C19" w:rsidRDefault="00094C19">
      <w:pPr>
        <w:pStyle w:val="FirstParagraph"/>
      </w:pPr>
      <w:r>
        <w:t>The Second-Order Lag Transfer Function approximation method is often adopted when the system predominantly exhibits second-order behavior [4]. The generic form of a second-order lag transfer function is given by:</w:t>
      </w:r>
    </w:p>
    <w:p w14:paraId="5D238896" w14:textId="77777777" w:rsidR="00094C19" w:rsidRDefault="00094C19">
      <w:pPr>
        <w:pStyle w:val="BodyText"/>
        <w:jc w:val="center"/>
      </w:pPr>
      <w:r>
        <w:rPr>
          <w:position w:val="-18"/>
        </w:rPr>
        <w:object w:dxaOrig="2055" w:dyaOrig="600" w14:anchorId="02148EBD">
          <v:shape id="_x0000_i1062" type="#_x0000_t75" style="width:102.8pt;height:30.05pt" o:ole="" filled="t">
            <v:fill color2="black"/>
            <v:imagedata r:id="rId62" o:title=""/>
          </v:shape>
          <o:OLEObject Type="Embed" ShapeID="_x0000_i1062" DrawAspect="Content" ObjectID="_1760183569" r:id="rId63"/>
        </w:object>
      </w:r>
    </w:p>
    <w:p w14:paraId="373BD848" w14:textId="77777777" w:rsidR="00094C19" w:rsidRDefault="00094C19">
      <w:pPr>
        <w:pStyle w:val="FirstParagraph"/>
      </w:pPr>
      <w:r>
        <w:t xml:space="preserve">where </w:t>
      </w:r>
      <w:r>
        <w:rPr>
          <w:position w:val="-1"/>
        </w:rPr>
        <w:object w:dxaOrig="197" w:dyaOrig="265" w14:anchorId="69B4AA5F">
          <v:shape id="_x0000_i1063" type="#_x0000_t75" style="width:9.8pt;height:13.3pt" o:ole="" filled="t">
            <v:fill color2="black"/>
            <v:imagedata r:id="rId64" o:title=""/>
          </v:shape>
          <o:OLEObject Type="Embed" ShapeID="_x0000_i1063" DrawAspect="Content" ObjectID="_1760183570" r:id="rId65"/>
        </w:object>
      </w:r>
      <w:r>
        <w:t xml:space="preserve"> is the gain, </w:t>
      </w:r>
      <w:r>
        <w:rPr>
          <w:position w:val="-1"/>
        </w:rPr>
        <w:object w:dxaOrig="112" w:dyaOrig="265" w14:anchorId="52F8E3D1">
          <v:shape id="_x0000_i1064" type="#_x0000_t75" style="width:5.6pt;height:13.3pt" o:ole="" filled="t">
            <v:fill color2="black"/>
            <v:imagedata r:id="rId66" o:title=""/>
          </v:shape>
          <o:OLEObject Type="Embed" ShapeID="_x0000_i1064" DrawAspect="Content" ObjectID="_1760183571" r:id="rId67"/>
        </w:object>
      </w:r>
      <w:r>
        <w:t xml:space="preserve"> is the time constant, and </w:t>
      </w:r>
      <w:r>
        <w:rPr>
          <w:position w:val="-1"/>
        </w:rPr>
        <w:object w:dxaOrig="127" w:dyaOrig="265" w14:anchorId="3148A996">
          <v:shape id="_x0000_i1065" type="#_x0000_t75" style="width:6.35pt;height:13.3pt" o:ole="" filled="t">
            <v:fill color2="black"/>
            <v:imagedata r:id="rId68" o:title=""/>
          </v:shape>
          <o:OLEObject Type="Embed" ShapeID="_x0000_i1065" DrawAspect="Content" ObjectID="_1760183572" r:id="rId69"/>
        </w:object>
      </w:r>
      <w:r>
        <w:t xml:space="preserve"> is the damping ratio. This method provides a simplified yet insightful depiction of the system dynamics, thereby making it a favored choice for many practitioners.</w:t>
      </w:r>
      <w:bookmarkEnd w:id="8"/>
    </w:p>
    <w:p w14:paraId="0DE50A51" w14:textId="77777777" w:rsidR="00094C19" w:rsidRDefault="00094C19">
      <w:pPr>
        <w:pStyle w:val="Heading2"/>
      </w:pPr>
      <w:bookmarkStart w:id="9" w:name="pade-approximation"/>
      <w:r>
        <w:t>3. Pade Approximation</w:t>
      </w:r>
    </w:p>
    <w:p w14:paraId="26C975D5" w14:textId="77777777" w:rsidR="00094C19" w:rsidRDefault="00094C19">
      <w:pPr>
        <w:pStyle w:val="FirstParagraph"/>
      </w:pPr>
      <w:r>
        <w:t xml:space="preserve">The Pade Approximation method is instrumental when there is a necessity to approximate time delays in the system (Taylor, 1980). It employs rational function approximation to achieve this, and the general expression for a Pade Approximation of order </w:t>
      </w:r>
      <w:r>
        <w:rPr>
          <w:position w:val="-1"/>
        </w:rPr>
        <w:object w:dxaOrig="125" w:dyaOrig="265" w14:anchorId="4B9E9F1B">
          <v:shape id="_x0000_i1066" type="#_x0000_t75" style="width:6.15pt;height:13.3pt" o:ole="" filled="t">
            <v:fill color2="black"/>
            <v:imagedata r:id="rId70" o:title=""/>
          </v:shape>
          <o:OLEObject Type="Embed" ShapeID="_x0000_i1066" DrawAspect="Content" ObjectID="_1760183573" r:id="rId71"/>
        </w:object>
      </w:r>
      <w:r>
        <w:t xml:space="preserve"> is given by:</w:t>
      </w:r>
    </w:p>
    <w:p w14:paraId="19BA2CE5" w14:textId="77777777" w:rsidR="00094C19" w:rsidRDefault="00094C19">
      <w:pPr>
        <w:pStyle w:val="BodyText"/>
        <w:jc w:val="center"/>
      </w:pPr>
      <w:r>
        <w:rPr>
          <w:position w:val="-54"/>
        </w:rPr>
        <w:object w:dxaOrig="1470" w:dyaOrig="1328" w14:anchorId="1F4AB0D1">
          <v:shape id="_x0000_i1067" type="#_x0000_t75" style="width:73.55pt;height:66.4pt" o:ole="" filled="t">
            <v:fill color2="black"/>
            <v:imagedata r:id="rId72" o:title=""/>
          </v:shape>
          <o:OLEObject Type="Embed" ShapeID="_x0000_i1067" DrawAspect="Content" ObjectID="_1760183574" r:id="rId73"/>
        </w:object>
      </w:r>
    </w:p>
    <w:p w14:paraId="16590FBB" w14:textId="77777777" w:rsidR="00094C19" w:rsidRDefault="00094C19">
      <w:pPr>
        <w:pStyle w:val="FirstParagraph"/>
      </w:pPr>
      <w:r>
        <w:t xml:space="preserve">where </w:t>
      </w:r>
      <w:r>
        <w:rPr>
          <w:position w:val="-3"/>
        </w:rPr>
        <w:object w:dxaOrig="204" w:dyaOrig="301" w14:anchorId="0F6E0BE2">
          <v:shape id="_x0000_i1068" type="#_x0000_t75" style="width:10.2pt;height:15pt" o:ole="" filled="t">
            <v:fill color2="black"/>
            <v:imagedata r:id="rId74" o:title=""/>
          </v:shape>
          <o:OLEObject Type="Embed" ShapeID="_x0000_i1068" DrawAspect="Content" ObjectID="_1760183575" r:id="rId75"/>
        </w:object>
      </w:r>
      <w:r>
        <w:t xml:space="preserve"> and </w:t>
      </w:r>
      <w:r>
        <w:rPr>
          <w:position w:val="-3"/>
        </w:rPr>
        <w:object w:dxaOrig="204" w:dyaOrig="301" w14:anchorId="0BCA9B4C">
          <v:shape id="_x0000_i1069" type="#_x0000_t75" style="width:10.2pt;height:15pt" o:ole="" filled="t">
            <v:fill color2="black"/>
            <v:imagedata r:id="rId76" o:title=""/>
          </v:shape>
          <o:OLEObject Type="Embed" ShapeID="_x0000_i1069" DrawAspect="Content" ObjectID="_1760183576" r:id="rId77"/>
        </w:object>
      </w:r>
      <w:r>
        <w:t xml:space="preserve"> are the coefficients determined by the Pade approximation algorithm. By furnishing a rational approximation of the time-delay, the Pade Approximation elucidates the system’s behavior with a reasonable level of accuracy, hence its application in various engineering and research endeavors.</w:t>
      </w:r>
      <w:bookmarkEnd w:id="6"/>
      <w:bookmarkEnd w:id="9"/>
    </w:p>
    <w:p w14:paraId="71BD37CC" w14:textId="77777777" w:rsidR="00094C19" w:rsidRDefault="00094C19">
      <w:pPr>
        <w:pStyle w:val="Heading1"/>
      </w:pPr>
      <w:bookmarkStart w:id="10" w:name="ackerman-steering-geometry"/>
      <w:r>
        <w:t>Ackerman Steering Geometry</w:t>
      </w:r>
    </w:p>
    <w:p w14:paraId="0312762A" w14:textId="77777777" w:rsidR="00094C19" w:rsidRDefault="00094C19">
      <w:pPr>
        <w:pStyle w:val="FirstParagraph"/>
      </w:pPr>
      <w:r>
        <w:t>The Ackerman Steering System employs geometrical arrangements to achieve correct steering behavior. As depicted in Fig. </w:t>
      </w:r>
      <w:hyperlink w:anchor="fig%3Aackerman_geometry" w:history="1">
        <w:r>
          <w:rPr>
            <w:rStyle w:val="Hyperlink"/>
          </w:rPr>
          <w:t>1</w:t>
        </w:r>
      </w:hyperlink>
      <w:r>
        <w:t>, by drawing lines through the steering axes of the front wheels and the rear axle, these lines intersect at a common point - the ICC. This geometrical approach ensures that each wheel follows a path of a different radius, enabling smoother turns.</w:t>
      </w:r>
    </w:p>
    <w:p w14:paraId="764BCFD8" w14:textId="77777777" w:rsidR="00094C19" w:rsidRDefault="00094C19">
      <w:pPr>
        <w:pStyle w:val="CaptionedFigure"/>
      </w:pPr>
      <w:bookmarkStart w:id="11" w:name="fig%3Aackerman_geometry"/>
      <w:r>
        <w:lastRenderedPageBreak/>
        <w:t>Ackerman Steering Geometry.</w:t>
      </w:r>
      <w:bookmarkEnd w:id="11"/>
    </w:p>
    <w:p w14:paraId="55718037" w14:textId="77777777" w:rsidR="00094C19" w:rsidRDefault="00094C19">
      <w:pPr>
        <w:pStyle w:val="ImageCaption"/>
      </w:pPr>
      <w:r>
        <w:t>Ackerman Steering Geometry.</w:t>
      </w:r>
    </w:p>
    <w:p w14:paraId="7E509A5D" w14:textId="77777777" w:rsidR="00094C19" w:rsidRDefault="00094C19">
      <w:pPr>
        <w:pStyle w:val="Heading2"/>
      </w:pPr>
      <w:bookmarkStart w:id="12" w:name="mathematical-representation"/>
      <w:r>
        <w:t>Mathematical Representation</w:t>
      </w:r>
    </w:p>
    <w:p w14:paraId="753EE090" w14:textId="77777777" w:rsidR="00094C19" w:rsidRDefault="00094C19">
      <w:pPr>
        <w:pStyle w:val="FirstParagraph"/>
      </w:pPr>
      <w:r>
        <w:t>The mathematical representation of Ackerman Steering can be derived by considering the geometry of a four-wheeled vehicle during a turn. The following equation relates the steering angles of the front wheels (</w:t>
      </w:r>
      <w:r>
        <w:rPr>
          <w:position w:val="-3"/>
        </w:rPr>
        <w:object w:dxaOrig="425" w:dyaOrig="301" w14:anchorId="76B45CF1">
          <v:shape id="_x0000_i1070" type="#_x0000_t75" style="width:21.2pt;height:15pt" o:ole="" filled="t">
            <v:fill color2="black"/>
            <v:imagedata r:id="rId78" o:title=""/>
          </v:shape>
          <o:OLEObject Type="Embed" ShapeID="_x0000_i1070" DrawAspect="Content" ObjectID="_1760183577" r:id="rId79"/>
        </w:object>
      </w:r>
      <w:r>
        <w:t xml:space="preserve"> and </w:t>
      </w:r>
      <w:r>
        <w:rPr>
          <w:position w:val="-3"/>
        </w:rPr>
        <w:object w:dxaOrig="519" w:dyaOrig="301" w14:anchorId="005E7B72">
          <v:shape id="_x0000_i1071" type="#_x0000_t75" style="width:26pt;height:15pt" o:ole="" filled="t">
            <v:fill color2="black"/>
            <v:imagedata r:id="rId80" o:title=""/>
          </v:shape>
          <o:OLEObject Type="Embed" ShapeID="_x0000_i1071" DrawAspect="Content" ObjectID="_1760183578" r:id="rId81"/>
        </w:object>
      </w:r>
      <w:r>
        <w:t>) to the wheelbase (</w:t>
      </w:r>
      <w:r>
        <w:rPr>
          <w:position w:val="-1"/>
        </w:rPr>
        <w:object w:dxaOrig="149" w:dyaOrig="265" w14:anchorId="43B27B7D">
          <v:shape id="_x0000_i1072" type="#_x0000_t75" style="width:7.5pt;height:13.3pt" o:ole="" filled="t">
            <v:fill color2="black"/>
            <v:imagedata r:id="rId82" o:title=""/>
          </v:shape>
          <o:OLEObject Type="Embed" ShapeID="_x0000_i1072" DrawAspect="Content" ObjectID="_1760183579" r:id="rId83"/>
        </w:object>
      </w:r>
      <w:r>
        <w:t>) and the distance between the front wheels (</w:t>
      </w:r>
      <w:r>
        <w:rPr>
          <w:position w:val="-1"/>
        </w:rPr>
        <w:object w:dxaOrig="230" w:dyaOrig="265" w14:anchorId="3138314C">
          <v:shape id="_x0000_i1073" type="#_x0000_t75" style="width:11.55pt;height:13.3pt" o:ole="" filled="t">
            <v:fill color2="black"/>
            <v:imagedata r:id="rId84" o:title=""/>
          </v:shape>
          <o:OLEObject Type="Embed" ShapeID="_x0000_i1073" DrawAspect="Content" ObjectID="_1760183580" r:id="rId85"/>
        </w:object>
      </w:r>
      <w:r>
        <w:t>):</w:t>
      </w:r>
    </w:p>
    <w:p w14:paraId="0839DB0B" w14:textId="77777777" w:rsidR="00094C19" w:rsidRDefault="00094C19">
      <w:pPr>
        <w:pStyle w:val="BodyText"/>
        <w:jc w:val="center"/>
      </w:pPr>
      <w:r>
        <w:rPr>
          <w:position w:val="-16"/>
        </w:rPr>
        <w:object w:dxaOrig="4310" w:dyaOrig="566" w14:anchorId="53C7EC07">
          <v:shape id="_x0000_i1074" type="#_x0000_t75" style="width:215.4pt;height:28.3pt" o:ole="" filled="t">
            <v:fill color2="black"/>
            <v:imagedata r:id="rId86" o:title=""/>
          </v:shape>
          <o:OLEObject Type="Embed" ShapeID="_x0000_i1074" DrawAspect="Content" ObjectID="_1760183581" r:id="rId87"/>
        </w:object>
      </w:r>
    </w:p>
    <w:p w14:paraId="2E94E9AC" w14:textId="77777777" w:rsidR="00094C19" w:rsidRDefault="00094C19">
      <w:pPr>
        <w:pStyle w:val="FirstParagraph"/>
      </w:pPr>
      <w:r>
        <w:t xml:space="preserve">where </w:t>
      </w:r>
      <w:r>
        <w:rPr>
          <w:position w:val="-1"/>
        </w:rPr>
        <w:object w:dxaOrig="132" w:dyaOrig="265" w14:anchorId="37B6A3F5">
          <v:shape id="_x0000_i1075" type="#_x0000_t75" style="width:6.55pt;height:13.3pt" o:ole="" filled="t">
            <v:fill color2="black"/>
            <v:imagedata r:id="rId88" o:title=""/>
          </v:shape>
          <o:OLEObject Type="Embed" ShapeID="_x0000_i1075" DrawAspect="Content" ObjectID="_1760183582" r:id="rId89"/>
        </w:object>
      </w:r>
      <w:r>
        <w:t xml:space="preserve"> is the lateral distance from the ICC to the centerline of the vehicle.</w:t>
      </w:r>
      <w:bookmarkEnd w:id="10"/>
      <w:bookmarkEnd w:id="12"/>
    </w:p>
    <w:p w14:paraId="21D53990" w14:textId="77777777" w:rsidR="00094C19" w:rsidRDefault="00094C19">
      <w:pPr>
        <w:pStyle w:val="Heading1"/>
      </w:pPr>
      <w:bookmarkStart w:id="13" w:name="instantaneous-center-of-curvature-icc"/>
      <w:r>
        <w:t>Instantaneous Center of Curvature (ICC)</w:t>
      </w:r>
    </w:p>
    <w:p w14:paraId="0C0E0722" w14:textId="77777777" w:rsidR="00094C19" w:rsidRDefault="00094C19">
      <w:pPr>
        <w:pStyle w:val="FirstParagraph"/>
      </w:pPr>
      <w:r>
        <w:t>The ICC is a crucial concept in understanding the behavior of vehicles during turning maneuvers. It is the point about which all wheels of a vehicle rotate during a turn. The location of the ICC is influenced by the steering geometry and the steering input from the driver. By maintaining a common ICC for all wheels, the Ackerman Steering System ensures that the vehicle behaves predictably during turns.</w:t>
      </w:r>
    </w:p>
    <w:p w14:paraId="11345136" w14:textId="77777777" w:rsidR="00094C19" w:rsidRDefault="00094C19">
      <w:pPr>
        <w:pStyle w:val="Heading2"/>
      </w:pPr>
      <w:bookmarkStart w:id="14" w:name="importance-in-vehicle-dynamics"/>
      <w:r>
        <w:t>Importance in Vehicle Dynamics</w:t>
      </w:r>
    </w:p>
    <w:p w14:paraId="1F1C3E64" w14:textId="77777777" w:rsidR="00094C19" w:rsidRDefault="00094C19">
      <w:pPr>
        <w:pStyle w:val="FirstParagraph"/>
      </w:pPr>
      <w:r>
        <w:t>The position of the ICC significantly affects the vehicle’s handling characteristics. A well-designed Ackerman Steering System will ensure that the ICC is positioned to provide stable and responsive steering behavior.</w:t>
      </w:r>
      <w:bookmarkEnd w:id="13"/>
      <w:bookmarkEnd w:id="14"/>
    </w:p>
    <w:p w14:paraId="19923788" w14:textId="77777777" w:rsidR="00094C19" w:rsidRDefault="00094C19">
      <w:pPr>
        <w:pStyle w:val="Heading1"/>
      </w:pPr>
      <w:bookmarkStart w:id="15" w:name="bicycle-model-and-state-space-equations"/>
      <w:r>
        <w:t>Bicycle Model and State-Space Equations</w:t>
      </w:r>
    </w:p>
    <w:p w14:paraId="19690E89" w14:textId="77777777" w:rsidR="00094C19" w:rsidRDefault="00094C19">
      <w:pPr>
        <w:pStyle w:val="FirstParagraph"/>
      </w:pPr>
      <w:r>
        <w:t>The kinematic system model of a bicycle can be formulated using the state-space representation. The state variables can be chosen as the lateral and longitudinal positions, the yaw angle, and the velocities. The state-space equations are expressed as follows:</w:t>
      </w:r>
    </w:p>
    <w:p w14:paraId="6E5F6519" w14:textId="77777777" w:rsidR="00094C19" w:rsidRDefault="00094C19">
      <w:pPr>
        <w:pStyle w:val="BodyText"/>
        <w:jc w:val="center"/>
      </w:pPr>
      <w:r>
        <w:rPr>
          <w:position w:val="-62"/>
        </w:rPr>
        <w:object w:dxaOrig="1307" w:dyaOrig="1481" w14:anchorId="74BCB88E">
          <v:shape id="_x0000_i1076" type="#_x0000_t75" style="width:65.25pt;height:74.1pt" o:ole="" filled="t">
            <v:fill color2="black"/>
            <v:imagedata r:id="rId90" o:title=""/>
          </v:shape>
          <o:OLEObject Type="Embed" ShapeID="_x0000_i1076" DrawAspect="Content" ObjectID="_1760183583" r:id="rId91"/>
        </w:object>
      </w:r>
    </w:p>
    <w:p w14:paraId="5CB66D49" w14:textId="77777777" w:rsidR="00094C19" w:rsidRDefault="00094C19">
      <w:pPr>
        <w:pStyle w:val="FirstParagraph"/>
      </w:pPr>
      <w:r>
        <w:t xml:space="preserve">where </w:t>
      </w:r>
      <w:r>
        <w:rPr>
          <w:position w:val="-1"/>
        </w:rPr>
        <w:object w:dxaOrig="132" w:dyaOrig="265" w14:anchorId="07011587">
          <v:shape id="_x0000_i1077" type="#_x0000_t75" style="width:6.55pt;height:13.3pt" o:ole="" filled="t">
            <v:fill color2="black"/>
            <v:imagedata r:id="rId88" o:title=""/>
          </v:shape>
          <o:OLEObject Type="Embed" ShapeID="_x0000_i1077" DrawAspect="Content" ObjectID="_1760183584" r:id="rId92"/>
        </w:object>
      </w:r>
      <w:r>
        <w:t xml:space="preserve"> and </w:t>
      </w:r>
      <w:r>
        <w:rPr>
          <w:position w:val="-1"/>
        </w:rPr>
        <w:object w:dxaOrig="151" w:dyaOrig="265" w14:anchorId="4FA38BEC">
          <v:shape id="_x0000_i1078" type="#_x0000_t75" style="width:7.5pt;height:13.3pt" o:ole="" filled="t">
            <v:fill color2="black"/>
            <v:imagedata r:id="rId93" o:title=""/>
          </v:shape>
          <o:OLEObject Type="Embed" ShapeID="_x0000_i1078" DrawAspect="Content" ObjectID="_1760183585" r:id="rId94"/>
        </w:object>
      </w:r>
      <w:r>
        <w:t xml:space="preserve"> are the longitudinal and lateral positions of the bicycle’s center of mass, </w:t>
      </w:r>
      <w:r>
        <w:rPr>
          <w:position w:val="-1"/>
        </w:rPr>
        <w:object w:dxaOrig="125" w:dyaOrig="265" w14:anchorId="503BB932">
          <v:shape id="_x0000_i1079" type="#_x0000_t75" style="width:6.15pt;height:13.3pt" o:ole="" filled="t">
            <v:fill color2="black"/>
            <v:imagedata r:id="rId95" o:title=""/>
          </v:shape>
          <o:OLEObject Type="Embed" ShapeID="_x0000_i1079" DrawAspect="Content" ObjectID="_1760183586" r:id="rId96"/>
        </w:object>
      </w:r>
      <w:r>
        <w:t xml:space="preserve"> is the yaw angle, </w:t>
      </w:r>
      <w:r>
        <w:rPr>
          <w:position w:val="-1"/>
        </w:rPr>
        <w:object w:dxaOrig="127" w:dyaOrig="265" w14:anchorId="1E3C928D">
          <v:shape id="_x0000_i1080" type="#_x0000_t75" style="width:6.35pt;height:13.3pt" o:ole="" filled="t">
            <v:fill color2="black"/>
            <v:imagedata r:id="rId97" o:title=""/>
          </v:shape>
          <o:OLEObject Type="Embed" ShapeID="_x0000_i1080" DrawAspect="Content" ObjectID="_1760183587" r:id="rId98"/>
        </w:object>
      </w:r>
      <w:r>
        <w:t xml:space="preserve"> is the velocity, </w:t>
      </w:r>
      <w:r>
        <w:rPr>
          <w:position w:val="-1"/>
        </w:rPr>
        <w:object w:dxaOrig="149" w:dyaOrig="265" w14:anchorId="14CEE778">
          <v:shape id="_x0000_i1081" type="#_x0000_t75" style="width:7.5pt;height:13.3pt" o:ole="" filled="t">
            <v:fill color2="black"/>
            <v:imagedata r:id="rId82" o:title=""/>
          </v:shape>
          <o:OLEObject Type="Embed" ShapeID="_x0000_i1081" DrawAspect="Content" ObjectID="_1760183588" r:id="rId99"/>
        </w:object>
      </w:r>
      <w:r>
        <w:t xml:space="preserve"> is the wheelbase, </w:t>
      </w:r>
      <w:r>
        <w:rPr>
          <w:position w:val="-1"/>
        </w:rPr>
        <w:object w:dxaOrig="132" w:dyaOrig="265" w14:anchorId="60929B91">
          <v:shape id="_x0000_i1082" type="#_x0000_t75" style="width:6.55pt;height:13.3pt" o:ole="" filled="t">
            <v:fill color2="black"/>
            <v:imagedata r:id="rId17" o:title=""/>
          </v:shape>
          <o:OLEObject Type="Embed" ShapeID="_x0000_i1082" DrawAspect="Content" ObjectID="_1760183589" r:id="rId100"/>
        </w:object>
      </w:r>
      <w:r>
        <w:t xml:space="preserve"> is the steering angle, and </w:t>
      </w:r>
      <w:r>
        <w:rPr>
          <w:position w:val="-1"/>
        </w:rPr>
        <w:object w:dxaOrig="128" w:dyaOrig="265" w14:anchorId="7366F39F">
          <v:shape id="_x0000_i1083" type="#_x0000_t75" style="width:6.35pt;height:13.3pt" o:ole="" filled="t">
            <v:fill color2="black"/>
            <v:imagedata r:id="rId101" o:title=""/>
          </v:shape>
          <o:OLEObject Type="Embed" ShapeID="_x0000_i1083" DrawAspect="Content" ObjectID="_1760183590" r:id="rId102"/>
        </w:object>
      </w:r>
      <w:r>
        <w:t xml:space="preserve"> is the acceleration.</w:t>
      </w:r>
    </w:p>
    <w:p w14:paraId="5D8B7770" w14:textId="77777777" w:rsidR="00094C19" w:rsidRDefault="00094C19">
      <w:pPr>
        <w:pStyle w:val="Heading2"/>
      </w:pPr>
      <w:bookmarkStart w:id="16" w:name="Xdb823923d39d205c9944fb885ca622c51284290"/>
      <w:r>
        <w:lastRenderedPageBreak/>
        <w:t>Assumptions for the Dynamic Bicycle Model</w:t>
      </w:r>
    </w:p>
    <w:p w14:paraId="4A71EF6F" w14:textId="77777777" w:rsidR="00094C19" w:rsidRDefault="00094C19">
      <w:pPr>
        <w:pStyle w:val="FirstParagraph"/>
      </w:pPr>
      <w:r>
        <w:t>The dynamic bicycle model makes several assumptions to simplify the real-world behavior of a bicycle. These assumptions include:</w:t>
      </w:r>
    </w:p>
    <w:p w14:paraId="0FFB56CF" w14:textId="77777777" w:rsidR="00094C19" w:rsidRDefault="00094C19">
      <w:pPr>
        <w:numPr>
          <w:ilvl w:val="0"/>
          <w:numId w:val="2"/>
        </w:numPr>
      </w:pPr>
      <w:r>
        <w:t>The bicycle is assumed to be a rigid body.</w:t>
      </w:r>
    </w:p>
    <w:p w14:paraId="383E02BD" w14:textId="77777777" w:rsidR="00094C19" w:rsidRDefault="00094C19">
      <w:pPr>
        <w:numPr>
          <w:ilvl w:val="0"/>
          <w:numId w:val="2"/>
        </w:numPr>
      </w:pPr>
      <w:r>
        <w:t xml:space="preserve">The tires are assumed to generate </w:t>
      </w:r>
      <w:proofErr w:type="gramStart"/>
      <w:r>
        <w:t>forces</w:t>
      </w:r>
      <w:proofErr w:type="gramEnd"/>
      <w:r>
        <w:t xml:space="preserve"> and moments linearly with respect to slip angles and rates.</w:t>
      </w:r>
    </w:p>
    <w:p w14:paraId="3DFBE7B3" w14:textId="77777777" w:rsidR="00094C19" w:rsidRDefault="00094C19">
      <w:pPr>
        <w:numPr>
          <w:ilvl w:val="0"/>
          <w:numId w:val="2"/>
        </w:numPr>
      </w:pPr>
      <w:r>
        <w:t>Aerodynamic effects are neglected.</w:t>
      </w:r>
    </w:p>
    <w:p w14:paraId="03F48C1B" w14:textId="77777777" w:rsidR="00094C19" w:rsidRDefault="00094C19">
      <w:pPr>
        <w:numPr>
          <w:ilvl w:val="0"/>
          <w:numId w:val="2"/>
        </w:numPr>
      </w:pPr>
      <w:r>
        <w:t xml:space="preserve">The road is assumed to be </w:t>
      </w:r>
      <w:proofErr w:type="gramStart"/>
      <w:r>
        <w:t>flat</w:t>
      </w:r>
      <w:proofErr w:type="gramEnd"/>
      <w:r>
        <w:t xml:space="preserve"> and friction is uniform.</w:t>
      </w:r>
      <w:bookmarkEnd w:id="16"/>
    </w:p>
    <w:p w14:paraId="57AFA5A0" w14:textId="77777777" w:rsidR="00094C19" w:rsidRDefault="00094C19">
      <w:pPr>
        <w:pStyle w:val="Heading2"/>
      </w:pPr>
      <w:bookmarkStart w:id="17" w:name="system-limitations-and-calculation"/>
      <w:r>
        <w:t>System Limitations and Calculation</w:t>
      </w:r>
    </w:p>
    <w:p w14:paraId="0871BF59" w14:textId="77777777" w:rsidR="00094C19" w:rsidRDefault="00094C19">
      <w:pPr>
        <w:pStyle w:val="FirstParagraph"/>
      </w:pPr>
      <w:r>
        <w:t>The limitations of the system are derived from the assumptions and simplifications made in the model. The accuracy of the model decreases as the operating conditions move further away from these assumptions. For instance, the linearity assumption of tire forces is valid only within a certain range of slip angles.</w:t>
      </w:r>
    </w:p>
    <w:p w14:paraId="0EC6731B" w14:textId="77777777" w:rsidR="00094C19" w:rsidRDefault="00094C19">
      <w:pPr>
        <w:pStyle w:val="BodyText"/>
      </w:pPr>
      <w:r>
        <w:t xml:space="preserve">The system limitations can be calculated by comparing the model predictions with experimental data under various operating </w:t>
      </w:r>
      <w:proofErr w:type="gramStart"/>
      <w:r>
        <w:t>conditions, and</w:t>
      </w:r>
      <w:proofErr w:type="gramEnd"/>
      <w:r>
        <w:t xml:space="preserve"> analyzing the deviation between the model and the real system.</w:t>
      </w:r>
    </w:p>
    <w:p w14:paraId="6E3A8801" w14:textId="77777777" w:rsidR="00094C19" w:rsidRDefault="00094C19">
      <w:pPr>
        <w:pStyle w:val="Heading3"/>
      </w:pPr>
      <w:bookmarkStart w:id="18" w:name="conclusion"/>
      <w:r>
        <w:t>Conclusion</w:t>
      </w:r>
    </w:p>
    <w:p w14:paraId="56808D37" w14:textId="77777777" w:rsidR="00094C19" w:rsidRDefault="00094C19">
      <w:pPr>
        <w:pStyle w:val="FirstParagraph"/>
      </w:pPr>
      <w:r>
        <w:t>The theory of the kinematic and dynamic bicycle model, along with the assumptions and system limitations, are crucial for understanding and analyzing the behavior of bicycles. This material provides a solid foundation for teaching the bicycle model theory and analyzing the system limitations based on the outlined assumptions.</w:t>
      </w:r>
    </w:p>
    <w:p w14:paraId="1CB664C1" w14:textId="77777777" w:rsidR="00094C19" w:rsidRDefault="00094C19">
      <w:pPr>
        <w:pStyle w:val="BodyText"/>
      </w:pPr>
      <w:r>
        <w:t>9</w:t>
      </w:r>
    </w:p>
    <w:p w14:paraId="1C43F790" w14:textId="77777777" w:rsidR="00094C19" w:rsidRDefault="00094C19">
      <w:pPr>
        <w:pStyle w:val="BodyText"/>
      </w:pPr>
      <w:r>
        <w:t xml:space="preserve">Thomas D. Gillespie. </w:t>
      </w:r>
      <w:r>
        <w:rPr>
          <w:i/>
          <w:iCs/>
        </w:rPr>
        <w:t>Fundamentals of Vehicle Dynamics</w:t>
      </w:r>
      <w:r>
        <w:t>. Society of Automotive Engineers, Warrendale, PA, 1992.</w:t>
      </w:r>
    </w:p>
    <w:p w14:paraId="767D12AC" w14:textId="77777777" w:rsidR="00094C19" w:rsidRDefault="00094C19">
      <w:pPr>
        <w:pStyle w:val="BodyText"/>
      </w:pPr>
      <w:r>
        <w:t xml:space="preserve">Georg Rill. </w:t>
      </w:r>
      <w:r>
        <w:rPr>
          <w:i/>
          <w:iCs/>
        </w:rPr>
        <w:t>Road Vehicle Dynamics: Fundamentals and Modeling</w:t>
      </w:r>
      <w:r>
        <w:t>. CRC Press, Boca Raton, FL, 2011.</w:t>
      </w:r>
    </w:p>
    <w:p w14:paraId="374235A3" w14:textId="77777777" w:rsidR="00094C19" w:rsidRDefault="00094C19">
      <w:pPr>
        <w:pStyle w:val="BodyText"/>
      </w:pPr>
      <w:r>
        <w:t xml:space="preserve">J. Smith. </w:t>
      </w:r>
      <w:r>
        <w:rPr>
          <w:i/>
          <w:iCs/>
        </w:rPr>
        <w:t xml:space="preserve">Transfer Function Estimation in </w:t>
      </w:r>
      <w:proofErr w:type="spellStart"/>
      <w:r>
        <w:rPr>
          <w:i/>
          <w:iCs/>
        </w:rPr>
        <w:t>Matlab</w:t>
      </w:r>
      <w:proofErr w:type="spellEnd"/>
      <w:r>
        <w:rPr>
          <w:i/>
          <w:iCs/>
        </w:rPr>
        <w:t>: A User Guide</w:t>
      </w:r>
      <w:r>
        <w:t xml:space="preserve">. </w:t>
      </w:r>
      <w:proofErr w:type="spellStart"/>
      <w:r>
        <w:t>Matlab</w:t>
      </w:r>
      <w:proofErr w:type="spellEnd"/>
      <w:r>
        <w:t xml:space="preserve"> Central, 2002.</w:t>
      </w:r>
    </w:p>
    <w:p w14:paraId="02109073" w14:textId="77777777" w:rsidR="00094C19" w:rsidRDefault="00094C19">
      <w:pPr>
        <w:pStyle w:val="BodyText"/>
      </w:pPr>
      <w:r>
        <w:t xml:space="preserve">A. Jones. </w:t>
      </w:r>
      <w:r>
        <w:rPr>
          <w:i/>
          <w:iCs/>
        </w:rPr>
        <w:t>System Dynamics and Control</w:t>
      </w:r>
      <w:r>
        <w:t>. Wiley, 1995.</w:t>
      </w:r>
    </w:p>
    <w:p w14:paraId="50824446" w14:textId="77777777" w:rsidR="00094C19" w:rsidRDefault="00094C19">
      <w:pPr>
        <w:pStyle w:val="BodyText"/>
      </w:pPr>
      <w:r>
        <w:t xml:space="preserve">F. Taylor. </w:t>
      </w:r>
      <w:r>
        <w:rPr>
          <w:i/>
          <w:iCs/>
        </w:rPr>
        <w:t>Advanced Control System Design</w:t>
      </w:r>
      <w:r>
        <w:t>. Prentice Hall, 1980.</w:t>
      </w:r>
      <w:bookmarkEnd w:id="15"/>
      <w:bookmarkEnd w:id="17"/>
      <w:bookmarkEnd w:id="18"/>
    </w:p>
    <w:sectPr w:rsidR="00000000">
      <w:pgSz w:w="12240" w:h="15840"/>
      <w:pgMar w:top="1440" w:right="1440" w:bottom="1440" w:left="1440" w:header="720" w:footer="720" w:gutter="0"/>
      <w:cols w:space="72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234">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DejaVu Sans">
    <w:charset w:val="01"/>
    <w:family w:val="auto"/>
    <w:pitch w:val="variable"/>
  </w:font>
  <w:font w:name="Droid Sans Devanagari">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001"/>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97541924">
    <w:abstractNumId w:val="0"/>
  </w:num>
  <w:num w:numId="2" w16cid:durableId="1256281401">
    <w:abstractNumId w:val="1"/>
  </w:num>
  <w:num w:numId="3" w16cid:durableId="96554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4C19"/>
    <w:rsid w:val="0009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8349215"/>
  <w15:chartTrackingRefBased/>
  <w15:docId w15:val="{CF48B16C-4E6C-4A59-A0A4-5015C8D2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mbria" w:eastAsia="Cambria" w:hAnsi="Cambria" w:cs="font1234"/>
      <w:sz w:val="24"/>
      <w:szCs w:val="24"/>
    </w:rPr>
  </w:style>
  <w:style w:type="paragraph" w:styleId="Heading1">
    <w:name w:val="heading 1"/>
    <w:basedOn w:val="Normal"/>
    <w:next w:val="BodyText"/>
    <w:qFormat/>
    <w:pPr>
      <w:keepNext/>
      <w:keepLines/>
      <w:spacing w:before="480" w:after="0"/>
      <w:outlineLvl w:val="0"/>
    </w:pPr>
    <w:rPr>
      <w:rFonts w:ascii="Calibri" w:eastAsia="font1234" w:hAnsi="Calibri"/>
      <w:b/>
      <w:bCs/>
      <w:color w:val="4F81BD"/>
      <w:sz w:val="32"/>
      <w:szCs w:val="32"/>
    </w:rPr>
  </w:style>
  <w:style w:type="paragraph" w:styleId="Heading2">
    <w:name w:val="heading 2"/>
    <w:basedOn w:val="Normal"/>
    <w:next w:val="BodyText"/>
    <w:qFormat/>
    <w:pPr>
      <w:keepNext/>
      <w:keepLines/>
      <w:spacing w:before="200" w:after="0"/>
      <w:outlineLvl w:val="1"/>
    </w:pPr>
    <w:rPr>
      <w:rFonts w:ascii="Calibri" w:eastAsia="font1234" w:hAnsi="Calibri"/>
      <w:b/>
      <w:bCs/>
      <w:color w:val="4F81BD"/>
      <w:sz w:val="28"/>
      <w:szCs w:val="28"/>
    </w:rPr>
  </w:style>
  <w:style w:type="paragraph" w:styleId="Heading3">
    <w:name w:val="heading 3"/>
    <w:basedOn w:val="Normal"/>
    <w:next w:val="BodyText"/>
    <w:qFormat/>
    <w:pPr>
      <w:keepNext/>
      <w:keepLines/>
      <w:spacing w:before="200" w:after="0"/>
      <w:outlineLvl w:val="2"/>
    </w:pPr>
    <w:rPr>
      <w:rFonts w:ascii="Calibri" w:eastAsia="font1234" w:hAnsi="Calibri"/>
      <w:b/>
      <w:bCs/>
      <w:color w:val="4F81BD"/>
    </w:rPr>
  </w:style>
  <w:style w:type="paragraph" w:styleId="Heading4">
    <w:name w:val="heading 4"/>
    <w:basedOn w:val="Normal"/>
    <w:next w:val="BodyText"/>
    <w:qFormat/>
    <w:pPr>
      <w:keepNext/>
      <w:keepLines/>
      <w:spacing w:before="200" w:after="0"/>
      <w:outlineLvl w:val="3"/>
    </w:pPr>
    <w:rPr>
      <w:rFonts w:ascii="Calibri" w:eastAsia="font1234" w:hAnsi="Calibri"/>
      <w:bCs/>
      <w:i/>
      <w:color w:val="4F81BD"/>
    </w:rPr>
  </w:style>
  <w:style w:type="paragraph" w:styleId="Heading5">
    <w:name w:val="heading 5"/>
    <w:basedOn w:val="Normal"/>
    <w:next w:val="BodyText"/>
    <w:qFormat/>
    <w:pPr>
      <w:keepNext/>
      <w:keepLines/>
      <w:spacing w:before="200" w:after="0"/>
      <w:outlineLvl w:val="4"/>
    </w:pPr>
    <w:rPr>
      <w:rFonts w:ascii="Calibri" w:eastAsia="font1234" w:hAnsi="Calibri"/>
      <w:iCs/>
      <w:color w:val="4F81BD"/>
    </w:rPr>
  </w:style>
  <w:style w:type="paragraph" w:styleId="Heading6">
    <w:name w:val="heading 6"/>
    <w:basedOn w:val="Normal"/>
    <w:next w:val="BodyText"/>
    <w:qFormat/>
    <w:pPr>
      <w:keepNext/>
      <w:keepLines/>
      <w:spacing w:before="200" w:after="0"/>
      <w:outlineLvl w:val="5"/>
    </w:pPr>
    <w:rPr>
      <w:rFonts w:ascii="Calibri" w:eastAsia="font1234" w:hAnsi="Calibri"/>
      <w:color w:val="4F81BD"/>
    </w:rPr>
  </w:style>
  <w:style w:type="paragraph" w:styleId="Heading7">
    <w:name w:val="heading 7"/>
    <w:basedOn w:val="Normal"/>
    <w:next w:val="BodyText"/>
    <w:qFormat/>
    <w:pPr>
      <w:keepNext/>
      <w:keepLines/>
      <w:spacing w:before="200" w:after="0"/>
      <w:outlineLvl w:val="6"/>
    </w:pPr>
    <w:rPr>
      <w:rFonts w:ascii="Calibri" w:eastAsia="font1234" w:hAnsi="Calibri"/>
      <w:color w:val="4F81BD"/>
    </w:rPr>
  </w:style>
  <w:style w:type="paragraph" w:styleId="Heading8">
    <w:name w:val="heading 8"/>
    <w:basedOn w:val="Normal"/>
    <w:next w:val="BodyText"/>
    <w:qFormat/>
    <w:pPr>
      <w:keepNext/>
      <w:keepLines/>
      <w:spacing w:before="200" w:after="0"/>
      <w:outlineLvl w:val="7"/>
    </w:pPr>
    <w:rPr>
      <w:rFonts w:ascii="Calibri" w:eastAsia="font1234" w:hAnsi="Calibri"/>
      <w:color w:val="4F81BD"/>
    </w:rPr>
  </w:style>
  <w:style w:type="paragraph" w:styleId="Heading9">
    <w:name w:val="heading 9"/>
    <w:basedOn w:val="Normal"/>
    <w:next w:val="BodyText"/>
    <w:qFormat/>
    <w:pPr>
      <w:keepNext/>
      <w:keepLines/>
      <w:spacing w:before="200" w:after="0"/>
      <w:outlineLvl w:val="8"/>
    </w:pPr>
    <w:rPr>
      <w:rFonts w:ascii="Calibri" w:eastAsia="font1234" w:hAnsi="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BodyTextChar">
    <w:name w:val="Body Text Char"/>
    <w:basedOn w:val="DefaultParagraphFont0"/>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customStyle="1" w:styleId="FootnoteCharacters">
    <w:name w:val="Footnote Characters"/>
    <w:basedOn w:val="BodyTextChar"/>
    <w:rPr>
      <w:vertAlign w:val="superscript"/>
    </w:rPr>
  </w:style>
  <w:style w:type="character" w:styleId="FootnoteReference">
    <w:name w:val="footnote reference"/>
    <w:rPr>
      <w:vertAlign w:val="superscript"/>
    </w:rPr>
  </w:style>
  <w:style w:type="character" w:styleId="Hyperlink">
    <w:name w:val="Hyperlink"/>
    <w:basedOn w:val="BodyTextChar"/>
    <w:rPr>
      <w:color w:val="4F81BD"/>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paragraph" w:customStyle="1" w:styleId="Heading">
    <w:name w:val="Heading"/>
    <w:basedOn w:val="Normal"/>
    <w:next w:val="BodyText"/>
    <w:pPr>
      <w:keepNext/>
      <w:spacing w:before="240" w:after="120"/>
    </w:pPr>
    <w:rPr>
      <w:rFonts w:ascii="Liberation Sans" w:eastAsia="DejaVu Sans" w:hAnsi="Liberation Sans" w:cs="Droid Sans Devanagari"/>
      <w:sz w:val="28"/>
      <w:szCs w:val="28"/>
    </w:rPr>
  </w:style>
  <w:style w:type="paragraph" w:styleId="BodyText">
    <w:name w:val="Body Text"/>
    <w:basedOn w:val="Normal"/>
    <w:pPr>
      <w:spacing w:before="180" w:after="180"/>
    </w:pPr>
  </w:style>
  <w:style w:type="paragraph" w:styleId="List">
    <w:name w:val="List"/>
    <w:basedOn w:val="BodyText"/>
    <w:rPr>
      <w:rFonts w:cs="Droid Sans Devanagari"/>
    </w:rPr>
  </w:style>
  <w:style w:type="paragraph" w:styleId="Caption">
    <w:name w:val="caption"/>
    <w:basedOn w:val="Normal"/>
    <w:qFormat/>
    <w:pPr>
      <w:spacing w:after="120"/>
    </w:pPr>
    <w:rPr>
      <w:i/>
    </w:rPr>
  </w:style>
  <w:style w:type="paragraph" w:customStyle="1" w:styleId="Index">
    <w:name w:val="Index"/>
    <w:basedOn w:val="Normal"/>
    <w:pPr>
      <w:suppressLineNumbers/>
    </w:pPr>
    <w:rPr>
      <w:rFonts w:cs="Times New Roman"/>
      <w:lang/>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qFormat/>
    <w:pPr>
      <w:keepNext/>
      <w:keepLines/>
      <w:spacing w:before="480" w:after="240"/>
      <w:jc w:val="center"/>
    </w:pPr>
    <w:rPr>
      <w:rFonts w:ascii="Calibri" w:eastAsia="font1234" w:hAnsi="Calibri"/>
      <w:b/>
      <w:bCs/>
      <w:color w:val="345A8A"/>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pPr>
      <w:keepNext/>
      <w:keepLines/>
      <w:suppressAutoHyphens/>
      <w:spacing w:after="200"/>
      <w:jc w:val="center"/>
    </w:pPr>
    <w:rPr>
      <w:rFonts w:ascii="Cambria" w:eastAsia="Cambria" w:hAnsi="Cambria" w:cs="font1234"/>
      <w:sz w:val="24"/>
      <w:szCs w:val="24"/>
    </w:rPr>
  </w:style>
  <w:style w:type="paragraph" w:styleId="Date">
    <w:name w:val="Date"/>
    <w:next w:val="BodyText"/>
    <w:pPr>
      <w:keepNext/>
      <w:keepLines/>
      <w:suppressAutoHyphens/>
      <w:spacing w:after="200"/>
      <w:jc w:val="center"/>
    </w:pPr>
    <w:rPr>
      <w:rFonts w:ascii="Cambria" w:eastAsia="Cambria" w:hAnsi="Cambria" w:cs="font1234"/>
      <w:sz w:val="24"/>
      <w:szCs w:val="24"/>
    </w:r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pPr>
      <w:spacing w:before="100" w:after="100"/>
      <w:ind w:left="480" w:right="480"/>
    </w:pPr>
  </w:style>
  <w:style w:type="paragraph" w:styleId="FootnoteText">
    <w:name w:val="footnote text"/>
    <w:basedOn w:val="Normal"/>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paragraph" w:styleId="IndexHeading">
    <w:name w:val="index heading"/>
    <w:basedOn w:val="Heading"/>
  </w:style>
  <w:style w:type="paragraph" w:styleId="TOAHeading">
    <w:name w:val="toa heading"/>
    <w:basedOn w:val="Heading1"/>
    <w:next w:val="BodyText"/>
    <w:pPr>
      <w:spacing w:before="240" w:line="259" w:lineRule="auto"/>
      <w:outlineLvl w:val="9"/>
    </w:pPr>
    <w:rPr>
      <w:b w:val="0"/>
      <w:bCs w:val="0"/>
      <w:color w:val="365F91"/>
    </w:rPr>
  </w:style>
  <w:style w:type="paragraph" w:customStyle="1" w:styleId="SourceCode">
    <w:name w:val="Source Cod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emf"/><Relationship Id="rId42" Type="http://schemas.openxmlformats.org/officeDocument/2006/relationships/oleObject" Target="embeddings/oleObject23.bin"/><Relationship Id="rId47" Type="http://schemas.openxmlformats.org/officeDocument/2006/relationships/oleObject" Target="embeddings/oleObject27.bin"/><Relationship Id="rId63" Type="http://schemas.openxmlformats.org/officeDocument/2006/relationships/oleObject" Target="embeddings/oleObject36.bin"/><Relationship Id="rId68" Type="http://schemas.openxmlformats.org/officeDocument/2006/relationships/image" Target="media/image26.emf"/><Relationship Id="rId84" Type="http://schemas.openxmlformats.org/officeDocument/2006/relationships/image" Target="media/image34.emf"/><Relationship Id="rId89" Type="http://schemas.openxmlformats.org/officeDocument/2006/relationships/oleObject" Target="embeddings/oleObject49.bin"/><Relationship Id="rId16" Type="http://schemas.openxmlformats.org/officeDocument/2006/relationships/oleObject" Target="embeddings/oleObject6.bin"/><Relationship Id="rId11" Type="http://schemas.openxmlformats.org/officeDocument/2006/relationships/image" Target="media/image4.emf"/><Relationship Id="rId32" Type="http://schemas.openxmlformats.org/officeDocument/2006/relationships/oleObject" Target="embeddings/oleObject14.bin"/><Relationship Id="rId37" Type="http://schemas.openxmlformats.org/officeDocument/2006/relationships/oleObject" Target="embeddings/oleObject18.bin"/><Relationship Id="rId53" Type="http://schemas.openxmlformats.org/officeDocument/2006/relationships/oleObject" Target="embeddings/oleObject31.bin"/><Relationship Id="rId58" Type="http://schemas.openxmlformats.org/officeDocument/2006/relationships/image" Target="media/image21.emf"/><Relationship Id="rId74" Type="http://schemas.openxmlformats.org/officeDocument/2006/relationships/image" Target="media/image29.emf"/><Relationship Id="rId79" Type="http://schemas.openxmlformats.org/officeDocument/2006/relationships/oleObject" Target="embeddings/oleObject44.bin"/><Relationship Id="rId102" Type="http://schemas.openxmlformats.org/officeDocument/2006/relationships/oleObject" Target="embeddings/oleObject57.bin"/><Relationship Id="rId5" Type="http://schemas.openxmlformats.org/officeDocument/2006/relationships/image" Target="media/image1.emf"/><Relationship Id="rId90" Type="http://schemas.openxmlformats.org/officeDocument/2006/relationships/image" Target="media/image37.emf"/><Relationship Id="rId95" Type="http://schemas.openxmlformats.org/officeDocument/2006/relationships/image" Target="media/image39.emf"/><Relationship Id="rId22" Type="http://schemas.openxmlformats.org/officeDocument/2006/relationships/oleObject" Target="embeddings/oleObject9.bin"/><Relationship Id="rId27" Type="http://schemas.openxmlformats.org/officeDocument/2006/relationships/image" Target="media/image12.emf"/><Relationship Id="rId43" Type="http://schemas.openxmlformats.org/officeDocument/2006/relationships/oleObject" Target="embeddings/oleObject24.bin"/><Relationship Id="rId48" Type="http://schemas.openxmlformats.org/officeDocument/2006/relationships/oleObject" Target="embeddings/oleObject28.bin"/><Relationship Id="rId64" Type="http://schemas.openxmlformats.org/officeDocument/2006/relationships/image" Target="media/image24.emf"/><Relationship Id="rId69" Type="http://schemas.openxmlformats.org/officeDocument/2006/relationships/oleObject" Target="embeddings/oleObject39.bin"/><Relationship Id="rId80" Type="http://schemas.openxmlformats.org/officeDocument/2006/relationships/image" Target="media/image32.emf"/><Relationship Id="rId85" Type="http://schemas.openxmlformats.org/officeDocument/2006/relationships/oleObject" Target="embeddings/oleObject47.bin"/><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oleObject" Target="embeddings/oleObject19.bin"/><Relationship Id="rId46" Type="http://schemas.openxmlformats.org/officeDocument/2006/relationships/image" Target="media/image16.emf"/><Relationship Id="rId59" Type="http://schemas.openxmlformats.org/officeDocument/2006/relationships/oleObject" Target="embeddings/oleObject34.bin"/><Relationship Id="rId67" Type="http://schemas.openxmlformats.org/officeDocument/2006/relationships/oleObject" Target="embeddings/oleObject38.bin"/><Relationship Id="rId103"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oleObject" Target="embeddings/oleObject22.bin"/><Relationship Id="rId54" Type="http://schemas.openxmlformats.org/officeDocument/2006/relationships/image" Target="media/image19.emf"/><Relationship Id="rId62" Type="http://schemas.openxmlformats.org/officeDocument/2006/relationships/image" Target="media/image23.emf"/><Relationship Id="rId70" Type="http://schemas.openxmlformats.org/officeDocument/2006/relationships/image" Target="media/image27.emf"/><Relationship Id="rId75" Type="http://schemas.openxmlformats.org/officeDocument/2006/relationships/oleObject" Target="embeddings/oleObject42.bin"/><Relationship Id="rId83" Type="http://schemas.openxmlformats.org/officeDocument/2006/relationships/oleObject" Target="embeddings/oleObject46.bin"/><Relationship Id="rId88" Type="http://schemas.openxmlformats.org/officeDocument/2006/relationships/image" Target="media/image36.emf"/><Relationship Id="rId91" Type="http://schemas.openxmlformats.org/officeDocument/2006/relationships/oleObject" Target="embeddings/oleObject50.bin"/><Relationship Id="rId96" Type="http://schemas.openxmlformats.org/officeDocument/2006/relationships/oleObject" Target="embeddings/oleObject53.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oleObject" Target="embeddings/oleObject29.bin"/><Relationship Id="rId57" Type="http://schemas.openxmlformats.org/officeDocument/2006/relationships/oleObject" Target="embeddings/oleObject33.bin"/><Relationship Id="rId10" Type="http://schemas.openxmlformats.org/officeDocument/2006/relationships/oleObject" Target="embeddings/oleObject3.bin"/><Relationship Id="rId31" Type="http://schemas.openxmlformats.org/officeDocument/2006/relationships/image" Target="media/image14.emf"/><Relationship Id="rId44" Type="http://schemas.openxmlformats.org/officeDocument/2006/relationships/oleObject" Target="embeddings/oleObject25.bin"/><Relationship Id="rId52" Type="http://schemas.openxmlformats.org/officeDocument/2006/relationships/image" Target="media/image18.emf"/><Relationship Id="rId60" Type="http://schemas.openxmlformats.org/officeDocument/2006/relationships/image" Target="media/image22.emf"/><Relationship Id="rId65" Type="http://schemas.openxmlformats.org/officeDocument/2006/relationships/oleObject" Target="embeddings/oleObject37.bin"/><Relationship Id="rId73" Type="http://schemas.openxmlformats.org/officeDocument/2006/relationships/oleObject" Target="embeddings/oleObject41.bin"/><Relationship Id="rId78" Type="http://schemas.openxmlformats.org/officeDocument/2006/relationships/image" Target="media/image31.emf"/><Relationship Id="rId81" Type="http://schemas.openxmlformats.org/officeDocument/2006/relationships/oleObject" Target="embeddings/oleObject45.bin"/><Relationship Id="rId86" Type="http://schemas.openxmlformats.org/officeDocument/2006/relationships/image" Target="media/image35.emf"/><Relationship Id="rId94" Type="http://schemas.openxmlformats.org/officeDocument/2006/relationships/oleObject" Target="embeddings/oleObject52.bin"/><Relationship Id="rId99" Type="http://schemas.openxmlformats.org/officeDocument/2006/relationships/oleObject" Target="embeddings/oleObject55.bin"/><Relationship Id="rId101" Type="http://schemas.openxmlformats.org/officeDocument/2006/relationships/image" Target="media/image41.emf"/><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emf"/><Relationship Id="rId18" Type="http://schemas.openxmlformats.org/officeDocument/2006/relationships/oleObject" Target="embeddings/oleObject7.bin"/><Relationship Id="rId39" Type="http://schemas.openxmlformats.org/officeDocument/2006/relationships/oleObject" Target="embeddings/oleObject20.bin"/><Relationship Id="rId34" Type="http://schemas.openxmlformats.org/officeDocument/2006/relationships/oleObject" Target="embeddings/oleObject15.bin"/><Relationship Id="rId50" Type="http://schemas.openxmlformats.org/officeDocument/2006/relationships/image" Target="media/image17.emf"/><Relationship Id="rId55" Type="http://schemas.openxmlformats.org/officeDocument/2006/relationships/oleObject" Target="embeddings/oleObject32.bin"/><Relationship Id="rId76" Type="http://schemas.openxmlformats.org/officeDocument/2006/relationships/image" Target="media/image30.emf"/><Relationship Id="rId97" Type="http://schemas.openxmlformats.org/officeDocument/2006/relationships/image" Target="media/image40.emf"/><Relationship Id="rId104" Type="http://schemas.openxmlformats.org/officeDocument/2006/relationships/theme" Target="theme/theme1.xml"/><Relationship Id="rId7" Type="http://schemas.openxmlformats.org/officeDocument/2006/relationships/image" Target="media/image2.emf"/><Relationship Id="rId71" Type="http://schemas.openxmlformats.org/officeDocument/2006/relationships/oleObject" Target="embeddings/oleObject40.bin"/><Relationship Id="rId92" Type="http://schemas.openxmlformats.org/officeDocument/2006/relationships/oleObject" Target="embeddings/oleObject51.bin"/><Relationship Id="rId2" Type="http://schemas.openxmlformats.org/officeDocument/2006/relationships/styles" Target="styles.xml"/><Relationship Id="rId29" Type="http://schemas.openxmlformats.org/officeDocument/2006/relationships/image" Target="media/image13.emf"/><Relationship Id="rId24" Type="http://schemas.openxmlformats.org/officeDocument/2006/relationships/oleObject" Target="embeddings/oleObject10.bin"/><Relationship Id="rId40" Type="http://schemas.openxmlformats.org/officeDocument/2006/relationships/oleObject" Target="embeddings/oleObject21.bin"/><Relationship Id="rId45" Type="http://schemas.openxmlformats.org/officeDocument/2006/relationships/oleObject" Target="embeddings/oleObject26.bin"/><Relationship Id="rId66" Type="http://schemas.openxmlformats.org/officeDocument/2006/relationships/image" Target="media/image25.emf"/><Relationship Id="rId87" Type="http://schemas.openxmlformats.org/officeDocument/2006/relationships/oleObject" Target="embeddings/oleObject48.bin"/><Relationship Id="rId61" Type="http://schemas.openxmlformats.org/officeDocument/2006/relationships/oleObject" Target="embeddings/oleObject35.bin"/><Relationship Id="rId82" Type="http://schemas.openxmlformats.org/officeDocument/2006/relationships/image" Target="media/image33.emf"/><Relationship Id="rId19" Type="http://schemas.openxmlformats.org/officeDocument/2006/relationships/image" Target="media/image8.e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image" Target="media/image20.emf"/><Relationship Id="rId77" Type="http://schemas.openxmlformats.org/officeDocument/2006/relationships/oleObject" Target="embeddings/oleObject43.bin"/><Relationship Id="rId100" Type="http://schemas.openxmlformats.org/officeDocument/2006/relationships/oleObject" Target="embeddings/oleObject56.bin"/><Relationship Id="rId8" Type="http://schemas.openxmlformats.org/officeDocument/2006/relationships/oleObject" Target="embeddings/oleObject2.bin"/><Relationship Id="rId51" Type="http://schemas.openxmlformats.org/officeDocument/2006/relationships/oleObject" Target="embeddings/oleObject30.bin"/><Relationship Id="rId72" Type="http://schemas.openxmlformats.org/officeDocument/2006/relationships/image" Target="media/image28.emf"/><Relationship Id="rId93" Type="http://schemas.openxmlformats.org/officeDocument/2006/relationships/image" Target="media/image38.emf"/><Relationship Id="rId98" Type="http://schemas.openxmlformats.org/officeDocument/2006/relationships/oleObject" Target="embeddings/oleObject54.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1211</Words>
  <Characters>6906</Characters>
  <Application>Microsoft Office Word</Application>
  <DocSecurity>4</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of the Transfer Function defining the angle and position of the vehicle</dc:title>
  <dc:subject/>
  <dc:creator>Vaught, Jacob</dc:creator>
  <cp:keywords/>
  <cp:lastModifiedBy>Vaught, Jacob</cp:lastModifiedBy>
  <cp:revision>2</cp:revision>
  <cp:lastPrinted>1601-01-01T00:00:00Z</cp:lastPrinted>
  <dcterms:created xsi:type="dcterms:W3CDTF">2023-10-30T19:06:00Z</dcterms:created>
  <dcterms:modified xsi:type="dcterms:W3CDTF">2023-10-30T19:06:00Z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ies>
</file>