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79" w:rsidRDefault="003A2379" w:rsidP="003A2379">
      <w:pPr>
        <w:pStyle w:val="Title"/>
      </w:pPr>
      <w:r>
        <w:t>Dataminr Signal</w:t>
      </w:r>
      <w:r>
        <w:t>S</w:t>
      </w:r>
      <w:r>
        <w:t xml:space="preserve"> Analysis</w:t>
      </w:r>
    </w:p>
    <w:p w:rsidR="003A2379" w:rsidRDefault="003A2379" w:rsidP="003A2379"/>
    <w:p w:rsidR="003A2379" w:rsidRDefault="003A2379" w:rsidP="003A2379">
      <w:r>
        <w:t>Financial Network Analytics Ltd.</w:t>
      </w:r>
    </w:p>
    <w:p w:rsidR="003A2379" w:rsidRDefault="003A2379" w:rsidP="003A2379"/>
    <w:p w:rsidR="003A2379" w:rsidRDefault="003A2379" w:rsidP="003A2379">
      <w:pPr>
        <w:pStyle w:val="Heading1"/>
        <w:rPr>
          <w:sz w:val="40"/>
          <w:szCs w:val="40"/>
        </w:rPr>
      </w:pPr>
    </w:p>
    <w:p w:rsidR="003A2379" w:rsidRDefault="003A2379" w:rsidP="003A2379">
      <w:pPr>
        <w:spacing w:after="160" w:line="259" w:lineRule="auto"/>
        <w:rPr>
          <w:rFonts w:asciiTheme="majorHAnsi" w:eastAsiaTheme="majorEastAsia" w:hAnsiTheme="majorHAnsi" w:cstheme="majorBidi"/>
          <w:color w:val="365F91" w:themeColor="accent1" w:themeShade="BF"/>
          <w:sz w:val="40"/>
          <w:szCs w:val="40"/>
        </w:rPr>
      </w:pPr>
      <w:r>
        <w:rPr>
          <w:sz w:val="40"/>
          <w:szCs w:val="40"/>
        </w:rPr>
        <w:br w:type="page"/>
      </w:r>
    </w:p>
    <w:p w:rsidR="003A2379" w:rsidRDefault="003A2379" w:rsidP="003A2379">
      <w:pPr>
        <w:pStyle w:val="Heading1"/>
      </w:pPr>
      <w:r>
        <w:lastRenderedPageBreak/>
        <w:t xml:space="preserve">Executive </w:t>
      </w:r>
      <w:r w:rsidRPr="00AA281C">
        <w:t>Summary</w:t>
      </w:r>
    </w:p>
    <w:p w:rsidR="003A2379" w:rsidRPr="003A2379" w:rsidRDefault="003A2379" w:rsidP="003A2379"/>
    <w:p w:rsidR="003A2379" w:rsidRPr="00BB53A8" w:rsidRDefault="003A2379" w:rsidP="003A2379">
      <w:pPr>
        <w:autoSpaceDE w:val="0"/>
        <w:autoSpaceDN w:val="0"/>
        <w:adjustRightInd w:val="0"/>
        <w:rPr>
          <w:rFonts w:cs="CMR12"/>
        </w:rPr>
      </w:pPr>
      <w:r>
        <w:rPr>
          <w:rFonts w:cs="CMR12"/>
        </w:rPr>
        <w:t xml:space="preserve">In this study we analyze asset returns around the time of </w:t>
      </w:r>
      <w:proofErr w:type="spellStart"/>
      <w:r>
        <w:rPr>
          <w:rFonts w:cs="CMR12"/>
        </w:rPr>
        <w:t>Dataminr</w:t>
      </w:r>
      <w:proofErr w:type="spellEnd"/>
      <w:r>
        <w:rPr>
          <w:rFonts w:cs="CMR12"/>
        </w:rPr>
        <w:t xml:space="preserve"> signals. In particular, o</w:t>
      </w:r>
      <w:r w:rsidRPr="00BB53A8">
        <w:rPr>
          <w:rFonts w:cs="CMR12"/>
        </w:rPr>
        <w:t>ur study include</w:t>
      </w:r>
      <w:r>
        <w:rPr>
          <w:rFonts w:cs="CMR12"/>
        </w:rPr>
        <w:t>s</w:t>
      </w:r>
      <w:r w:rsidRPr="00BB53A8">
        <w:rPr>
          <w:rFonts w:cs="CMR12"/>
        </w:rPr>
        <w:t xml:space="preserve"> the following analys</w:t>
      </w:r>
      <w:r>
        <w:rPr>
          <w:rFonts w:cs="CMR12"/>
        </w:rPr>
        <w:t>e</w:t>
      </w:r>
      <w:r w:rsidRPr="00BB53A8">
        <w:rPr>
          <w:rFonts w:cs="CMR12"/>
        </w:rPr>
        <w:t xml:space="preserve">s: </w:t>
      </w:r>
    </w:p>
    <w:p w:rsidR="003A2379" w:rsidRPr="00BB53A8" w:rsidRDefault="003A2379" w:rsidP="003A2379">
      <w:pPr>
        <w:autoSpaceDE w:val="0"/>
        <w:autoSpaceDN w:val="0"/>
        <w:adjustRightInd w:val="0"/>
        <w:rPr>
          <w:rFonts w:cs="CMR12"/>
        </w:rPr>
      </w:pPr>
    </w:p>
    <w:p w:rsidR="003A2379" w:rsidRPr="00BB53A8" w:rsidRDefault="003A2379" w:rsidP="003A2379">
      <w:pPr>
        <w:numPr>
          <w:ilvl w:val="0"/>
          <w:numId w:val="2"/>
        </w:numPr>
        <w:autoSpaceDE w:val="0"/>
        <w:autoSpaceDN w:val="0"/>
        <w:adjustRightInd w:val="0"/>
        <w:rPr>
          <w:rFonts w:cs="CMR12"/>
        </w:rPr>
      </w:pPr>
      <w:r>
        <w:rPr>
          <w:rFonts w:cs="CMR12"/>
        </w:rPr>
        <w:t xml:space="preserve">Comparison of </w:t>
      </w:r>
      <w:r w:rsidRPr="00BB53A8">
        <w:rPr>
          <w:rFonts w:cs="CMR12"/>
        </w:rPr>
        <w:t xml:space="preserve">end of day </w:t>
      </w:r>
      <w:r>
        <w:rPr>
          <w:rFonts w:cs="CMR12"/>
        </w:rPr>
        <w:t xml:space="preserve">returns </w:t>
      </w:r>
      <w:r w:rsidRPr="00BB53A8">
        <w:rPr>
          <w:rFonts w:cs="CMR12"/>
        </w:rPr>
        <w:t xml:space="preserve">with </w:t>
      </w:r>
      <w:proofErr w:type="spellStart"/>
      <w:r w:rsidRPr="00BB53A8">
        <w:rPr>
          <w:rFonts w:cs="CMR12"/>
        </w:rPr>
        <w:t>Dataminr</w:t>
      </w:r>
      <w:proofErr w:type="spellEnd"/>
      <w:r w:rsidRPr="00BB53A8">
        <w:rPr>
          <w:rFonts w:cs="CMR12"/>
        </w:rPr>
        <w:t xml:space="preserve"> signals including lag</w:t>
      </w:r>
      <w:r>
        <w:rPr>
          <w:rFonts w:cs="CMR12"/>
        </w:rPr>
        <w:t>ged</w:t>
      </w:r>
      <w:r w:rsidRPr="00BB53A8">
        <w:rPr>
          <w:rFonts w:cs="CMR12"/>
        </w:rPr>
        <w:t xml:space="preserve"> </w:t>
      </w:r>
      <w:proofErr w:type="gramStart"/>
      <w:r w:rsidRPr="00BB53A8">
        <w:rPr>
          <w:rFonts w:cs="CMR12"/>
        </w:rPr>
        <w:t>effects ;</w:t>
      </w:r>
      <w:proofErr w:type="gramEnd"/>
    </w:p>
    <w:p w:rsidR="003A2379" w:rsidRPr="00BB53A8" w:rsidRDefault="003A2379" w:rsidP="003A2379">
      <w:pPr>
        <w:numPr>
          <w:ilvl w:val="0"/>
          <w:numId w:val="2"/>
        </w:numPr>
        <w:autoSpaceDE w:val="0"/>
        <w:autoSpaceDN w:val="0"/>
        <w:adjustRightInd w:val="0"/>
        <w:rPr>
          <w:rFonts w:cs="CMR12"/>
        </w:rPr>
      </w:pPr>
      <w:r>
        <w:rPr>
          <w:rFonts w:cs="CMR12"/>
        </w:rPr>
        <w:t xml:space="preserve">Comparison of </w:t>
      </w:r>
      <w:r w:rsidRPr="00BB53A8">
        <w:rPr>
          <w:rFonts w:cs="CMR12"/>
        </w:rPr>
        <w:t>intraday pre-</w:t>
      </w:r>
      <w:r>
        <w:rPr>
          <w:rFonts w:cs="CMR12"/>
        </w:rPr>
        <w:t>signal</w:t>
      </w:r>
      <w:r w:rsidRPr="00BB53A8">
        <w:rPr>
          <w:rFonts w:cs="CMR12"/>
        </w:rPr>
        <w:t xml:space="preserve"> </w:t>
      </w:r>
      <w:r>
        <w:rPr>
          <w:rFonts w:cs="CMR12"/>
        </w:rPr>
        <w:t>and post-s</w:t>
      </w:r>
      <w:r w:rsidRPr="00BB53A8">
        <w:rPr>
          <w:rFonts w:cs="CMR12"/>
        </w:rPr>
        <w:t>ignal returns;</w:t>
      </w:r>
    </w:p>
    <w:p w:rsidR="003A2379" w:rsidRPr="00AA281C" w:rsidRDefault="003A2379" w:rsidP="003A2379">
      <w:pPr>
        <w:numPr>
          <w:ilvl w:val="0"/>
          <w:numId w:val="2"/>
        </w:numPr>
        <w:autoSpaceDE w:val="0"/>
        <w:autoSpaceDN w:val="0"/>
        <w:adjustRightInd w:val="0"/>
        <w:rPr>
          <w:rFonts w:cs="CMR12"/>
        </w:rPr>
      </w:pPr>
      <w:r>
        <w:rPr>
          <w:rFonts w:cs="CMR12"/>
        </w:rPr>
        <w:t>Enhancement of e</w:t>
      </w:r>
      <w:r w:rsidRPr="00BB53A8">
        <w:rPr>
          <w:rFonts w:cs="CMR12"/>
        </w:rPr>
        <w:t xml:space="preserve">quity short-term reversal strategy by </w:t>
      </w:r>
      <w:proofErr w:type="spellStart"/>
      <w:r>
        <w:rPr>
          <w:rFonts w:cs="CMR12"/>
        </w:rPr>
        <w:t>Dataminr</w:t>
      </w:r>
      <w:proofErr w:type="spellEnd"/>
      <w:r>
        <w:rPr>
          <w:rFonts w:cs="CMR12"/>
        </w:rPr>
        <w:t xml:space="preserve"> </w:t>
      </w:r>
      <w:r w:rsidRPr="00BB53A8">
        <w:rPr>
          <w:rFonts w:cs="CMR12"/>
        </w:rPr>
        <w:t>signals.</w:t>
      </w:r>
    </w:p>
    <w:p w:rsidR="003A2379" w:rsidRPr="00BB53A8" w:rsidRDefault="003A2379" w:rsidP="003A2379">
      <w:pPr>
        <w:autoSpaceDE w:val="0"/>
        <w:autoSpaceDN w:val="0"/>
        <w:adjustRightInd w:val="0"/>
        <w:rPr>
          <w:rFonts w:cs="CMR12"/>
        </w:rPr>
      </w:pPr>
    </w:p>
    <w:p w:rsidR="003A2379" w:rsidRPr="00BB53A8" w:rsidRDefault="003A2379" w:rsidP="003A2379">
      <w:r w:rsidRPr="00BB53A8">
        <w:t xml:space="preserve">Using </w:t>
      </w:r>
      <w:proofErr w:type="spellStart"/>
      <w:r>
        <w:t>Dataminr</w:t>
      </w:r>
      <w:proofErr w:type="spellEnd"/>
      <w:r>
        <w:t xml:space="preserve"> signal data classified as either Alerts or Flashes and N</w:t>
      </w:r>
      <w:r w:rsidRPr="00BB53A8">
        <w:t xml:space="preserve">otables and intra-day </w:t>
      </w:r>
      <w:r>
        <w:t xml:space="preserve">asset </w:t>
      </w:r>
      <w:r w:rsidRPr="00BB53A8">
        <w:t xml:space="preserve">prices provided by </w:t>
      </w:r>
      <w:proofErr w:type="spellStart"/>
      <w:r w:rsidRPr="00BB53A8">
        <w:t>DataMinr</w:t>
      </w:r>
      <w:proofErr w:type="spellEnd"/>
      <w:r w:rsidRPr="00BB53A8">
        <w:t xml:space="preserve">, along with publicly available asset price information, we </w:t>
      </w:r>
      <w:r>
        <w:t>find</w:t>
      </w:r>
      <w:r w:rsidRPr="00BB53A8">
        <w:t xml:space="preserve"> that assets had significantly higher absolute return values on days with</w:t>
      </w:r>
      <w:r>
        <w:t xml:space="preserve"> both</w:t>
      </w:r>
      <w:r w:rsidRPr="00BB53A8">
        <w:t xml:space="preserve"> </w:t>
      </w:r>
      <w:proofErr w:type="spellStart"/>
      <w:r w:rsidRPr="00BB53A8">
        <w:t>Dataminr</w:t>
      </w:r>
      <w:proofErr w:type="spellEnd"/>
      <w:r w:rsidRPr="00BB53A8">
        <w:t xml:space="preserve"> </w:t>
      </w:r>
      <w:r>
        <w:t>signals</w:t>
      </w:r>
      <w:r w:rsidRPr="00BB53A8">
        <w:t>. This effect is amplified for higher volatility stocks and is particularly strong in sectors like pharmaceuticals.</w:t>
      </w:r>
    </w:p>
    <w:p w:rsidR="003A2379" w:rsidRPr="00BB53A8"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sidRPr="00BB53A8">
        <w:rPr>
          <w:rFonts w:cs="CMR12"/>
        </w:rPr>
        <w:t xml:space="preserve">Our study of intra-day price dynamics concluded that stock prices </w:t>
      </w:r>
      <w:r>
        <w:rPr>
          <w:rFonts w:cs="CMR12"/>
        </w:rPr>
        <w:t>movement co-occur with</w:t>
      </w:r>
      <w:r w:rsidRPr="00BB53A8">
        <w:rPr>
          <w:rFonts w:cs="CMR12"/>
        </w:rPr>
        <w:t xml:space="preserve"> </w:t>
      </w:r>
      <w:proofErr w:type="spellStart"/>
      <w:r>
        <w:rPr>
          <w:rFonts w:cs="CMR12"/>
        </w:rPr>
        <w:t>Dataminr</w:t>
      </w:r>
      <w:proofErr w:type="spellEnd"/>
      <w:r w:rsidRPr="00BB53A8">
        <w:rPr>
          <w:rFonts w:cs="CMR12"/>
        </w:rPr>
        <w:t xml:space="preserve"> signals most strongly in the first half an hour after the signal </w:t>
      </w:r>
      <w:r>
        <w:rPr>
          <w:rFonts w:cs="CMR12"/>
        </w:rPr>
        <w:t>and</w:t>
      </w:r>
      <w:r w:rsidRPr="00BB53A8">
        <w:rPr>
          <w:rFonts w:cs="CMR12"/>
        </w:rPr>
        <w:t xml:space="preserve"> </w:t>
      </w:r>
      <w:r>
        <w:rPr>
          <w:rFonts w:cs="CMR12"/>
        </w:rPr>
        <w:t>that abnormal returns continue</w:t>
      </w:r>
      <w:r w:rsidRPr="00BB53A8">
        <w:rPr>
          <w:rFonts w:cs="CMR12"/>
        </w:rPr>
        <w:t xml:space="preserve"> over the next three days after the </w:t>
      </w:r>
      <w:r>
        <w:rPr>
          <w:rFonts w:cs="CMR12"/>
        </w:rPr>
        <w:t>signal</w:t>
      </w:r>
      <w:r w:rsidRPr="00BB53A8">
        <w:rPr>
          <w:rFonts w:cs="CMR12"/>
        </w:rPr>
        <w:t xml:space="preserve">. </w:t>
      </w:r>
      <w:r>
        <w:rPr>
          <w:rFonts w:cs="CMR12"/>
        </w:rPr>
        <w:t>We find that abnormal returns are much higher for Flashes and Notables than for Alerts.</w:t>
      </w:r>
    </w:p>
    <w:p w:rsidR="003A2379" w:rsidRPr="00BB53A8" w:rsidRDefault="003A2379" w:rsidP="003A2379">
      <w:pPr>
        <w:autoSpaceDE w:val="0"/>
        <w:autoSpaceDN w:val="0"/>
        <w:adjustRightInd w:val="0"/>
        <w:rPr>
          <w:rFonts w:cs="CMR12"/>
        </w:rPr>
      </w:pPr>
    </w:p>
    <w:p w:rsidR="003A2379" w:rsidRPr="00BB53A8" w:rsidRDefault="003A2379" w:rsidP="003A2379">
      <w:pPr>
        <w:autoSpaceDE w:val="0"/>
        <w:autoSpaceDN w:val="0"/>
        <w:adjustRightInd w:val="0"/>
        <w:rPr>
          <w:rFonts w:cs="CMR12"/>
        </w:rPr>
      </w:pPr>
      <w:r w:rsidRPr="00BB53A8">
        <w:rPr>
          <w:rFonts w:cs="CMR12"/>
        </w:rPr>
        <w:t>In addition we back-tested a</w:t>
      </w:r>
      <w:r>
        <w:rPr>
          <w:rFonts w:cs="CMR12"/>
        </w:rPr>
        <w:t xml:space="preserve"> reversal strategy that involves</w:t>
      </w:r>
      <w:r w:rsidRPr="00BB53A8">
        <w:rPr>
          <w:rFonts w:cs="CMR12"/>
        </w:rPr>
        <w:t xml:space="preserve"> shorting past week winner stocks and rebalancing this portfolio on weekly basis. We have used event volume count by adding up the number of </w:t>
      </w:r>
      <w:proofErr w:type="spellStart"/>
      <w:r>
        <w:rPr>
          <w:rFonts w:cs="CMR12"/>
        </w:rPr>
        <w:t>Dataminr</w:t>
      </w:r>
      <w:proofErr w:type="spellEnd"/>
      <w:r w:rsidRPr="00BB53A8">
        <w:rPr>
          <w:rFonts w:cs="CMR12"/>
        </w:rPr>
        <w:t xml:space="preserve"> signals over the past week and discovered that </w:t>
      </w:r>
      <w:proofErr w:type="gramStart"/>
      <w:r w:rsidRPr="00BB53A8">
        <w:rPr>
          <w:rFonts w:cs="CMR12"/>
        </w:rPr>
        <w:t>winner reversal strategy is significantly enhanced by filtering on high event volume stocks</w:t>
      </w:r>
      <w:proofErr w:type="gramEnd"/>
      <w:r w:rsidRPr="00BB53A8">
        <w:rPr>
          <w:rFonts w:cs="CMR12"/>
        </w:rPr>
        <w:t xml:space="preserve">. </w:t>
      </w:r>
    </w:p>
    <w:p w:rsidR="003A2379" w:rsidRDefault="003A2379" w:rsidP="003A2379">
      <w:pPr>
        <w:autoSpaceDE w:val="0"/>
        <w:autoSpaceDN w:val="0"/>
        <w:adjustRightInd w:val="0"/>
        <w:rPr>
          <w:rFonts w:cs="CMR12"/>
        </w:rPr>
      </w:pPr>
    </w:p>
    <w:p w:rsidR="003A2379" w:rsidRDefault="003A2379" w:rsidP="003A2379">
      <w:pPr>
        <w:spacing w:after="160" w:line="259" w:lineRule="auto"/>
        <w:rPr>
          <w:rFonts w:asciiTheme="majorHAnsi" w:eastAsiaTheme="majorEastAsia" w:hAnsiTheme="majorHAnsi" w:cstheme="majorBidi"/>
          <w:color w:val="365F91" w:themeColor="accent1" w:themeShade="BF"/>
          <w:sz w:val="40"/>
          <w:szCs w:val="40"/>
        </w:rPr>
      </w:pPr>
      <w:r>
        <w:rPr>
          <w:sz w:val="40"/>
          <w:szCs w:val="40"/>
        </w:rPr>
        <w:br w:type="page"/>
      </w:r>
    </w:p>
    <w:p w:rsidR="003A2379" w:rsidRDefault="003A2379" w:rsidP="003A2379">
      <w:pPr>
        <w:pStyle w:val="Heading1"/>
      </w:pPr>
      <w:r>
        <w:lastRenderedPageBreak/>
        <w:t>Introduction</w:t>
      </w:r>
    </w:p>
    <w:p w:rsidR="003A2379" w:rsidRPr="003A2379" w:rsidRDefault="003A2379" w:rsidP="003A2379"/>
    <w:p w:rsidR="003A2379" w:rsidRPr="00AA281C" w:rsidRDefault="003A2379" w:rsidP="003A2379">
      <w:pPr>
        <w:autoSpaceDE w:val="0"/>
        <w:autoSpaceDN w:val="0"/>
        <w:adjustRightInd w:val="0"/>
        <w:rPr>
          <w:rFonts w:cs="CMR12"/>
        </w:rPr>
      </w:pPr>
      <w:r>
        <w:rPr>
          <w:rFonts w:cs="CMR12"/>
        </w:rPr>
        <w:t>The following report provides detai</w:t>
      </w:r>
      <w:r>
        <w:rPr>
          <w:rFonts w:cs="CMR12"/>
        </w:rPr>
        <w:t xml:space="preserve">ls of the analysis carried out by FNA to </w:t>
      </w:r>
      <w:proofErr w:type="spellStart"/>
      <w:r>
        <w:rPr>
          <w:rFonts w:cs="CMR12"/>
        </w:rPr>
        <w:t>analyse</w:t>
      </w:r>
      <w:proofErr w:type="spellEnd"/>
      <w:r>
        <w:rPr>
          <w:rFonts w:cs="CMR12"/>
        </w:rPr>
        <w:t xml:space="preserve"> </w:t>
      </w:r>
      <w:proofErr w:type="spellStart"/>
      <w:r>
        <w:rPr>
          <w:rFonts w:cs="CMR12"/>
        </w:rPr>
        <w:t>Dataminr</w:t>
      </w:r>
      <w:proofErr w:type="spellEnd"/>
      <w:r>
        <w:rPr>
          <w:rFonts w:cs="CMR12"/>
        </w:rPr>
        <w:t xml:space="preserve"> signals data and its relationship with returns of the associated assets. We first describe the data used and then detail analysis carried out. </w:t>
      </w:r>
    </w:p>
    <w:p w:rsidR="003A2379" w:rsidRPr="003A2379" w:rsidRDefault="003A2379" w:rsidP="003A2379"/>
    <w:p w:rsidR="003A2379" w:rsidRDefault="003A2379" w:rsidP="003A2379">
      <w:pPr>
        <w:pStyle w:val="Heading1"/>
      </w:pPr>
      <w:proofErr w:type="spellStart"/>
      <w:r w:rsidRPr="00241B9E">
        <w:t>Data</w:t>
      </w:r>
      <w:r>
        <w:t>m</w:t>
      </w:r>
      <w:r w:rsidRPr="00241B9E">
        <w:t>inr</w:t>
      </w:r>
      <w:proofErr w:type="spellEnd"/>
      <w:r w:rsidRPr="00241B9E">
        <w:t xml:space="preserve"> </w:t>
      </w:r>
      <w:r>
        <w:t xml:space="preserve">Signals </w:t>
      </w:r>
      <w:r w:rsidRPr="00241B9E">
        <w:t>Data</w:t>
      </w:r>
    </w:p>
    <w:p w:rsidR="003A2379" w:rsidRPr="003A2379" w:rsidRDefault="003A2379" w:rsidP="003A2379"/>
    <w:p w:rsidR="003A2379" w:rsidRDefault="003A2379" w:rsidP="003A2379">
      <w:pPr>
        <w:autoSpaceDE w:val="0"/>
        <w:autoSpaceDN w:val="0"/>
        <w:adjustRightInd w:val="0"/>
        <w:rPr>
          <w:rFonts w:cs="CMR12"/>
        </w:rPr>
      </w:pPr>
      <w:r>
        <w:rPr>
          <w:rFonts w:cs="CMR12"/>
        </w:rPr>
        <w:t xml:space="preserve">The </w:t>
      </w:r>
      <w:r w:rsidRPr="00241B9E">
        <w:rPr>
          <w:rFonts w:cs="CMR12"/>
        </w:rPr>
        <w:t xml:space="preserve">results presented here are based on </w:t>
      </w:r>
      <w:r>
        <w:rPr>
          <w:rFonts w:cs="CMR12"/>
        </w:rPr>
        <w:t xml:space="preserve">signal data provided by </w:t>
      </w:r>
      <w:proofErr w:type="spellStart"/>
      <w:r>
        <w:rPr>
          <w:rFonts w:cs="CMR12"/>
        </w:rPr>
        <w:t>DataMinr</w:t>
      </w:r>
      <w:proofErr w:type="spellEnd"/>
      <w:r>
        <w:rPr>
          <w:rFonts w:cs="CMR12"/>
        </w:rPr>
        <w:t xml:space="preserve"> in the fi</w:t>
      </w:r>
      <w:r w:rsidRPr="00241B9E">
        <w:rPr>
          <w:rFonts w:cs="CMR12"/>
        </w:rPr>
        <w:t>le</w:t>
      </w:r>
      <w:r>
        <w:rPr>
          <w:rFonts w:cs="CMR12"/>
        </w:rPr>
        <w:t>s:</w:t>
      </w:r>
    </w:p>
    <w:p w:rsidR="003A2379" w:rsidRDefault="003A2379" w:rsidP="003A2379">
      <w:pPr>
        <w:autoSpaceDE w:val="0"/>
        <w:autoSpaceDN w:val="0"/>
        <w:adjustRightInd w:val="0"/>
        <w:rPr>
          <w:rFonts w:cs="CMR12"/>
        </w:rPr>
      </w:pPr>
    </w:p>
    <w:p w:rsidR="003A2379" w:rsidRPr="002D5B3A" w:rsidRDefault="003A2379" w:rsidP="003A2379">
      <w:pPr>
        <w:pStyle w:val="ListParagraph"/>
        <w:numPr>
          <w:ilvl w:val="0"/>
          <w:numId w:val="4"/>
        </w:numPr>
        <w:rPr>
          <w:rFonts w:cs="CMR12"/>
        </w:rPr>
      </w:pPr>
      <w:bookmarkStart w:id="0" w:name="OLE_LINK9"/>
      <w:bookmarkStart w:id="1" w:name="OLE_LINK10"/>
      <w:bookmarkStart w:id="2" w:name="OLE_LINK11"/>
      <w:proofErr w:type="gramStart"/>
      <w:r w:rsidRPr="002D5B3A">
        <w:t>alerts.3.1.2014</w:t>
      </w:r>
      <w:proofErr w:type="gramEnd"/>
      <w:r w:rsidRPr="002D5B3A">
        <w:t>-11.30.2014.dateString.tsv</w:t>
      </w:r>
      <w:bookmarkEnd w:id="0"/>
      <w:bookmarkEnd w:id="1"/>
      <w:bookmarkEnd w:id="2"/>
      <w:r>
        <w:t xml:space="preserve"> which includes Alert signals</w:t>
      </w:r>
    </w:p>
    <w:p w:rsidR="003A2379" w:rsidRPr="002D5B3A" w:rsidRDefault="003A2379" w:rsidP="003A2379">
      <w:pPr>
        <w:pStyle w:val="ListParagraph"/>
        <w:numPr>
          <w:ilvl w:val="0"/>
          <w:numId w:val="4"/>
        </w:numPr>
        <w:rPr>
          <w:rFonts w:cs="CMR12"/>
        </w:rPr>
      </w:pPr>
      <w:proofErr w:type="gramStart"/>
      <w:r w:rsidRPr="002D5B3A">
        <w:t>notable</w:t>
      </w:r>
      <w:proofErr w:type="gramEnd"/>
      <w:r w:rsidRPr="002D5B3A">
        <w:t>_and_flash.3.1.201411.30.2014.dateString.tsv</w:t>
      </w:r>
      <w:r>
        <w:t xml:space="preserve"> which includes </w:t>
      </w:r>
      <w:r>
        <w:rPr>
          <w:rFonts w:cs="CMR12"/>
        </w:rPr>
        <w:t>Flashes and Notables -signals</w:t>
      </w:r>
      <w:r>
        <w:t xml:space="preserve"> </w:t>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Pr>
          <w:rFonts w:cs="CMR12"/>
        </w:rPr>
        <w:t xml:space="preserve">From these files </w:t>
      </w:r>
      <w:r w:rsidRPr="00241B9E">
        <w:rPr>
          <w:rFonts w:cs="CMR12"/>
        </w:rPr>
        <w:t>we used only columns A and D, which provide</w:t>
      </w:r>
      <w:r>
        <w:rPr>
          <w:rFonts w:cs="CMR12"/>
        </w:rPr>
        <w:t xml:space="preserve"> the date/time of the signal and </w:t>
      </w:r>
      <w:r w:rsidRPr="00241B9E">
        <w:rPr>
          <w:rFonts w:cs="CMR12"/>
        </w:rPr>
        <w:t>the associated</w:t>
      </w:r>
      <w:r>
        <w:rPr>
          <w:rFonts w:cs="CMR12"/>
        </w:rPr>
        <w:t xml:space="preserve"> asset</w:t>
      </w:r>
      <w:r w:rsidRPr="00241B9E">
        <w:rPr>
          <w:rFonts w:cs="CMR12"/>
        </w:rPr>
        <w:t xml:space="preserve"> ticker(s), respectively.</w:t>
      </w:r>
    </w:p>
    <w:p w:rsidR="003A2379" w:rsidRDefault="003A2379" w:rsidP="003A2379">
      <w:pPr>
        <w:autoSpaceDE w:val="0"/>
        <w:autoSpaceDN w:val="0"/>
        <w:adjustRightInd w:val="0"/>
        <w:rPr>
          <w:rFonts w:cs="CMR12"/>
        </w:rPr>
      </w:pPr>
      <w:r w:rsidRPr="00241B9E">
        <w:rPr>
          <w:rFonts w:cs="CMR12"/>
        </w:rPr>
        <w:t xml:space="preserve"> </w:t>
      </w:r>
    </w:p>
    <w:p w:rsidR="003A2379" w:rsidRDefault="003A2379" w:rsidP="003A2379">
      <w:pPr>
        <w:autoSpaceDE w:val="0"/>
        <w:autoSpaceDN w:val="0"/>
        <w:adjustRightInd w:val="0"/>
        <w:rPr>
          <w:rFonts w:cs="CMR12"/>
        </w:rPr>
      </w:pPr>
      <w:r w:rsidRPr="00241B9E">
        <w:rPr>
          <w:rFonts w:cs="CMR12"/>
        </w:rPr>
        <w:t xml:space="preserve">Since </w:t>
      </w:r>
      <w:r>
        <w:rPr>
          <w:rFonts w:cs="CMR12"/>
        </w:rPr>
        <w:t xml:space="preserve">we are only counting the number </w:t>
      </w:r>
      <w:r w:rsidRPr="00241B9E">
        <w:rPr>
          <w:rFonts w:cs="CMR12"/>
        </w:rPr>
        <w:t xml:space="preserve">of </w:t>
      </w:r>
      <w:r>
        <w:rPr>
          <w:rFonts w:cs="CMR12"/>
        </w:rPr>
        <w:t xml:space="preserve">signals </w:t>
      </w:r>
      <w:r w:rsidRPr="00241B9E">
        <w:rPr>
          <w:rFonts w:cs="CMR12"/>
        </w:rPr>
        <w:t>associated with each ticker</w:t>
      </w:r>
      <w:r>
        <w:rPr>
          <w:rFonts w:cs="CMR12"/>
        </w:rPr>
        <w:t xml:space="preserve"> within a given time span</w:t>
      </w:r>
      <w:r w:rsidRPr="00241B9E">
        <w:rPr>
          <w:rFonts w:cs="CMR12"/>
        </w:rPr>
        <w:t>, the c</w:t>
      </w:r>
      <w:r>
        <w:rPr>
          <w:rFonts w:cs="CMR12"/>
        </w:rPr>
        <w:t xml:space="preserve">ontent of the tweets themselves </w:t>
      </w:r>
      <w:r w:rsidRPr="00241B9E">
        <w:rPr>
          <w:rFonts w:cs="CMR12"/>
        </w:rPr>
        <w:t xml:space="preserve">was not </w:t>
      </w:r>
      <w:r>
        <w:rPr>
          <w:rFonts w:cs="CMR12"/>
        </w:rPr>
        <w:t>used</w:t>
      </w:r>
      <w:r w:rsidRPr="00241B9E">
        <w:rPr>
          <w:rFonts w:cs="CMR12"/>
        </w:rPr>
        <w:t xml:space="preserve">. We ignored any </w:t>
      </w:r>
      <w:r>
        <w:rPr>
          <w:rFonts w:cs="CMR12"/>
        </w:rPr>
        <w:t>signals</w:t>
      </w:r>
      <w:r w:rsidRPr="00241B9E">
        <w:rPr>
          <w:rFonts w:cs="CMR12"/>
        </w:rPr>
        <w:t xml:space="preserve"> that h</w:t>
      </w:r>
      <w:r>
        <w:rPr>
          <w:rFonts w:cs="CMR12"/>
        </w:rPr>
        <w:t xml:space="preserve">ad no ticker provided in column </w:t>
      </w:r>
      <w:r w:rsidRPr="00241B9E">
        <w:rPr>
          <w:rFonts w:cs="CMR12"/>
        </w:rPr>
        <w:t xml:space="preserve">D. </w:t>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sidRPr="00241B9E">
        <w:rPr>
          <w:rFonts w:cs="CMR12"/>
        </w:rPr>
        <w:t>As a coarse way to deal with time zone in</w:t>
      </w:r>
      <w:r>
        <w:rPr>
          <w:rFonts w:cs="CMR12"/>
        </w:rPr>
        <w:t xml:space="preserve">compatibilities (e.g., European </w:t>
      </w:r>
      <w:r w:rsidRPr="00241B9E">
        <w:rPr>
          <w:rFonts w:cs="CMR12"/>
        </w:rPr>
        <w:t xml:space="preserve">markets close much earlier than US markets, </w:t>
      </w:r>
      <w:r>
        <w:rPr>
          <w:rFonts w:cs="CMR12"/>
        </w:rPr>
        <w:t xml:space="preserve">yet the timing of all signals is </w:t>
      </w:r>
      <w:r w:rsidRPr="00241B9E">
        <w:rPr>
          <w:rFonts w:cs="CMR12"/>
        </w:rPr>
        <w:t>in EDT), we limited analysis to</w:t>
      </w:r>
      <w:r>
        <w:rPr>
          <w:rFonts w:cs="CMR12"/>
        </w:rPr>
        <w:t xml:space="preserve"> only signals associated with US tickers (</w:t>
      </w:r>
      <w:commentRangeStart w:id="3"/>
      <w:r>
        <w:rPr>
          <w:rFonts w:cs="CMR12"/>
        </w:rPr>
        <w:t xml:space="preserve">those with no </w:t>
      </w:r>
      <w:r w:rsidRPr="00241B9E">
        <w:rPr>
          <w:rFonts w:cs="CMR12"/>
        </w:rPr>
        <w:t>periods in the ticker</w:t>
      </w:r>
      <w:commentRangeEnd w:id="3"/>
      <w:r>
        <w:rPr>
          <w:rStyle w:val="CommentReference"/>
        </w:rPr>
        <w:commentReference w:id="3"/>
      </w:r>
      <w:r w:rsidRPr="00241B9E">
        <w:rPr>
          <w:rFonts w:cs="CMR12"/>
        </w:rPr>
        <w:t xml:space="preserve">). </w:t>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sidRPr="00241B9E">
        <w:rPr>
          <w:rFonts w:cs="CMR12"/>
        </w:rPr>
        <w:t xml:space="preserve">Finally, any </w:t>
      </w:r>
      <w:r>
        <w:rPr>
          <w:rFonts w:cs="CMR12"/>
        </w:rPr>
        <w:t>signals</w:t>
      </w:r>
      <w:r w:rsidRPr="00241B9E">
        <w:rPr>
          <w:rFonts w:cs="CMR12"/>
        </w:rPr>
        <w:t xml:space="preserve"> made after 4p</w:t>
      </w:r>
      <w:r>
        <w:rPr>
          <w:rFonts w:cs="CMR12"/>
        </w:rPr>
        <w:t>m EDT (</w:t>
      </w:r>
      <w:commentRangeStart w:id="4"/>
      <w:r>
        <w:rPr>
          <w:rFonts w:cs="CMR12"/>
        </w:rPr>
        <w:t>closing time of markets</w:t>
      </w:r>
      <w:commentRangeEnd w:id="4"/>
      <w:r>
        <w:rPr>
          <w:rStyle w:val="CommentReference"/>
        </w:rPr>
        <w:commentReference w:id="4"/>
      </w:r>
      <w:r>
        <w:rPr>
          <w:rFonts w:cs="CMR12"/>
        </w:rPr>
        <w:t xml:space="preserve">) were considered to have their impact on the next day prices. We also removed from the data </w:t>
      </w:r>
      <w:r w:rsidRPr="00241B9E">
        <w:rPr>
          <w:rFonts w:cs="CMR12"/>
        </w:rPr>
        <w:t>set 7 rows that had a tweet in the column</w:t>
      </w:r>
      <w:r>
        <w:rPr>
          <w:rFonts w:cs="CMR12"/>
        </w:rPr>
        <w:t xml:space="preserve"> where the date and time should </w:t>
      </w:r>
      <w:r w:rsidRPr="00241B9E">
        <w:rPr>
          <w:rFonts w:cs="CMR12"/>
        </w:rPr>
        <w:t xml:space="preserve">have </w:t>
      </w:r>
      <w:commentRangeStart w:id="5"/>
      <w:r w:rsidRPr="00241B9E">
        <w:rPr>
          <w:rFonts w:cs="CMR12"/>
        </w:rPr>
        <w:t>been</w:t>
      </w:r>
      <w:r>
        <w:rPr>
          <w:rStyle w:val="FootnoteReference"/>
          <w:rFonts w:cs="CMR12"/>
        </w:rPr>
        <w:footnoteReference w:id="1"/>
      </w:r>
      <w:r>
        <w:rPr>
          <w:rFonts w:cs="CMR12"/>
        </w:rPr>
        <w:t xml:space="preserve">. </w:t>
      </w:r>
      <w:commentRangeEnd w:id="5"/>
      <w:r>
        <w:rPr>
          <w:rStyle w:val="CommentReference"/>
        </w:rPr>
        <w:commentReference w:id="5"/>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Pr>
          <w:rFonts w:cs="CMR12"/>
        </w:rPr>
        <w:lastRenderedPageBreak/>
        <w:t>From here we created a fi</w:t>
      </w:r>
      <w:r w:rsidRPr="00241B9E">
        <w:rPr>
          <w:rFonts w:cs="CMR12"/>
        </w:rPr>
        <w:t xml:space="preserve">le with </w:t>
      </w:r>
      <w:r>
        <w:rPr>
          <w:rFonts w:cs="CMR12"/>
        </w:rPr>
        <w:t xml:space="preserve">the number of signals per ticker </w:t>
      </w:r>
      <w:r w:rsidRPr="00241B9E">
        <w:rPr>
          <w:rFonts w:cs="CMR12"/>
        </w:rPr>
        <w:t>per day, a sample of which is shown below.</w:t>
      </w:r>
    </w:p>
    <w:p w:rsidR="003A2379" w:rsidRDefault="003A2379" w:rsidP="003A2379">
      <w:pPr>
        <w:autoSpaceDE w:val="0"/>
        <w:autoSpaceDN w:val="0"/>
        <w:adjustRightInd w:val="0"/>
        <w:rPr>
          <w:rFonts w:cs="CMR12"/>
        </w:rPr>
      </w:pPr>
    </w:p>
    <w:p w:rsidR="003A2379" w:rsidRPr="002E649F" w:rsidRDefault="003A2379" w:rsidP="003A2379">
      <w:pPr>
        <w:autoSpaceDE w:val="0"/>
        <w:autoSpaceDN w:val="0"/>
        <w:adjustRightInd w:val="0"/>
        <w:rPr>
          <w:rFonts w:cs="NimbusMonL-Regu"/>
          <w:sz w:val="20"/>
          <w:szCs w:val="20"/>
        </w:rPr>
      </w:pPr>
      <w:proofErr w:type="spellStart"/>
      <w:r w:rsidRPr="002E649F">
        <w:rPr>
          <w:rFonts w:cs="NimbusMonL-Regu"/>
          <w:sz w:val="20"/>
          <w:szCs w:val="20"/>
        </w:rPr>
        <w:t>Date</w:t>
      </w:r>
      <w:proofErr w:type="gramStart"/>
      <w:r w:rsidRPr="002E649F">
        <w:rPr>
          <w:rFonts w:cs="NimbusMonL-Regu"/>
          <w:sz w:val="20"/>
          <w:szCs w:val="20"/>
        </w:rPr>
        <w:t>,duk,gm,orcl,cvx,nok,lmt,ibm,twc,cmcsa,ba</w:t>
      </w:r>
      <w:proofErr w:type="spellEnd"/>
      <w:proofErr w:type="gramEnd"/>
      <w:r w:rsidRPr="002E649F">
        <w:rPr>
          <w:rFonts w:cs="NimbusMonL-Regu"/>
          <w:sz w:val="20"/>
          <w:szCs w:val="20"/>
        </w:rPr>
        <w:t>,...</w:t>
      </w:r>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20141128,0,0,0,2,0,0,0,0,1,0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20141127,0,1,0,0,0,0,0,0,0,0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20141126,0,1,0,0,0,0,1,1,4,0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20141125,0,1,0,3,0,0,0,0,2,0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20141124,0,3,0,2,0,0,1,0,0,0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20141123,0,0,0,0,0,0,0,0,1,0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20141121,0,0,0,1,0,0,0,1,3,0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20141120,0,2,0,0,0,0,0,0,0,0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20141119,0,0,0,0,0,0,0,0,1,0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20141118,0,0,0,1,0,0,1,0,0,0</w:t>
      </w:r>
      <w:proofErr w:type="gramStart"/>
      <w:r w:rsidRPr="002E649F">
        <w:rPr>
          <w:rFonts w:cs="NimbusMonL-Regu"/>
          <w:sz w:val="20"/>
          <w:szCs w:val="20"/>
        </w:rPr>
        <w:t>,...</w:t>
      </w:r>
      <w:proofErr w:type="gramEnd"/>
    </w:p>
    <w:p w:rsidR="003A2379" w:rsidRPr="002E649F" w:rsidRDefault="003A2379" w:rsidP="003A2379">
      <w:pPr>
        <w:autoSpaceDE w:val="0"/>
        <w:autoSpaceDN w:val="0"/>
        <w:adjustRightInd w:val="0"/>
        <w:rPr>
          <w:rFonts w:cs="NimbusMonL-Regu"/>
          <w:sz w:val="20"/>
          <w:szCs w:val="20"/>
        </w:rPr>
      </w:pPr>
      <w:r w:rsidRPr="002E649F">
        <w:rPr>
          <w:rFonts w:cs="NimbusMonL-Regu"/>
          <w:sz w:val="20"/>
          <w:szCs w:val="20"/>
        </w:rPr>
        <w:t>20141117,1,3,0,0,0,0,0,0,0,4</w:t>
      </w:r>
      <w:proofErr w:type="gramStart"/>
      <w:r w:rsidRPr="002E649F">
        <w:rPr>
          <w:rFonts w:cs="NimbusMonL-Regu"/>
          <w:sz w:val="20"/>
          <w:szCs w:val="20"/>
        </w:rPr>
        <w:t>,...</w:t>
      </w:r>
      <w:proofErr w:type="gramEnd"/>
    </w:p>
    <w:p w:rsidR="003A2379" w:rsidRPr="00241B9E" w:rsidRDefault="003A2379" w:rsidP="003A2379">
      <w:pPr>
        <w:autoSpaceDE w:val="0"/>
        <w:autoSpaceDN w:val="0"/>
        <w:adjustRightInd w:val="0"/>
        <w:rPr>
          <w:rFonts w:cs="NimbusMonL-Regu"/>
          <w:sz w:val="20"/>
          <w:szCs w:val="20"/>
        </w:rPr>
      </w:pPr>
      <w:r w:rsidRPr="00241B9E">
        <w:rPr>
          <w:rFonts w:cs="NimbusMonL-Regu"/>
          <w:sz w:val="20"/>
          <w:szCs w:val="20"/>
        </w:rPr>
        <w:t>...</w:t>
      </w:r>
    </w:p>
    <w:p w:rsidR="003A2379" w:rsidRDefault="003A2379" w:rsidP="003A2379">
      <w:pPr>
        <w:rPr>
          <w:rFonts w:cs="CMR10"/>
          <w:sz w:val="20"/>
          <w:szCs w:val="20"/>
        </w:rPr>
      </w:pPr>
    </w:p>
    <w:p w:rsidR="003A2379" w:rsidRPr="002D5B3A" w:rsidRDefault="003A2379" w:rsidP="003A2379">
      <w:pPr>
        <w:autoSpaceDE w:val="0"/>
        <w:autoSpaceDN w:val="0"/>
        <w:adjustRightInd w:val="0"/>
        <w:rPr>
          <w:rFonts w:cs="CMR12"/>
        </w:rPr>
      </w:pPr>
      <w:r>
        <w:rPr>
          <w:rFonts w:cs="CMR12"/>
        </w:rPr>
        <w:t>We first limited the price and signal fi</w:t>
      </w:r>
      <w:r w:rsidRPr="00241B9E">
        <w:rPr>
          <w:rFonts w:cs="CMR12"/>
        </w:rPr>
        <w:t>les to th</w:t>
      </w:r>
      <w:r>
        <w:rPr>
          <w:rFonts w:cs="CMR12"/>
        </w:rPr>
        <w:t xml:space="preserve">ose tickers and dates common to </w:t>
      </w:r>
      <w:r w:rsidRPr="00241B9E">
        <w:rPr>
          <w:rFonts w:cs="CMR12"/>
        </w:rPr>
        <w:t xml:space="preserve">both. In particular, 55 of the 1993 US tickers </w:t>
      </w:r>
      <w:r>
        <w:rPr>
          <w:rFonts w:cs="CMR12"/>
        </w:rPr>
        <w:t xml:space="preserve">in the signal data did not </w:t>
      </w:r>
      <w:r w:rsidRPr="00241B9E">
        <w:rPr>
          <w:rFonts w:cs="CMR12"/>
        </w:rPr>
        <w:t xml:space="preserve">have prices available on </w:t>
      </w:r>
      <w:r>
        <w:rPr>
          <w:rFonts w:cs="CMR12"/>
        </w:rPr>
        <w:t>Yahoo</w:t>
      </w:r>
      <w:r w:rsidRPr="00241B9E">
        <w:rPr>
          <w:rFonts w:cs="CMR12"/>
        </w:rPr>
        <w:t>, so t</w:t>
      </w:r>
      <w:r>
        <w:rPr>
          <w:rFonts w:cs="CMR12"/>
        </w:rPr>
        <w:t xml:space="preserve">hese tickers were excluded from </w:t>
      </w:r>
      <w:r w:rsidRPr="00241B9E">
        <w:rPr>
          <w:rFonts w:cs="CMR12"/>
        </w:rPr>
        <w:t>the analysis</w:t>
      </w:r>
      <w:r>
        <w:rPr>
          <w:rStyle w:val="FootnoteReference"/>
          <w:rFonts w:cs="CMR12"/>
        </w:rPr>
        <w:footnoteReference w:id="2"/>
      </w:r>
      <w:r w:rsidRPr="00241B9E">
        <w:rPr>
          <w:rFonts w:cs="CMR12"/>
        </w:rPr>
        <w:t>. There were also a few dat</w:t>
      </w:r>
      <w:r>
        <w:rPr>
          <w:rFonts w:cs="CMR12"/>
        </w:rPr>
        <w:t>es that were not common to both fi</w:t>
      </w:r>
      <w:r w:rsidRPr="00241B9E">
        <w:rPr>
          <w:rFonts w:cs="CMR12"/>
        </w:rPr>
        <w:t>les (for example, there were some tweets o</w:t>
      </w:r>
      <w:r>
        <w:rPr>
          <w:rFonts w:cs="CMR12"/>
        </w:rPr>
        <w:t xml:space="preserve">n </w:t>
      </w:r>
      <w:commentRangeStart w:id="8"/>
      <w:r>
        <w:rPr>
          <w:rFonts w:cs="CMR12"/>
        </w:rPr>
        <w:t>Sundays</w:t>
      </w:r>
      <w:commentRangeEnd w:id="8"/>
      <w:r>
        <w:rPr>
          <w:rStyle w:val="CommentReference"/>
        </w:rPr>
        <w:commentReference w:id="8"/>
      </w:r>
      <w:r>
        <w:rPr>
          <w:rFonts w:cs="CMR12"/>
        </w:rPr>
        <w:t xml:space="preserve">), and those data were </w:t>
      </w:r>
      <w:r w:rsidRPr="00241B9E">
        <w:rPr>
          <w:rFonts w:cs="CMR12"/>
        </w:rPr>
        <w:t>removed as well. This yielded 182 days of data on 2065 assets, with 18368</w:t>
      </w:r>
      <w:r>
        <w:rPr>
          <w:rFonts w:cs="CMR12"/>
        </w:rPr>
        <w:t xml:space="preserve"> </w:t>
      </w:r>
      <w:commentRangeStart w:id="9"/>
      <w:r w:rsidRPr="00241B9E">
        <w:rPr>
          <w:rFonts w:cs="CMR12"/>
        </w:rPr>
        <w:t>s</w:t>
      </w:r>
      <w:r>
        <w:rPr>
          <w:rFonts w:cs="CMR12"/>
        </w:rPr>
        <w:t>ignals</w:t>
      </w:r>
      <w:r w:rsidRPr="00241B9E">
        <w:rPr>
          <w:rFonts w:cs="CMR12"/>
        </w:rPr>
        <w:t xml:space="preserve"> </w:t>
      </w:r>
      <w:commentRangeEnd w:id="9"/>
      <w:r>
        <w:rPr>
          <w:rStyle w:val="CommentReference"/>
        </w:rPr>
        <w:commentReference w:id="9"/>
      </w:r>
      <w:r w:rsidRPr="00241B9E">
        <w:rPr>
          <w:rFonts w:cs="CMR12"/>
        </w:rPr>
        <w:t>in total.</w:t>
      </w:r>
    </w:p>
    <w:p w:rsidR="003A2379" w:rsidRPr="00762175" w:rsidRDefault="003A2379" w:rsidP="003A2379">
      <w:pPr>
        <w:pStyle w:val="Heading2"/>
        <w:rPr>
          <w:sz w:val="26"/>
        </w:rPr>
      </w:pPr>
      <w:r>
        <w:t>Yahoo</w:t>
      </w:r>
      <w:r w:rsidRPr="00241B9E">
        <w:t xml:space="preserve"> Price Data</w:t>
      </w:r>
    </w:p>
    <w:p w:rsidR="003A2379" w:rsidRDefault="003A2379" w:rsidP="003A2379">
      <w:pPr>
        <w:autoSpaceDE w:val="0"/>
        <w:autoSpaceDN w:val="0"/>
        <w:adjustRightInd w:val="0"/>
        <w:rPr>
          <w:rFonts w:cs="CMR12"/>
        </w:rPr>
      </w:pPr>
      <w:r w:rsidRPr="00241B9E">
        <w:rPr>
          <w:rFonts w:cs="CMR12"/>
        </w:rPr>
        <w:t xml:space="preserve">Using </w:t>
      </w:r>
      <w:r>
        <w:rPr>
          <w:rFonts w:cs="CMR12"/>
        </w:rPr>
        <w:t>Yahoo Finance</w:t>
      </w:r>
      <w:r w:rsidRPr="00241B9E">
        <w:rPr>
          <w:rFonts w:cs="CMR12"/>
        </w:rPr>
        <w:t xml:space="preserve">, we downloaded price </w:t>
      </w:r>
      <w:r>
        <w:rPr>
          <w:rFonts w:cs="CMR12"/>
        </w:rPr>
        <w:t xml:space="preserve">data for all US tickers between 13 </w:t>
      </w:r>
      <w:proofErr w:type="gramStart"/>
      <w:r>
        <w:rPr>
          <w:rFonts w:cs="CMR12"/>
        </w:rPr>
        <w:t>March,</w:t>
      </w:r>
      <w:proofErr w:type="gramEnd"/>
      <w:r>
        <w:rPr>
          <w:rFonts w:cs="CMR12"/>
        </w:rPr>
        <w:t xml:space="preserve"> </w:t>
      </w:r>
      <w:r w:rsidRPr="00241B9E">
        <w:rPr>
          <w:rFonts w:cs="CMR12"/>
        </w:rPr>
        <w:t>2014 and 28 November, 2014</w:t>
      </w:r>
      <w:r>
        <w:rPr>
          <w:rFonts w:cs="CMR12"/>
        </w:rPr>
        <w:t xml:space="preserve">. From these data we calculated </w:t>
      </w:r>
      <w:r w:rsidRPr="00241B9E">
        <w:rPr>
          <w:rFonts w:cs="CMR12"/>
        </w:rPr>
        <w:t xml:space="preserve">returns for the period between 14 </w:t>
      </w:r>
      <w:proofErr w:type="gramStart"/>
      <w:r w:rsidRPr="00241B9E">
        <w:rPr>
          <w:rFonts w:cs="CMR12"/>
        </w:rPr>
        <w:t>Mar</w:t>
      </w:r>
      <w:r>
        <w:rPr>
          <w:rFonts w:cs="CMR12"/>
        </w:rPr>
        <w:t>ch,</w:t>
      </w:r>
      <w:proofErr w:type="gramEnd"/>
      <w:r>
        <w:rPr>
          <w:rFonts w:cs="CMR12"/>
        </w:rPr>
        <w:t xml:space="preserve"> 2014 and 28 November, 2014, </w:t>
      </w:r>
      <w:r w:rsidRPr="00241B9E">
        <w:rPr>
          <w:rFonts w:cs="CMR12"/>
        </w:rPr>
        <w:t>which corresponds to the dates available in</w:t>
      </w:r>
      <w:r>
        <w:rPr>
          <w:rFonts w:cs="CMR12"/>
        </w:rPr>
        <w:t xml:space="preserve"> the </w:t>
      </w:r>
      <w:proofErr w:type="spellStart"/>
      <w:r>
        <w:rPr>
          <w:rFonts w:cs="CMR12"/>
        </w:rPr>
        <w:t>DataMinr</w:t>
      </w:r>
      <w:proofErr w:type="spellEnd"/>
      <w:r>
        <w:rPr>
          <w:rFonts w:cs="CMR12"/>
        </w:rPr>
        <w:t xml:space="preserve"> data. Any missing </w:t>
      </w:r>
      <w:r w:rsidRPr="00241B9E">
        <w:rPr>
          <w:rFonts w:cs="CMR12"/>
        </w:rPr>
        <w:t>return values during this period were excluded from the analysis.</w:t>
      </w:r>
    </w:p>
    <w:p w:rsidR="003A2379" w:rsidRDefault="003A2379" w:rsidP="003A2379">
      <w:pPr>
        <w:pStyle w:val="Heading2"/>
      </w:pPr>
      <w:r w:rsidRPr="004B0304">
        <w:lastRenderedPageBreak/>
        <w:t xml:space="preserve">Intraday </w:t>
      </w:r>
      <w:r>
        <w:t xml:space="preserve">Price </w:t>
      </w:r>
      <w:r w:rsidRPr="004B0304">
        <w:t>data</w:t>
      </w:r>
    </w:p>
    <w:p w:rsidR="003A2379" w:rsidRDefault="003A2379" w:rsidP="003A2379">
      <w:pPr>
        <w:rPr>
          <w:rFonts w:cs="CMR12"/>
        </w:rPr>
      </w:pPr>
      <w:r w:rsidRPr="00AA281C">
        <w:rPr>
          <w:rFonts w:cs="CMR12"/>
        </w:rPr>
        <w:t xml:space="preserve">Our intra-day analysis is based on the </w:t>
      </w:r>
      <w:r>
        <w:rPr>
          <w:rFonts w:cs="CMR12"/>
        </w:rPr>
        <w:t xml:space="preserve">minute </w:t>
      </w:r>
      <w:r w:rsidRPr="009E66AC">
        <w:rPr>
          <w:rFonts w:cs="CMR12"/>
        </w:rPr>
        <w:t xml:space="preserve">by minute </w:t>
      </w:r>
      <w:r w:rsidRPr="00AA281C">
        <w:rPr>
          <w:rFonts w:cs="CMR12"/>
        </w:rPr>
        <w:t xml:space="preserve">price data taken from the </w:t>
      </w:r>
      <w:r>
        <w:rPr>
          <w:rFonts w:cs="CMR12"/>
        </w:rPr>
        <w:t xml:space="preserve">file </w:t>
      </w:r>
      <w:proofErr w:type="gramStart"/>
      <w:r w:rsidRPr="00AA281C">
        <w:rPr>
          <w:rFonts w:cs="CMR12"/>
          <w:color w:val="365F91" w:themeColor="accent1" w:themeShade="BF"/>
        </w:rPr>
        <w:t>price.1min.march.dec.tgz</w:t>
      </w:r>
      <w:r>
        <w:rPr>
          <w:rFonts w:cs="CMR12"/>
          <w:color w:val="365F91" w:themeColor="accent1" w:themeShade="BF"/>
        </w:rPr>
        <w:t xml:space="preserve"> .</w:t>
      </w:r>
      <w:proofErr w:type="gramEnd"/>
      <w:r>
        <w:rPr>
          <w:rFonts w:cs="CMR12"/>
          <w:color w:val="365F91" w:themeColor="accent1" w:themeShade="BF"/>
        </w:rPr>
        <w:t xml:space="preserve"> </w:t>
      </w:r>
      <w:r w:rsidRPr="00AA281C">
        <w:rPr>
          <w:rFonts w:cs="CMR12"/>
        </w:rPr>
        <w:t>We have divided the trading day into hour</w:t>
      </w:r>
      <w:r>
        <w:rPr>
          <w:rFonts w:cs="CMR12"/>
        </w:rPr>
        <w:t>-</w:t>
      </w:r>
      <w:r w:rsidRPr="00AA281C">
        <w:rPr>
          <w:rFonts w:cs="CMR12"/>
        </w:rPr>
        <w:t>long intervals into which we have b</w:t>
      </w:r>
      <w:r>
        <w:rPr>
          <w:rFonts w:cs="CMR12"/>
        </w:rPr>
        <w:t>in</w:t>
      </w:r>
      <w:r w:rsidRPr="00AA281C">
        <w:rPr>
          <w:rFonts w:cs="CMR12"/>
        </w:rPr>
        <w:t xml:space="preserve">ned the </w:t>
      </w:r>
      <w:r>
        <w:rPr>
          <w:rFonts w:cs="CMR12"/>
        </w:rPr>
        <w:t xml:space="preserve">signal </w:t>
      </w:r>
      <w:r w:rsidRPr="00AA281C">
        <w:rPr>
          <w:rFonts w:cs="CMR12"/>
        </w:rPr>
        <w:t>counts.</w:t>
      </w:r>
    </w:p>
    <w:p w:rsidR="003A2379" w:rsidRPr="00241B9E" w:rsidRDefault="003A2379" w:rsidP="003A2379">
      <w:pPr>
        <w:autoSpaceDE w:val="0"/>
        <w:autoSpaceDN w:val="0"/>
        <w:adjustRightInd w:val="0"/>
        <w:rPr>
          <w:rFonts w:cs="CMR12"/>
        </w:rPr>
      </w:pPr>
    </w:p>
    <w:p w:rsidR="003A2379" w:rsidRPr="00762175" w:rsidRDefault="003A2379" w:rsidP="003A2379">
      <w:pPr>
        <w:pStyle w:val="Heading1"/>
      </w:pPr>
      <w:r>
        <w:t>Analysis of Alert Signals</w:t>
      </w:r>
    </w:p>
    <w:p w:rsidR="003A2379" w:rsidRDefault="003A2379" w:rsidP="003A2379">
      <w:pPr>
        <w:pStyle w:val="Heading3"/>
      </w:pPr>
      <w:r w:rsidRPr="00AA281C">
        <w:t>End of day Analysis</w:t>
      </w:r>
    </w:p>
    <w:p w:rsidR="003A2379" w:rsidRDefault="003A2379" w:rsidP="003A2379">
      <w:pPr>
        <w:autoSpaceDE w:val="0"/>
        <w:autoSpaceDN w:val="0"/>
        <w:adjustRightInd w:val="0"/>
        <w:rPr>
          <w:rFonts w:cs="CMR12"/>
        </w:rPr>
      </w:pPr>
      <w:r>
        <w:rPr>
          <w:rFonts w:cs="CMR12"/>
        </w:rPr>
        <w:t>We fi</w:t>
      </w:r>
      <w:r w:rsidRPr="00241B9E">
        <w:rPr>
          <w:rFonts w:cs="CMR12"/>
        </w:rPr>
        <w:t>rst consider whether there is any relati</w:t>
      </w:r>
      <w:r>
        <w:rPr>
          <w:rFonts w:cs="CMR12"/>
        </w:rPr>
        <w:t xml:space="preserve">onship between </w:t>
      </w:r>
      <w:proofErr w:type="spellStart"/>
      <w:r>
        <w:rPr>
          <w:rFonts w:cs="CMR12"/>
        </w:rPr>
        <w:t>Dataminr</w:t>
      </w:r>
      <w:proofErr w:type="spellEnd"/>
      <w:r>
        <w:rPr>
          <w:rFonts w:cs="CMR12"/>
        </w:rPr>
        <w:t xml:space="preserve"> signal activity </w:t>
      </w:r>
      <w:r w:rsidRPr="00241B9E">
        <w:rPr>
          <w:rFonts w:cs="CMR12"/>
        </w:rPr>
        <w:t>and asset returns by comparing ave</w:t>
      </w:r>
      <w:r>
        <w:rPr>
          <w:rFonts w:cs="CMR12"/>
        </w:rPr>
        <w:t>rage absolute return values on “high" and “</w:t>
      </w:r>
      <w:r w:rsidRPr="00241B9E">
        <w:rPr>
          <w:rFonts w:cs="CMR12"/>
        </w:rPr>
        <w:t xml:space="preserve">low" </w:t>
      </w:r>
      <w:r>
        <w:rPr>
          <w:rFonts w:cs="CMR12"/>
        </w:rPr>
        <w:t>signal days. We consider two defi</w:t>
      </w:r>
      <w:r w:rsidRPr="00241B9E">
        <w:rPr>
          <w:rFonts w:cs="CMR12"/>
        </w:rPr>
        <w:t>nitions of high and</w:t>
      </w:r>
      <w:r>
        <w:rPr>
          <w:rFonts w:cs="CMR12"/>
        </w:rPr>
        <w:t xml:space="preserve"> </w:t>
      </w:r>
      <w:r w:rsidRPr="00241B9E">
        <w:rPr>
          <w:rFonts w:cs="CMR12"/>
        </w:rPr>
        <w:t xml:space="preserve">low activity: </w:t>
      </w:r>
      <w:r>
        <w:rPr>
          <w:rFonts w:cs="CMR12"/>
        </w:rPr>
        <w:t>signals</w:t>
      </w:r>
      <w:r w:rsidRPr="00241B9E">
        <w:rPr>
          <w:rFonts w:cs="CMR12"/>
        </w:rPr>
        <w:t xml:space="preserve"> vs. no </w:t>
      </w:r>
      <w:r>
        <w:rPr>
          <w:rFonts w:cs="CMR12"/>
        </w:rPr>
        <w:t>signal</w:t>
      </w:r>
      <w:r w:rsidRPr="00241B9E">
        <w:rPr>
          <w:rFonts w:cs="CMR12"/>
        </w:rPr>
        <w:t xml:space="preserve">s and many </w:t>
      </w:r>
      <w:r>
        <w:rPr>
          <w:rFonts w:cs="CMR12"/>
        </w:rPr>
        <w:t xml:space="preserve">signals vs. fewer signals. </w:t>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Pr>
          <w:rFonts w:cs="CMR12"/>
        </w:rPr>
        <w:t xml:space="preserve">In both </w:t>
      </w:r>
      <w:r w:rsidRPr="00241B9E">
        <w:rPr>
          <w:rFonts w:cs="CMR12"/>
        </w:rPr>
        <w:t>cases we test whether the mean</w:t>
      </w:r>
      <w:r>
        <w:rPr>
          <w:rFonts w:cs="CMR12"/>
        </w:rPr>
        <w:t xml:space="preserve"> absolute return value is significantly diff</w:t>
      </w:r>
      <w:r w:rsidRPr="00241B9E">
        <w:rPr>
          <w:rFonts w:cs="CMR12"/>
        </w:rPr>
        <w:t>erent</w:t>
      </w:r>
      <w:r>
        <w:rPr>
          <w:rFonts w:cs="CMR12"/>
        </w:rPr>
        <w:t xml:space="preserve"> </w:t>
      </w:r>
      <w:r w:rsidRPr="00241B9E">
        <w:t>on</w:t>
      </w:r>
      <w:r>
        <w:t xml:space="preserve"> high versus low activity days. We find that t</w:t>
      </w:r>
      <w:r w:rsidRPr="00241B9E">
        <w:t xml:space="preserve">he mean absolute return on days </w:t>
      </w:r>
      <w:r>
        <w:t xml:space="preserve">with any signals is </w:t>
      </w:r>
      <w:bookmarkStart w:id="10" w:name="OLE_LINK12"/>
      <w:bookmarkStart w:id="11" w:name="OLE_LINK13"/>
      <w:bookmarkStart w:id="12" w:name="OLE_LINK14"/>
      <w:r>
        <w:t xml:space="preserve">3.0% </w:t>
      </w:r>
      <w:bookmarkEnd w:id="10"/>
      <w:bookmarkEnd w:id="11"/>
      <w:bookmarkEnd w:id="12"/>
      <w:r>
        <w:t xml:space="preserve">and the </w:t>
      </w:r>
      <w:r w:rsidRPr="00241B9E">
        <w:t xml:space="preserve">mean absolute return on days with no </w:t>
      </w:r>
      <w:r>
        <w:t>signal</w:t>
      </w:r>
      <w:r w:rsidRPr="00241B9E">
        <w:t xml:space="preserve">s is </w:t>
      </w:r>
      <w:bookmarkStart w:id="13" w:name="OLE_LINK15"/>
      <w:bookmarkStart w:id="14" w:name="OLE_LINK16"/>
      <w:r w:rsidRPr="00241B9E">
        <w:t>1.6%</w:t>
      </w:r>
      <w:bookmarkEnd w:id="13"/>
      <w:bookmarkEnd w:id="14"/>
      <w:r w:rsidRPr="00241B9E">
        <w:t>. The p-value for testing</w:t>
      </w:r>
      <w:r>
        <w:rPr>
          <w:rFonts w:cs="CMR12"/>
        </w:rPr>
        <w:t xml:space="preserve"> </w:t>
      </w:r>
      <w:r w:rsidRPr="00241B9E">
        <w:rPr>
          <w:rFonts w:cs="CMR12"/>
        </w:rPr>
        <w:t>equality of the two means is less than</w:t>
      </w:r>
      <w:r>
        <w:rPr>
          <w:rFonts w:cs="CMR12"/>
        </w:rPr>
        <w:t xml:space="preserve"> </w:t>
      </w:r>
      <w:bookmarkStart w:id="15" w:name="OLE_LINK17"/>
      <w:bookmarkStart w:id="16" w:name="OLE_LINK18"/>
      <w:r>
        <w:rPr>
          <w:rFonts w:cs="CMR12"/>
        </w:rPr>
        <w:t>10</w:t>
      </w:r>
      <w:r>
        <w:rPr>
          <w:rFonts w:cs="CMR12"/>
          <w:vertAlign w:val="superscript"/>
        </w:rPr>
        <w:t>-16</w:t>
      </w:r>
      <w:bookmarkEnd w:id="15"/>
      <w:bookmarkEnd w:id="16"/>
      <w:r w:rsidRPr="00241B9E">
        <w:rPr>
          <w:rFonts w:cs="CMR12"/>
        </w:rPr>
        <w:t xml:space="preserve">. </w:t>
      </w:r>
    </w:p>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r>
        <w:rPr>
          <w:rFonts w:cs="CMR12"/>
        </w:rPr>
        <w:t xml:space="preserve">For comparing many signals </w:t>
      </w:r>
      <w:r w:rsidRPr="00241B9E">
        <w:rPr>
          <w:rFonts w:cs="CMR12"/>
        </w:rPr>
        <w:t xml:space="preserve">versus fewer </w:t>
      </w:r>
      <w:r>
        <w:rPr>
          <w:rFonts w:cs="CMR12"/>
        </w:rPr>
        <w:t>signal</w:t>
      </w:r>
      <w:r w:rsidRPr="00241B9E">
        <w:rPr>
          <w:rFonts w:cs="CMR12"/>
        </w:rPr>
        <w:t>s, we calculate for each ticker t</w:t>
      </w:r>
      <w:r>
        <w:rPr>
          <w:rFonts w:cs="CMR12"/>
        </w:rPr>
        <w:t xml:space="preserve">he 90th percentile of number </w:t>
      </w:r>
      <w:r w:rsidRPr="00241B9E">
        <w:rPr>
          <w:rFonts w:cs="CMR12"/>
        </w:rPr>
        <w:t xml:space="preserve">of </w:t>
      </w:r>
      <w:r>
        <w:rPr>
          <w:rFonts w:cs="CMR12"/>
        </w:rPr>
        <w:t>signal</w:t>
      </w:r>
      <w:r w:rsidRPr="00241B9E">
        <w:rPr>
          <w:rFonts w:cs="CMR12"/>
        </w:rPr>
        <w:t>s per day. All days where the number</w:t>
      </w:r>
      <w:r>
        <w:rPr>
          <w:rFonts w:cs="CMR12"/>
        </w:rPr>
        <w:t xml:space="preserve"> of signals was higher than the </w:t>
      </w:r>
      <w:r w:rsidRPr="00241B9E">
        <w:rPr>
          <w:rFonts w:cs="CMR12"/>
        </w:rPr>
        <w:t>90th percentile for the given ticker were cons</w:t>
      </w:r>
      <w:r>
        <w:rPr>
          <w:rFonts w:cs="CMR12"/>
        </w:rPr>
        <w:t>idered high signal days for that ticker. Defi</w:t>
      </w:r>
      <w:r w:rsidRPr="00241B9E">
        <w:rPr>
          <w:rFonts w:cs="CMR12"/>
        </w:rPr>
        <w:t>ned this way, the mean absolute ret</w:t>
      </w:r>
      <w:r>
        <w:rPr>
          <w:rFonts w:cs="CMR12"/>
        </w:rPr>
        <w:t xml:space="preserve">urn value on high signal days is </w:t>
      </w:r>
      <w:r w:rsidRPr="00241B9E">
        <w:rPr>
          <w:rFonts w:cs="CMR12"/>
        </w:rPr>
        <w:t xml:space="preserve">equal to </w:t>
      </w:r>
      <w:bookmarkStart w:id="17" w:name="OLE_LINK19"/>
      <w:r w:rsidRPr="00241B9E">
        <w:rPr>
          <w:rFonts w:cs="CMR12"/>
        </w:rPr>
        <w:t xml:space="preserve">3.6% </w:t>
      </w:r>
      <w:bookmarkEnd w:id="17"/>
      <w:r w:rsidRPr="00241B9E">
        <w:rPr>
          <w:rFonts w:cs="CMR12"/>
        </w:rPr>
        <w:t>and the mean absolute return o</w:t>
      </w:r>
      <w:r>
        <w:rPr>
          <w:rFonts w:cs="CMR12"/>
        </w:rPr>
        <w:t xml:space="preserve">n days with low signal is equal </w:t>
      </w:r>
      <w:r w:rsidRPr="00241B9E">
        <w:rPr>
          <w:rFonts w:cs="CMR12"/>
        </w:rPr>
        <w:t xml:space="preserve">to </w:t>
      </w:r>
      <w:bookmarkStart w:id="18" w:name="OLE_LINK20"/>
      <w:bookmarkStart w:id="19" w:name="OLE_LINK21"/>
      <w:r w:rsidRPr="00241B9E">
        <w:rPr>
          <w:rFonts w:cs="CMR12"/>
        </w:rPr>
        <w:t xml:space="preserve">1.6%, </w:t>
      </w:r>
      <w:bookmarkEnd w:id="18"/>
      <w:bookmarkEnd w:id="19"/>
      <w:r w:rsidRPr="00241B9E">
        <w:rPr>
          <w:rFonts w:cs="CMR12"/>
        </w:rPr>
        <w:t xml:space="preserve">with p-value again less than </w:t>
      </w:r>
      <w:r>
        <w:rPr>
          <w:rFonts w:cs="CMR12"/>
        </w:rPr>
        <w:t>10</w:t>
      </w:r>
      <w:r>
        <w:rPr>
          <w:rFonts w:cs="CMR12"/>
          <w:vertAlign w:val="superscript"/>
        </w:rPr>
        <w:t>-16</w:t>
      </w:r>
      <w:r w:rsidRPr="00241B9E">
        <w:rPr>
          <w:rFonts w:cs="CMR12"/>
        </w:rPr>
        <w:t xml:space="preserve">. </w:t>
      </w:r>
    </w:p>
    <w:p w:rsidR="003A2379" w:rsidRDefault="003A2379" w:rsidP="003A2379">
      <w:pPr>
        <w:autoSpaceDE w:val="0"/>
        <w:autoSpaceDN w:val="0"/>
        <w:adjustRightInd w:val="0"/>
        <w:rPr>
          <w:rFonts w:cs="CMR12"/>
        </w:rPr>
      </w:pPr>
    </w:p>
    <w:p w:rsidR="003A2379" w:rsidRDefault="003A2379">
      <w:pPr>
        <w:jc w:val="left"/>
        <w:rPr>
          <w:b/>
          <w:bCs/>
          <w:szCs w:val="18"/>
        </w:rPr>
      </w:pPr>
      <w:r>
        <w:br w:type="page"/>
      </w: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1</w:t>
      </w:r>
      <w:r>
        <w:fldChar w:fldCharType="end"/>
      </w:r>
      <w:r>
        <w:t>: Mean absolute returns for Alert -signals</w:t>
      </w:r>
    </w:p>
    <w:p w:rsidR="003A2379" w:rsidRDefault="003A2379" w:rsidP="003A2379">
      <w:pPr>
        <w:autoSpaceDE w:val="0"/>
        <w:autoSpaceDN w:val="0"/>
        <w:adjustRightInd w:val="0"/>
        <w:rPr>
          <w:rFonts w:cs="CMR12"/>
        </w:rPr>
      </w:pPr>
      <w:commentRangeStart w:id="20"/>
      <w:r>
        <w:rPr>
          <w:rFonts w:cs="CMR12"/>
          <w:noProof/>
        </w:rPr>
        <w:lastRenderedPageBreak/>
        <w:drawing>
          <wp:inline distT="0" distB="0" distL="0" distR="0" wp14:anchorId="4D5F2ABD" wp14:editId="56F77624">
            <wp:extent cx="58293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20"/>
      <w:r>
        <w:rPr>
          <w:rStyle w:val="CommentReference"/>
        </w:rPr>
        <w:commentReference w:id="20"/>
      </w:r>
    </w:p>
    <w:p w:rsidR="003A2379" w:rsidRDefault="003A2379" w:rsidP="003A2379">
      <w:pPr>
        <w:autoSpaceDE w:val="0"/>
        <w:autoSpaceDN w:val="0"/>
        <w:adjustRightInd w:val="0"/>
        <w:rPr>
          <w:rFonts w:cs="CMR12"/>
        </w:rPr>
      </w:pPr>
    </w:p>
    <w:tbl>
      <w:tblPr>
        <w:tblStyle w:val="LightShading"/>
        <w:tblpPr w:leftFromText="180" w:rightFromText="180" w:vertAnchor="text" w:horzAnchor="margin" w:tblpX="108" w:tblpY="-18"/>
        <w:tblW w:w="0" w:type="auto"/>
        <w:tblLook w:val="04A0" w:firstRow="1" w:lastRow="0" w:firstColumn="1" w:lastColumn="0" w:noHBand="0" w:noVBand="1"/>
      </w:tblPr>
      <w:tblGrid>
        <w:gridCol w:w="2224"/>
        <w:gridCol w:w="2303"/>
        <w:gridCol w:w="2249"/>
        <w:gridCol w:w="2080"/>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rsidR="003A2379" w:rsidRPr="00A950F2" w:rsidRDefault="003A2379" w:rsidP="00226234">
            <w:pPr>
              <w:autoSpaceDE w:val="0"/>
              <w:autoSpaceDN w:val="0"/>
              <w:adjustRightInd w:val="0"/>
              <w:rPr>
                <w:rFonts w:cs="CMR10"/>
                <w:sz w:val="20"/>
                <w:szCs w:val="20"/>
              </w:rPr>
            </w:pPr>
            <w:bookmarkStart w:id="21" w:name="_Hlk409631275"/>
            <w:bookmarkStart w:id="22" w:name="OLE_LINK1"/>
            <w:bookmarkStart w:id="23" w:name="OLE_LINK2"/>
            <w:bookmarkStart w:id="24" w:name="OLE_LINK3"/>
          </w:p>
        </w:tc>
        <w:tc>
          <w:tcPr>
            <w:tcW w:w="2413"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High </w:t>
            </w:r>
            <w:r>
              <w:rPr>
                <w:rFonts w:cs="CMR10"/>
                <w:sz w:val="20"/>
                <w:szCs w:val="20"/>
              </w:rPr>
              <w:t>Signal</w:t>
            </w:r>
          </w:p>
        </w:tc>
        <w:tc>
          <w:tcPr>
            <w:tcW w:w="234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Low</w:t>
            </w:r>
            <w:bookmarkStart w:id="25" w:name="_GoBack"/>
            <w:bookmarkEnd w:id="25"/>
            <w:r>
              <w:rPr>
                <w:rFonts w:cs="CMR10"/>
                <w:sz w:val="20"/>
                <w:szCs w:val="20"/>
              </w:rPr>
              <w:t xml:space="preserve">/no </w:t>
            </w:r>
            <w:r>
              <w:rPr>
                <w:rFonts w:cs="CMR10"/>
                <w:sz w:val="20"/>
                <w:szCs w:val="20"/>
              </w:rPr>
              <w:t>Signal</w:t>
            </w:r>
          </w:p>
        </w:tc>
        <w:tc>
          <w:tcPr>
            <w:tcW w:w="217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bookmarkEnd w:id="21"/>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rsidR="003A2379" w:rsidRDefault="003A2379" w:rsidP="00226234">
            <w:pPr>
              <w:autoSpaceDE w:val="0"/>
              <w:autoSpaceDN w:val="0"/>
              <w:adjustRightInd w:val="0"/>
              <w:rPr>
                <w:rFonts w:eastAsiaTheme="majorEastAsia" w:cs="CMR10"/>
                <w:b w:val="0"/>
                <w:bCs w:val="0"/>
                <w:i/>
                <w:iCs/>
                <w:color w:val="4F81BD" w:themeColor="accent1"/>
                <w:sz w:val="20"/>
                <w:szCs w:val="20"/>
              </w:rPr>
            </w:pPr>
            <w:r>
              <w:rPr>
                <w:rFonts w:cs="CMR10"/>
                <w:sz w:val="20"/>
                <w:szCs w:val="20"/>
              </w:rPr>
              <w:t>Signal</w:t>
            </w:r>
            <w:r w:rsidRPr="00A950F2">
              <w:rPr>
                <w:rFonts w:cs="CMR10"/>
                <w:sz w:val="20"/>
                <w:szCs w:val="20"/>
              </w:rPr>
              <w:t xml:space="preserve">s </w:t>
            </w:r>
            <w:proofErr w:type="spellStart"/>
            <w:r w:rsidRPr="00A950F2">
              <w:rPr>
                <w:rFonts w:cs="CMR10"/>
                <w:sz w:val="20"/>
                <w:szCs w:val="20"/>
              </w:rPr>
              <w:t>vs</w:t>
            </w:r>
            <w:proofErr w:type="spellEnd"/>
            <w:r w:rsidRPr="00A950F2">
              <w:rPr>
                <w:rFonts w:cs="CMR10"/>
                <w:sz w:val="20"/>
                <w:szCs w:val="20"/>
              </w:rPr>
              <w:t xml:space="preserve"> no </w:t>
            </w:r>
            <w:r>
              <w:rPr>
                <w:rFonts w:cs="CMR10"/>
                <w:sz w:val="20"/>
                <w:szCs w:val="20"/>
              </w:rPr>
              <w:t>signal</w:t>
            </w:r>
            <w:r w:rsidRPr="00A950F2">
              <w:rPr>
                <w:rFonts w:cs="CMR10"/>
                <w:sz w:val="20"/>
                <w:szCs w:val="20"/>
              </w:rPr>
              <w:t>s</w:t>
            </w:r>
          </w:p>
        </w:tc>
        <w:tc>
          <w:tcPr>
            <w:tcW w:w="2413"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3.0%</w:t>
            </w:r>
          </w:p>
        </w:tc>
        <w:tc>
          <w:tcPr>
            <w:tcW w:w="234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1.6%</w:t>
            </w:r>
          </w:p>
        </w:tc>
        <w:tc>
          <w:tcPr>
            <w:tcW w:w="2178"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26" w:name="OLE_LINK22"/>
            <w:bookmarkStart w:id="27" w:name="OLE_LINK23"/>
            <w:bookmarkStart w:id="28" w:name="OLE_LINK24"/>
            <w:bookmarkStart w:id="29" w:name="OLE_LINK30"/>
            <w:bookmarkStart w:id="30" w:name="OLE_LINK31"/>
            <w:bookmarkStart w:id="31" w:name="OLE_LINK43"/>
            <w:r w:rsidRPr="00A950F2">
              <w:rPr>
                <w:rFonts w:cs="CMR10"/>
                <w:sz w:val="20"/>
                <w:szCs w:val="20"/>
              </w:rPr>
              <w:t>10</w:t>
            </w:r>
            <w:r w:rsidRPr="001E6D17">
              <w:rPr>
                <w:rFonts w:cs="CMR10"/>
                <w:sz w:val="20"/>
                <w:szCs w:val="20"/>
                <w:vertAlign w:val="superscript"/>
              </w:rPr>
              <w:t>-16</w:t>
            </w:r>
            <w:bookmarkEnd w:id="26"/>
            <w:bookmarkEnd w:id="27"/>
            <w:bookmarkEnd w:id="28"/>
            <w:bookmarkEnd w:id="29"/>
            <w:bookmarkEnd w:id="30"/>
            <w:bookmarkEnd w:id="31"/>
          </w:p>
        </w:tc>
      </w:tr>
      <w:tr w:rsidR="003A2379" w:rsidTr="00226234">
        <w:tc>
          <w:tcPr>
            <w:cnfStyle w:val="001000000000" w:firstRow="0" w:lastRow="0" w:firstColumn="1" w:lastColumn="0" w:oddVBand="0" w:evenVBand="0" w:oddHBand="0" w:evenHBand="0" w:firstRowFirstColumn="0" w:firstRowLastColumn="0" w:lastRowFirstColumn="0" w:lastRowLastColumn="0"/>
            <w:tcW w:w="2305" w:type="dxa"/>
          </w:tcPr>
          <w:p w:rsidR="003A2379" w:rsidRPr="00A950F2" w:rsidRDefault="003A2379" w:rsidP="00226234">
            <w:pPr>
              <w:autoSpaceDE w:val="0"/>
              <w:autoSpaceDN w:val="0"/>
              <w:adjustRightInd w:val="0"/>
              <w:rPr>
                <w:rFonts w:cs="CMR10"/>
                <w:sz w:val="20"/>
                <w:szCs w:val="20"/>
              </w:rPr>
            </w:pPr>
            <w:r w:rsidRPr="00A950F2">
              <w:rPr>
                <w:rFonts w:cs="CMR10"/>
                <w:sz w:val="20"/>
                <w:szCs w:val="20"/>
              </w:rPr>
              <w:t>90th percentile</w:t>
            </w:r>
          </w:p>
        </w:tc>
        <w:tc>
          <w:tcPr>
            <w:tcW w:w="2413" w:type="dxa"/>
          </w:tcPr>
          <w:p w:rsidR="003A2379" w:rsidRPr="00A950F2"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3.6%</w:t>
            </w:r>
          </w:p>
        </w:tc>
        <w:tc>
          <w:tcPr>
            <w:tcW w:w="2346" w:type="dxa"/>
          </w:tcPr>
          <w:p w:rsidR="003A2379" w:rsidRPr="00A950F2"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1.6%</w:t>
            </w:r>
          </w:p>
        </w:tc>
        <w:tc>
          <w:tcPr>
            <w:tcW w:w="2178" w:type="dxa"/>
          </w:tcPr>
          <w:p w:rsidR="003A2379" w:rsidRPr="00A950F2"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10</w:t>
            </w:r>
            <w:r w:rsidRPr="001E6D17">
              <w:rPr>
                <w:rFonts w:cs="CMR10"/>
                <w:sz w:val="20"/>
                <w:szCs w:val="20"/>
                <w:vertAlign w:val="superscript"/>
              </w:rPr>
              <w:t>-16</w:t>
            </w:r>
          </w:p>
        </w:tc>
      </w:tr>
    </w:tbl>
    <w:bookmarkEnd w:id="22"/>
    <w:bookmarkEnd w:id="23"/>
    <w:bookmarkEnd w:id="24"/>
    <w:p w:rsidR="003A2379" w:rsidRPr="00241B9E" w:rsidRDefault="003A2379" w:rsidP="003A2379">
      <w:pPr>
        <w:autoSpaceDE w:val="0"/>
        <w:autoSpaceDN w:val="0"/>
        <w:adjustRightInd w:val="0"/>
        <w:rPr>
          <w:rFonts w:cs="CMR12"/>
        </w:rPr>
      </w:pPr>
      <w:r>
        <w:rPr>
          <w:rFonts w:cs="CMR12"/>
        </w:rPr>
        <w:t xml:space="preserve">Thus we see significantly higher </w:t>
      </w:r>
      <w:r w:rsidRPr="00241B9E">
        <w:rPr>
          <w:rFonts w:cs="CMR12"/>
        </w:rPr>
        <w:t xml:space="preserve">returns on high </w:t>
      </w:r>
      <w:proofErr w:type="spellStart"/>
      <w:r>
        <w:rPr>
          <w:rFonts w:cs="CMR12"/>
        </w:rPr>
        <w:t>aignal</w:t>
      </w:r>
      <w:proofErr w:type="spellEnd"/>
      <w:r>
        <w:rPr>
          <w:rFonts w:cs="CMR12"/>
        </w:rPr>
        <w:t xml:space="preserve"> days for both definitions of high and low signal. Because the diff</w:t>
      </w:r>
      <w:r w:rsidRPr="00241B9E">
        <w:rPr>
          <w:rFonts w:cs="CMR12"/>
        </w:rPr>
        <w:t>erence in mean ret</w:t>
      </w:r>
      <w:r>
        <w:rPr>
          <w:rFonts w:cs="CMR12"/>
        </w:rPr>
        <w:t xml:space="preserve">urns on high versus low </w:t>
      </w:r>
      <w:r w:rsidRPr="00241B9E">
        <w:rPr>
          <w:rFonts w:cs="CMR12"/>
        </w:rPr>
        <w:t>activity da</w:t>
      </w:r>
      <w:r>
        <w:rPr>
          <w:rFonts w:cs="CMR12"/>
        </w:rPr>
        <w:t>ys is greater for our second definition, we will use the 90% percentile definition of signal</w:t>
      </w:r>
      <w:r w:rsidRPr="00241B9E">
        <w:rPr>
          <w:rFonts w:cs="CMR12"/>
        </w:rPr>
        <w:t xml:space="preserve"> in</w:t>
      </w:r>
      <w:r>
        <w:rPr>
          <w:rFonts w:cs="CMR12"/>
        </w:rPr>
        <w:t xml:space="preserve"> the</w:t>
      </w:r>
      <w:r w:rsidRPr="00241B9E">
        <w:rPr>
          <w:rFonts w:cs="CMR12"/>
        </w:rPr>
        <w:t xml:space="preserve"> subsequent analyses</w:t>
      </w:r>
      <w:r>
        <w:rPr>
          <w:rFonts w:cs="CMR12"/>
        </w:rPr>
        <w:t>, unless otherwise noted</w:t>
      </w:r>
      <w:r w:rsidRPr="00241B9E">
        <w:rPr>
          <w:rFonts w:cs="CMR12"/>
        </w:rPr>
        <w:t>.</w:t>
      </w:r>
    </w:p>
    <w:p w:rsidR="003A2379" w:rsidRPr="00762175" w:rsidRDefault="003A2379" w:rsidP="003A2379">
      <w:pPr>
        <w:pStyle w:val="Heading3"/>
        <w:rPr>
          <w:szCs w:val="26"/>
        </w:rPr>
      </w:pPr>
      <w:bookmarkStart w:id="32" w:name="OLE_LINK58"/>
      <w:bookmarkStart w:id="33" w:name="OLE_LINK59"/>
      <w:r w:rsidRPr="00241B9E">
        <w:t>Lagged Effects</w:t>
      </w:r>
      <w:bookmarkEnd w:id="32"/>
      <w:bookmarkEnd w:id="33"/>
    </w:p>
    <w:p w:rsidR="003A2379" w:rsidRDefault="003A2379" w:rsidP="003A2379">
      <w:pPr>
        <w:autoSpaceDE w:val="0"/>
        <w:autoSpaceDN w:val="0"/>
        <w:adjustRightInd w:val="0"/>
        <w:rPr>
          <w:rFonts w:cs="CMR12"/>
        </w:rPr>
      </w:pPr>
      <w:r w:rsidRPr="00241B9E">
        <w:rPr>
          <w:rFonts w:cs="CMR12"/>
        </w:rPr>
        <w:t>We have just shown that absolute return valu</w:t>
      </w:r>
      <w:r>
        <w:rPr>
          <w:rFonts w:cs="CMR12"/>
        </w:rPr>
        <w:t xml:space="preserve">es are higher on signal days. Now we consider </w:t>
      </w:r>
      <w:r w:rsidRPr="00241B9E">
        <w:rPr>
          <w:rFonts w:cs="CMR12"/>
        </w:rPr>
        <w:t>whether absolute returns on the days followi</w:t>
      </w:r>
      <w:r>
        <w:rPr>
          <w:rFonts w:cs="CMR12"/>
        </w:rPr>
        <w:t xml:space="preserve">ng the signal are also </w:t>
      </w:r>
      <w:r w:rsidRPr="00241B9E">
        <w:rPr>
          <w:rFonts w:cs="CMR12"/>
        </w:rPr>
        <w:t>elevated. The table below summarizes results</w:t>
      </w:r>
      <w:r>
        <w:rPr>
          <w:rFonts w:cs="CMR12"/>
        </w:rPr>
        <w:t xml:space="preserve"> for comparing returns zero (as </w:t>
      </w:r>
      <w:r w:rsidRPr="00241B9E">
        <w:rPr>
          <w:rFonts w:cs="CMR12"/>
        </w:rPr>
        <w:t>in the previous section), one, two, and three</w:t>
      </w:r>
      <w:r>
        <w:rPr>
          <w:rFonts w:cs="CMR12"/>
        </w:rPr>
        <w:t xml:space="preserve"> days following the signal</w:t>
      </w:r>
      <w:r w:rsidRPr="00241B9E">
        <w:rPr>
          <w:rFonts w:cs="CMR12"/>
        </w:rPr>
        <w:t>.</w:t>
      </w:r>
    </w:p>
    <w:p w:rsidR="003A2379" w:rsidRDefault="003A2379" w:rsidP="003A2379">
      <w:pPr>
        <w:autoSpaceDE w:val="0"/>
        <w:autoSpaceDN w:val="0"/>
        <w:adjustRightInd w:val="0"/>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2</w:t>
      </w:r>
      <w:r>
        <w:fldChar w:fldCharType="end"/>
      </w:r>
      <w:r>
        <w:t>: Lagged effects of Alert signals</w:t>
      </w:r>
    </w:p>
    <w:p w:rsidR="003A2379" w:rsidRPr="00241B9E" w:rsidRDefault="003A2379" w:rsidP="003A2379">
      <w:pPr>
        <w:autoSpaceDE w:val="0"/>
        <w:autoSpaceDN w:val="0"/>
        <w:adjustRightInd w:val="0"/>
        <w:rPr>
          <w:rFonts w:cs="CMR12"/>
        </w:rPr>
      </w:pPr>
      <w:r>
        <w:rPr>
          <w:rFonts w:cs="CMR12"/>
          <w:noProof/>
        </w:rPr>
        <w:lastRenderedPageBreak/>
        <w:drawing>
          <wp:inline distT="0" distB="0" distL="0" distR="0" wp14:anchorId="3A3582CF" wp14:editId="31E8099B">
            <wp:extent cx="59436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2379" w:rsidRDefault="003A2379" w:rsidP="003A2379">
      <w:pPr>
        <w:autoSpaceDE w:val="0"/>
        <w:autoSpaceDN w:val="0"/>
        <w:adjustRightInd w:val="0"/>
        <w:rPr>
          <w:rFonts w:cs="CMR12"/>
        </w:rPr>
      </w:pPr>
    </w:p>
    <w:tbl>
      <w:tblPr>
        <w:tblStyle w:val="LightShading"/>
        <w:tblW w:w="0" w:type="auto"/>
        <w:tblInd w:w="108" w:type="dxa"/>
        <w:tblLook w:val="04A0" w:firstRow="1" w:lastRow="0" w:firstColumn="1" w:lastColumn="0" w:noHBand="0" w:noVBand="1"/>
      </w:tblPr>
      <w:tblGrid>
        <w:gridCol w:w="1562"/>
        <w:gridCol w:w="2413"/>
        <w:gridCol w:w="2413"/>
        <w:gridCol w:w="2360"/>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3A2379" w:rsidRPr="00A950F2" w:rsidRDefault="003A2379" w:rsidP="00226234">
            <w:pPr>
              <w:autoSpaceDE w:val="0"/>
              <w:autoSpaceDN w:val="0"/>
              <w:adjustRightInd w:val="0"/>
              <w:rPr>
                <w:rFonts w:cs="CMR10"/>
                <w:sz w:val="20"/>
                <w:szCs w:val="20"/>
              </w:rPr>
            </w:pPr>
            <w:bookmarkStart w:id="34" w:name="OLE_LINK54"/>
            <w:bookmarkStart w:id="35" w:name="OLE_LINK55"/>
            <w:r w:rsidRPr="00A950F2">
              <w:rPr>
                <w:rFonts w:cs="CMR10"/>
                <w:sz w:val="20"/>
                <w:szCs w:val="20"/>
              </w:rPr>
              <w:t>Days Lagged</w:t>
            </w:r>
          </w:p>
        </w:tc>
        <w:tc>
          <w:tcPr>
            <w:tcW w:w="256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bookmarkStart w:id="36" w:name="OLE_LINK35"/>
            <w:bookmarkStart w:id="37" w:name="OLE_LINK36"/>
            <w:bookmarkStart w:id="38" w:name="OLE_LINK37"/>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bookmarkStart w:id="39" w:name="OLE_LINK32"/>
            <w:bookmarkStart w:id="40" w:name="OLE_LINK33"/>
            <w:bookmarkStart w:id="41" w:name="OLE_LINK34"/>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bookmarkEnd w:id="36"/>
            <w:bookmarkEnd w:id="37"/>
            <w:bookmarkEnd w:id="38"/>
            <w:bookmarkEnd w:id="39"/>
            <w:bookmarkEnd w:id="40"/>
            <w:bookmarkEnd w:id="41"/>
          </w:p>
        </w:tc>
        <w:tc>
          <w:tcPr>
            <w:tcW w:w="256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bookmarkStart w:id="42" w:name="OLE_LINK38"/>
            <w:bookmarkStart w:id="43" w:name="OLE_LINK39"/>
            <w:bookmarkStart w:id="44" w:name="OLE_LINK40"/>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bookmarkEnd w:id="42"/>
            <w:bookmarkEnd w:id="43"/>
            <w:bookmarkEnd w:id="44"/>
          </w:p>
        </w:tc>
        <w:tc>
          <w:tcPr>
            <w:tcW w:w="256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3A2379" w:rsidRPr="00A950F2" w:rsidRDefault="003A2379" w:rsidP="00226234">
            <w:pPr>
              <w:autoSpaceDE w:val="0"/>
              <w:autoSpaceDN w:val="0"/>
              <w:adjustRightInd w:val="0"/>
              <w:rPr>
                <w:rFonts w:cs="CMR10"/>
                <w:sz w:val="20"/>
                <w:szCs w:val="20"/>
              </w:rPr>
            </w:pPr>
            <w:r w:rsidRPr="00A950F2">
              <w:rPr>
                <w:rFonts w:cs="CMR10"/>
                <w:sz w:val="20"/>
                <w:szCs w:val="20"/>
              </w:rPr>
              <w:t>0</w:t>
            </w:r>
          </w:p>
          <w:p w:rsidR="003A2379" w:rsidRPr="00A950F2" w:rsidRDefault="003A2379" w:rsidP="00226234">
            <w:pPr>
              <w:autoSpaceDE w:val="0"/>
              <w:autoSpaceDN w:val="0"/>
              <w:adjustRightInd w:val="0"/>
              <w:rPr>
                <w:rFonts w:cs="CMR10"/>
                <w:sz w:val="20"/>
                <w:szCs w:val="20"/>
              </w:rPr>
            </w:pPr>
            <w:r w:rsidRPr="00A950F2">
              <w:rPr>
                <w:rFonts w:cs="CMR10"/>
                <w:sz w:val="20"/>
                <w:szCs w:val="20"/>
              </w:rPr>
              <w:t>1</w:t>
            </w:r>
          </w:p>
          <w:p w:rsidR="003A2379" w:rsidRPr="00A950F2" w:rsidRDefault="003A2379" w:rsidP="00226234">
            <w:pPr>
              <w:autoSpaceDE w:val="0"/>
              <w:autoSpaceDN w:val="0"/>
              <w:adjustRightInd w:val="0"/>
              <w:rPr>
                <w:rFonts w:cs="CMR10"/>
                <w:sz w:val="20"/>
                <w:szCs w:val="20"/>
              </w:rPr>
            </w:pPr>
            <w:r w:rsidRPr="00A950F2">
              <w:rPr>
                <w:rFonts w:cs="CMR10"/>
                <w:sz w:val="20"/>
                <w:szCs w:val="20"/>
              </w:rPr>
              <w:t>2</w:t>
            </w:r>
          </w:p>
          <w:p w:rsidR="003A2379" w:rsidRPr="00A950F2" w:rsidRDefault="003A2379" w:rsidP="00226234">
            <w:pPr>
              <w:autoSpaceDE w:val="0"/>
              <w:autoSpaceDN w:val="0"/>
              <w:adjustRightInd w:val="0"/>
              <w:rPr>
                <w:rFonts w:cs="CMR10"/>
                <w:sz w:val="20"/>
                <w:szCs w:val="20"/>
              </w:rPr>
            </w:pPr>
            <w:commentRangeStart w:id="45"/>
            <w:r w:rsidRPr="00A950F2">
              <w:rPr>
                <w:rFonts w:cs="CMR10"/>
                <w:sz w:val="20"/>
                <w:szCs w:val="20"/>
              </w:rPr>
              <w:t>3</w:t>
            </w:r>
            <w:commentRangeEnd w:id="45"/>
            <w:r>
              <w:rPr>
                <w:rStyle w:val="CommentReference"/>
              </w:rPr>
              <w:commentReference w:id="45"/>
            </w:r>
          </w:p>
        </w:tc>
        <w:tc>
          <w:tcPr>
            <w:tcW w:w="256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3.6%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46" w:name="OLE_LINK27"/>
            <w:r w:rsidRPr="00A950F2">
              <w:rPr>
                <w:rFonts w:cs="CMR10"/>
                <w:sz w:val="20"/>
                <w:szCs w:val="20"/>
              </w:rPr>
              <w:t>2.2%</w:t>
            </w:r>
          </w:p>
          <w:bookmarkEnd w:id="46"/>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2.1%</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1.9%</w:t>
            </w:r>
          </w:p>
        </w:tc>
        <w:tc>
          <w:tcPr>
            <w:tcW w:w="256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47" w:name="OLE_LINK28"/>
            <w:bookmarkStart w:id="48" w:name="OLE_LINK29"/>
            <w:r w:rsidRPr="00A950F2">
              <w:rPr>
                <w:rFonts w:cs="CMR10"/>
                <w:sz w:val="20"/>
                <w:szCs w:val="20"/>
              </w:rPr>
              <w:t>1.7%</w:t>
            </w:r>
          </w:p>
          <w:bookmarkEnd w:id="47"/>
          <w:bookmarkEnd w:id="48"/>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tc>
        <w:tc>
          <w:tcPr>
            <w:tcW w:w="256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49" w:name="OLE_LINK44"/>
            <w:r w:rsidRPr="00A950F2">
              <w:rPr>
                <w:rFonts w:cs="CMR10"/>
                <w:sz w:val="20"/>
                <w:szCs w:val="20"/>
              </w:rPr>
              <w:t>&lt; 10</w:t>
            </w:r>
            <w:r w:rsidRPr="001E6D17">
              <w:rPr>
                <w:rFonts w:cs="CMR10"/>
                <w:sz w:val="20"/>
                <w:szCs w:val="20"/>
                <w:vertAlign w:val="superscript"/>
              </w:rPr>
              <w:t>-16</w:t>
            </w:r>
          </w:p>
          <w:bookmarkEnd w:id="49"/>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tc>
      </w:tr>
      <w:bookmarkEnd w:id="34"/>
      <w:bookmarkEnd w:id="35"/>
    </w:tbl>
    <w:p w:rsidR="003A2379" w:rsidRDefault="003A2379" w:rsidP="003A2379">
      <w:pPr>
        <w:autoSpaceDE w:val="0"/>
        <w:autoSpaceDN w:val="0"/>
        <w:adjustRightInd w:val="0"/>
        <w:rPr>
          <w:rFonts w:cs="CMR12"/>
        </w:rPr>
      </w:pPr>
    </w:p>
    <w:p w:rsidR="003A2379" w:rsidRDefault="003A2379" w:rsidP="003A2379">
      <w:pPr>
        <w:autoSpaceDE w:val="0"/>
        <w:autoSpaceDN w:val="0"/>
        <w:adjustRightInd w:val="0"/>
        <w:rPr>
          <w:rFonts w:cs="CMR12"/>
        </w:rPr>
      </w:pPr>
    </w:p>
    <w:p w:rsidR="003A2379" w:rsidRPr="00241B9E" w:rsidRDefault="003A2379" w:rsidP="003A2379">
      <w:pPr>
        <w:autoSpaceDE w:val="0"/>
        <w:autoSpaceDN w:val="0"/>
        <w:adjustRightInd w:val="0"/>
        <w:rPr>
          <w:rFonts w:cs="CMR12"/>
        </w:rPr>
      </w:pPr>
      <w:r w:rsidRPr="00241B9E">
        <w:rPr>
          <w:rFonts w:cs="CMR12"/>
        </w:rPr>
        <w:t>We see that while mea</w:t>
      </w:r>
      <w:r>
        <w:rPr>
          <w:rFonts w:cs="CMR12"/>
        </w:rPr>
        <w:t>n absolute returns remain signifi</w:t>
      </w:r>
      <w:r w:rsidRPr="00241B9E">
        <w:rPr>
          <w:rFonts w:cs="CMR12"/>
        </w:rPr>
        <w:t>cantly higher up to</w:t>
      </w:r>
      <w:r>
        <w:rPr>
          <w:rFonts w:cs="CMR12"/>
        </w:rPr>
        <w:t xml:space="preserve"> </w:t>
      </w:r>
      <w:r w:rsidRPr="00241B9E">
        <w:rPr>
          <w:rFonts w:cs="CMR12"/>
        </w:rPr>
        <w:t>three days following a high activity day,</w:t>
      </w:r>
      <w:r>
        <w:rPr>
          <w:rFonts w:cs="CMR12"/>
        </w:rPr>
        <w:t xml:space="preserve"> the magnitude of the difference gets </w:t>
      </w:r>
      <w:r w:rsidRPr="00241B9E">
        <w:rPr>
          <w:rFonts w:cs="CMR12"/>
        </w:rPr>
        <w:t>smaller as the lag increases. Since we se</w:t>
      </w:r>
      <w:r>
        <w:rPr>
          <w:rFonts w:cs="CMR12"/>
        </w:rPr>
        <w:t xml:space="preserve">e the most impact on returns on </w:t>
      </w:r>
      <w:r w:rsidRPr="00241B9E">
        <w:rPr>
          <w:rFonts w:cs="CMR12"/>
        </w:rPr>
        <w:t>the same day as the high activity, su</w:t>
      </w:r>
      <w:r>
        <w:rPr>
          <w:rFonts w:cs="CMR12"/>
        </w:rPr>
        <w:t xml:space="preserve">bsequent analyses for sectors, volatility and returns prior to the signal will consider </w:t>
      </w:r>
      <w:r w:rsidRPr="00241B9E">
        <w:rPr>
          <w:rFonts w:cs="CMR12"/>
        </w:rPr>
        <w:t>returns on the same day</w:t>
      </w:r>
      <w:r>
        <w:rPr>
          <w:rFonts w:cs="CMR12"/>
        </w:rPr>
        <w:t>, unless otherwise noted</w:t>
      </w:r>
      <w:r w:rsidRPr="00241B9E">
        <w:rPr>
          <w:rFonts w:cs="CMR12"/>
        </w:rPr>
        <w:t>.</w:t>
      </w:r>
    </w:p>
    <w:p w:rsidR="003A2379" w:rsidRPr="00762175" w:rsidRDefault="003A2379" w:rsidP="003A2379">
      <w:pPr>
        <w:pStyle w:val="Heading3"/>
        <w:rPr>
          <w:szCs w:val="26"/>
        </w:rPr>
      </w:pPr>
      <w:bookmarkStart w:id="50" w:name="OLE_LINK60"/>
      <w:r w:rsidRPr="00241B9E">
        <w:t>Sector Analysis</w:t>
      </w:r>
      <w:bookmarkEnd w:id="50"/>
    </w:p>
    <w:p w:rsidR="003A2379" w:rsidRDefault="003A2379" w:rsidP="003A2379">
      <w:pPr>
        <w:autoSpaceDE w:val="0"/>
        <w:autoSpaceDN w:val="0"/>
        <w:adjustRightInd w:val="0"/>
        <w:rPr>
          <w:rFonts w:cs="CMR12"/>
        </w:rPr>
      </w:pPr>
      <w:r w:rsidRPr="00241B9E">
        <w:rPr>
          <w:rFonts w:cs="CMR12"/>
        </w:rPr>
        <w:t xml:space="preserve">Now we consider </w:t>
      </w:r>
      <w:r>
        <w:rPr>
          <w:rFonts w:cs="CMR12"/>
        </w:rPr>
        <w:t>how</w:t>
      </w:r>
      <w:r w:rsidRPr="00241B9E">
        <w:rPr>
          <w:rFonts w:cs="CMR12"/>
        </w:rPr>
        <w:t xml:space="preserve"> </w:t>
      </w:r>
      <w:r>
        <w:rPr>
          <w:rFonts w:cs="CMR12"/>
        </w:rPr>
        <w:t xml:space="preserve">signals are associated with asset returns </w:t>
      </w:r>
      <w:r w:rsidRPr="00241B9E">
        <w:rPr>
          <w:rFonts w:cs="CMR12"/>
        </w:rPr>
        <w:t>across</w:t>
      </w:r>
      <w:r>
        <w:rPr>
          <w:rFonts w:cs="CMR12"/>
        </w:rPr>
        <w:t xml:space="preserve"> different</w:t>
      </w:r>
      <w:r w:rsidRPr="00241B9E">
        <w:rPr>
          <w:rFonts w:cs="CMR12"/>
        </w:rPr>
        <w:t xml:space="preserve"> sectors. The table below sh</w:t>
      </w:r>
      <w:r>
        <w:rPr>
          <w:rFonts w:cs="CMR12"/>
        </w:rPr>
        <w:t xml:space="preserve">ows absolute returns on signal and no-signal days across GICS </w:t>
      </w:r>
      <w:r w:rsidRPr="00241B9E">
        <w:rPr>
          <w:rFonts w:cs="CMR12"/>
        </w:rPr>
        <w:t>industry groups. We show results for all g</w:t>
      </w:r>
      <w:r>
        <w:rPr>
          <w:rFonts w:cs="CMR12"/>
        </w:rPr>
        <w:t xml:space="preserve">roups with at least 50 tickers, </w:t>
      </w:r>
      <w:commentRangeStart w:id="51"/>
      <w:r w:rsidRPr="00241B9E">
        <w:rPr>
          <w:rFonts w:cs="CMR12"/>
        </w:rPr>
        <w:t xml:space="preserve">ordered by the </w:t>
      </w:r>
      <w:r w:rsidRPr="00241B9E">
        <w:rPr>
          <w:rFonts w:cs="CMR12"/>
        </w:rPr>
        <w:lastRenderedPageBreak/>
        <w:t>magnitude of the impact</w:t>
      </w:r>
      <w:commentRangeEnd w:id="51"/>
      <w:r>
        <w:rPr>
          <w:rStyle w:val="CommentReference"/>
        </w:rPr>
        <w:commentReference w:id="51"/>
      </w:r>
      <w:r w:rsidRPr="00241B9E">
        <w:rPr>
          <w:rFonts w:cs="CMR12"/>
        </w:rPr>
        <w:t xml:space="preserve">. </w:t>
      </w:r>
      <w:r>
        <w:rPr>
          <w:rFonts w:cs="CMR12"/>
        </w:rPr>
        <w:t>We find that mean absolute returns are signifi</w:t>
      </w:r>
      <w:r w:rsidRPr="00241B9E">
        <w:rPr>
          <w:rFonts w:cs="CMR12"/>
        </w:rPr>
        <w:t xml:space="preserve">cantly higher (p </w:t>
      </w:r>
      <w:r w:rsidRPr="00241B9E">
        <w:rPr>
          <w:rFonts w:cs="CMMI12"/>
        </w:rPr>
        <w:t xml:space="preserve">&lt; </w:t>
      </w:r>
      <w:r w:rsidRPr="00241B9E">
        <w:rPr>
          <w:rFonts w:cs="CMR12"/>
        </w:rPr>
        <w:t>0.05) on hi</w:t>
      </w:r>
      <w:r>
        <w:rPr>
          <w:rFonts w:cs="CMR12"/>
        </w:rPr>
        <w:t>gh activity days in all sectors and particularly in Pharmaceuticals.</w:t>
      </w:r>
    </w:p>
    <w:p w:rsidR="003A2379" w:rsidRDefault="003A2379" w:rsidP="003A2379">
      <w:pPr>
        <w:autoSpaceDE w:val="0"/>
        <w:autoSpaceDN w:val="0"/>
        <w:adjustRightInd w:val="0"/>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3</w:t>
      </w:r>
      <w:r>
        <w:fldChar w:fldCharType="end"/>
      </w:r>
      <w:r>
        <w:t>: Returns by sector</w:t>
      </w:r>
    </w:p>
    <w:p w:rsidR="003A2379" w:rsidRDefault="003A2379" w:rsidP="003A2379">
      <w:pPr>
        <w:autoSpaceDE w:val="0"/>
        <w:autoSpaceDN w:val="0"/>
        <w:adjustRightInd w:val="0"/>
        <w:rPr>
          <w:rFonts w:cs="CMR12"/>
        </w:rPr>
      </w:pPr>
      <w:r>
        <w:rPr>
          <w:rFonts w:cs="CMR12"/>
          <w:noProof/>
        </w:rPr>
        <w:drawing>
          <wp:inline distT="0" distB="0" distL="0" distR="0" wp14:anchorId="29A12802" wp14:editId="26889D1C">
            <wp:extent cx="59436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A2379" w:rsidRPr="00241B9E" w:rsidRDefault="003A2379" w:rsidP="003A2379">
      <w:pPr>
        <w:autoSpaceDE w:val="0"/>
        <w:autoSpaceDN w:val="0"/>
        <w:adjustRightInd w:val="0"/>
        <w:rPr>
          <w:rFonts w:cs="CMR12"/>
        </w:rPr>
      </w:pPr>
    </w:p>
    <w:p w:rsidR="003A2379" w:rsidRPr="00241B9E" w:rsidRDefault="003A2379" w:rsidP="003A2379">
      <w:pPr>
        <w:autoSpaceDE w:val="0"/>
        <w:autoSpaceDN w:val="0"/>
        <w:adjustRightInd w:val="0"/>
        <w:rPr>
          <w:rFonts w:cs="CMR12"/>
        </w:rPr>
      </w:pPr>
    </w:p>
    <w:tbl>
      <w:tblPr>
        <w:tblStyle w:val="LightShading"/>
        <w:tblW w:w="8647" w:type="dxa"/>
        <w:tblInd w:w="108" w:type="dxa"/>
        <w:tblLayout w:type="fixed"/>
        <w:tblLook w:val="04A0" w:firstRow="1" w:lastRow="0" w:firstColumn="1" w:lastColumn="0" w:noHBand="0" w:noVBand="1"/>
      </w:tblPr>
      <w:tblGrid>
        <w:gridCol w:w="4452"/>
        <w:gridCol w:w="1048"/>
        <w:gridCol w:w="1049"/>
        <w:gridCol w:w="1049"/>
        <w:gridCol w:w="1049"/>
      </w:tblGrid>
      <w:tr w:rsidR="003A2379" w:rsidRPr="009D3520" w:rsidTr="003A2379">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Sector</w:t>
            </w:r>
          </w:p>
        </w:tc>
        <w:tc>
          <w:tcPr>
            <w:tcW w:w="1048" w:type="dxa"/>
            <w:hideMark/>
          </w:tcPr>
          <w:p w:rsidR="003A2379" w:rsidRPr="009D3520" w:rsidRDefault="003A2379" w:rsidP="00226234">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 xml:space="preserve"># </w:t>
            </w:r>
            <w:proofErr w:type="gramStart"/>
            <w:r w:rsidRPr="009D3520">
              <w:rPr>
                <w:rFonts w:eastAsia="Times New Roman"/>
                <w:color w:val="000000"/>
                <w:sz w:val="20"/>
                <w:szCs w:val="20"/>
              </w:rPr>
              <w:t>of</w:t>
            </w:r>
            <w:proofErr w:type="gramEnd"/>
            <w:r w:rsidRPr="009D3520">
              <w:rPr>
                <w:rFonts w:eastAsia="Times New Roman"/>
                <w:color w:val="000000"/>
                <w:sz w:val="20"/>
                <w:szCs w:val="20"/>
              </w:rPr>
              <w:t xml:space="preserve"> Tickers</w:t>
            </w:r>
          </w:p>
        </w:tc>
        <w:tc>
          <w:tcPr>
            <w:tcW w:w="1049" w:type="dxa"/>
            <w:hideMark/>
          </w:tcPr>
          <w:p w:rsidR="003A2379" w:rsidRPr="009D3520" w:rsidRDefault="003A2379" w:rsidP="003A2379">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Signal day</w:t>
            </w:r>
          </w:p>
        </w:tc>
        <w:tc>
          <w:tcPr>
            <w:tcW w:w="1049" w:type="dxa"/>
            <w:hideMark/>
          </w:tcPr>
          <w:p w:rsidR="003A2379" w:rsidRPr="009D3520" w:rsidRDefault="003A2379" w:rsidP="003A2379">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No-signal day</w:t>
            </w:r>
          </w:p>
        </w:tc>
        <w:tc>
          <w:tcPr>
            <w:tcW w:w="1049" w:type="dxa"/>
            <w:hideMark/>
          </w:tcPr>
          <w:p w:rsidR="003A2379" w:rsidRPr="009D3520" w:rsidRDefault="003A2379" w:rsidP="0022623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proofErr w:type="gramStart"/>
            <w:r w:rsidRPr="009D3520">
              <w:rPr>
                <w:rFonts w:eastAsia="Times New Roman"/>
                <w:color w:val="000000"/>
                <w:sz w:val="20"/>
                <w:szCs w:val="20"/>
              </w:rPr>
              <w:t>p</w:t>
            </w:r>
            <w:proofErr w:type="gramEnd"/>
            <w:r w:rsidRPr="009D3520">
              <w:rPr>
                <w:rFonts w:eastAsia="Times New Roman"/>
                <w:color w:val="000000"/>
                <w:sz w:val="20"/>
                <w:szCs w:val="20"/>
              </w:rPr>
              <w:t>-value</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bookmarkStart w:id="52" w:name="RANGE!G4"/>
            <w:r w:rsidRPr="009D3520">
              <w:rPr>
                <w:rFonts w:eastAsia="Times New Roman"/>
                <w:color w:val="000000"/>
                <w:sz w:val="20"/>
                <w:szCs w:val="20"/>
              </w:rPr>
              <w:t>Pharmaceuticals, Biotechnology &amp; Life Sciences</w:t>
            </w:r>
            <w:bookmarkEnd w:id="52"/>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257</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bookmarkStart w:id="53" w:name="RANGE!I4"/>
            <w:r w:rsidRPr="009D3520">
              <w:rPr>
                <w:rFonts w:eastAsia="Times New Roman"/>
                <w:color w:val="000000"/>
                <w:sz w:val="20"/>
                <w:szCs w:val="20"/>
              </w:rPr>
              <w:t>5.70%</w:t>
            </w:r>
            <w:bookmarkEnd w:id="53"/>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2.40%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bookmarkStart w:id="54" w:name="RANGE!K4"/>
            <w:r w:rsidRPr="009D3520">
              <w:rPr>
                <w:rFonts w:eastAsia="Times New Roman"/>
                <w:color w:val="000000"/>
                <w:sz w:val="20"/>
                <w:szCs w:val="20"/>
              </w:rPr>
              <w:t>&lt; 10</w:t>
            </w:r>
            <w:r w:rsidRPr="009D3520">
              <w:rPr>
                <w:rFonts w:eastAsia="Times New Roman"/>
                <w:color w:val="000000"/>
                <w:sz w:val="20"/>
                <w:szCs w:val="20"/>
                <w:vertAlign w:val="superscript"/>
              </w:rPr>
              <w:t>-16</w:t>
            </w:r>
            <w:bookmarkEnd w:id="54"/>
          </w:p>
        </w:tc>
      </w:tr>
      <w:tr w:rsidR="003A2379" w:rsidRPr="009D3520" w:rsidTr="003A2379">
        <w:trPr>
          <w:trHeight w:val="30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bookmarkStart w:id="55" w:name="RANGE!G5"/>
            <w:r w:rsidRPr="009D3520">
              <w:rPr>
                <w:rFonts w:eastAsia="Times New Roman"/>
                <w:color w:val="000000"/>
                <w:sz w:val="20"/>
                <w:szCs w:val="20"/>
              </w:rPr>
              <w:t>Consumer Services</w:t>
            </w:r>
            <w:bookmarkEnd w:id="55"/>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79</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3.50%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1.50%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0.0001</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Software &amp; Services</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183</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3.70%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1.80%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-11</w:t>
            </w:r>
          </w:p>
        </w:tc>
      </w:tr>
      <w:tr w:rsidR="003A2379" w:rsidRPr="009D3520" w:rsidTr="003A2379">
        <w:trPr>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Consumer Durables &amp; Apparel</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73</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3.40%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1.50%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-7</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Health Care Equipment &amp; Services</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105</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3.40%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1.60%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-5</w:t>
            </w:r>
          </w:p>
        </w:tc>
      </w:tr>
      <w:tr w:rsidR="003A2379" w:rsidRPr="009D3520" w:rsidTr="003A2379">
        <w:trPr>
          <w:trHeight w:val="30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 xml:space="preserve">Technology Hardware &amp; Equipment </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87</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3.60%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1.90%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0.0001</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Retailing</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107</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3.20%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1.60%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-13</w:t>
            </w:r>
          </w:p>
        </w:tc>
      </w:tr>
      <w:tr w:rsidR="003A2379" w:rsidRPr="009D3520" w:rsidTr="003A2379">
        <w:trPr>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Semiconductors &amp; Semiconductor Equipment</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70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3.20%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1.70%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-6</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Capital Goods</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122</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2.90%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1.40%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-9</w:t>
            </w:r>
          </w:p>
        </w:tc>
      </w:tr>
      <w:tr w:rsidR="003A2379" w:rsidRPr="009D3520" w:rsidTr="003A2379">
        <w:trPr>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Materials</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89</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2.60%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1.40%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-7</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Real Estate</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54</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1.90%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0.80%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0.0037</w:t>
            </w:r>
          </w:p>
        </w:tc>
      </w:tr>
      <w:tr w:rsidR="003A2379" w:rsidRPr="009D3520" w:rsidTr="003A2379">
        <w:trPr>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Food, Beverage &amp; Tobacco</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51</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1.90%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1.00%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-4</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Energy</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154</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2.60%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1.80%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-6</w:t>
            </w:r>
          </w:p>
        </w:tc>
      </w:tr>
      <w:tr w:rsidR="003A2379" w:rsidRPr="009D3520" w:rsidTr="003A2379">
        <w:trPr>
          <w:trHeight w:val="30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Banks</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62</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1.90%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1.10%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0.0042</w:t>
            </w:r>
          </w:p>
        </w:tc>
      </w:tr>
      <w:tr w:rsidR="003A2379" w:rsidRPr="009D3520" w:rsidTr="003A23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Media</w:t>
            </w:r>
          </w:p>
        </w:tc>
        <w:tc>
          <w:tcPr>
            <w:tcW w:w="1048"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56</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2.00%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1.30%</w:t>
            </w:r>
          </w:p>
        </w:tc>
        <w:tc>
          <w:tcPr>
            <w:tcW w:w="1049" w:type="dxa"/>
            <w:hideMark/>
          </w:tcPr>
          <w:p w:rsidR="003A2379" w:rsidRPr="009D3520"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&lt; 10</w:t>
            </w:r>
            <w:r w:rsidRPr="009D3520">
              <w:rPr>
                <w:rFonts w:eastAsia="Times New Roman"/>
                <w:color w:val="000000"/>
                <w:sz w:val="20"/>
                <w:szCs w:val="20"/>
                <w:vertAlign w:val="superscript"/>
              </w:rPr>
              <w:t>-4</w:t>
            </w:r>
          </w:p>
        </w:tc>
      </w:tr>
      <w:tr w:rsidR="003A2379" w:rsidRPr="009D3520" w:rsidTr="003A2379">
        <w:trPr>
          <w:trHeight w:val="300"/>
        </w:trPr>
        <w:tc>
          <w:tcPr>
            <w:cnfStyle w:val="001000000000" w:firstRow="0" w:lastRow="0" w:firstColumn="1" w:lastColumn="0" w:oddVBand="0" w:evenVBand="0" w:oddHBand="0" w:evenHBand="0" w:firstRowFirstColumn="0" w:firstRowLastColumn="0" w:lastRowFirstColumn="0" w:lastRowLastColumn="0"/>
            <w:tcW w:w="4452" w:type="dxa"/>
            <w:hideMark/>
          </w:tcPr>
          <w:p w:rsidR="003A2379" w:rsidRPr="009D3520" w:rsidRDefault="003A2379" w:rsidP="00226234">
            <w:pPr>
              <w:rPr>
                <w:rFonts w:eastAsia="Times New Roman"/>
                <w:color w:val="000000"/>
                <w:sz w:val="20"/>
                <w:szCs w:val="20"/>
              </w:rPr>
            </w:pPr>
            <w:r w:rsidRPr="009D3520">
              <w:rPr>
                <w:rFonts w:eastAsia="Times New Roman"/>
                <w:color w:val="000000"/>
                <w:sz w:val="20"/>
                <w:szCs w:val="20"/>
              </w:rPr>
              <w:t>Diversified Financials</w:t>
            </w:r>
          </w:p>
        </w:tc>
        <w:tc>
          <w:tcPr>
            <w:tcW w:w="1048"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93</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1.80%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1.20%</w:t>
            </w:r>
          </w:p>
        </w:tc>
        <w:tc>
          <w:tcPr>
            <w:tcW w:w="1049" w:type="dxa"/>
            <w:hideMark/>
          </w:tcPr>
          <w:p w:rsidR="003A2379" w:rsidRPr="009D3520"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9D3520">
              <w:rPr>
                <w:rFonts w:eastAsia="Times New Roman"/>
                <w:color w:val="000000"/>
                <w:sz w:val="20"/>
                <w:szCs w:val="20"/>
              </w:rPr>
              <w:t>0.0009</w:t>
            </w:r>
          </w:p>
        </w:tc>
      </w:tr>
    </w:tbl>
    <w:p w:rsidR="003A2379" w:rsidRPr="00241B9E" w:rsidRDefault="003A2379" w:rsidP="003A2379">
      <w:pPr>
        <w:autoSpaceDE w:val="0"/>
        <w:autoSpaceDN w:val="0"/>
        <w:adjustRightInd w:val="0"/>
        <w:rPr>
          <w:rFonts w:cs="CMR10"/>
          <w:sz w:val="20"/>
          <w:szCs w:val="20"/>
        </w:rPr>
      </w:pPr>
    </w:p>
    <w:p w:rsidR="003A2379" w:rsidRPr="00762175" w:rsidRDefault="003A2379" w:rsidP="003A2379">
      <w:pPr>
        <w:pStyle w:val="Heading3"/>
        <w:rPr>
          <w:szCs w:val="26"/>
        </w:rPr>
      </w:pPr>
      <w:bookmarkStart w:id="56" w:name="OLE_LINK61"/>
      <w:bookmarkStart w:id="57" w:name="OLE_LINK62"/>
      <w:r w:rsidRPr="00241B9E">
        <w:t>Volatility Analysis</w:t>
      </w:r>
      <w:bookmarkEnd w:id="56"/>
      <w:bookmarkEnd w:id="57"/>
    </w:p>
    <w:p w:rsidR="003A2379" w:rsidRDefault="003A2379" w:rsidP="003A2379">
      <w:pPr>
        <w:autoSpaceDE w:val="0"/>
        <w:autoSpaceDN w:val="0"/>
        <w:adjustRightInd w:val="0"/>
        <w:rPr>
          <w:rFonts w:cs="CMR12"/>
        </w:rPr>
      </w:pPr>
      <w:r w:rsidRPr="00241B9E">
        <w:rPr>
          <w:rFonts w:cs="CMR12"/>
        </w:rPr>
        <w:t xml:space="preserve">To study how the relationship between </w:t>
      </w:r>
      <w:r>
        <w:rPr>
          <w:rFonts w:cs="CMR12"/>
        </w:rPr>
        <w:t>tweet signals and asset returns is</w:t>
      </w:r>
      <w:r w:rsidRPr="00241B9E">
        <w:rPr>
          <w:rFonts w:cs="CMR12"/>
        </w:rPr>
        <w:t xml:space="preserve"> impacted by asset volatility, we grouped th</w:t>
      </w:r>
      <w:r>
        <w:rPr>
          <w:rFonts w:cs="CMR12"/>
        </w:rPr>
        <w:t>e tickers into two categories -high and low realized volatility -</w:t>
      </w:r>
      <w:r w:rsidRPr="00241B9E">
        <w:rPr>
          <w:rFonts w:cs="CMR12"/>
        </w:rPr>
        <w:t xml:space="preserve"> based on </w:t>
      </w:r>
      <w:r>
        <w:rPr>
          <w:rFonts w:cs="CMR12"/>
        </w:rPr>
        <w:t xml:space="preserve">a year of </w:t>
      </w:r>
      <w:r w:rsidRPr="00241B9E">
        <w:rPr>
          <w:rFonts w:cs="CMR12"/>
        </w:rPr>
        <w:t>retur</w:t>
      </w:r>
      <w:r>
        <w:rPr>
          <w:rFonts w:cs="CMR12"/>
        </w:rPr>
        <w:t xml:space="preserve">ns between 28 November 2013 and </w:t>
      </w:r>
      <w:r w:rsidRPr="00241B9E">
        <w:rPr>
          <w:rFonts w:cs="CMR12"/>
        </w:rPr>
        <w:t>28 November 2014. We split the groups at th</w:t>
      </w:r>
      <w:r>
        <w:rPr>
          <w:rFonts w:cs="CMR12"/>
        </w:rPr>
        <w:t xml:space="preserve">e median volatility value so to </w:t>
      </w:r>
      <w:r w:rsidRPr="00241B9E">
        <w:rPr>
          <w:rFonts w:cs="CMR12"/>
        </w:rPr>
        <w:t>have the same number of low volatility and high volatility tickers.</w:t>
      </w:r>
    </w:p>
    <w:p w:rsidR="003A2379" w:rsidRDefault="003A2379" w:rsidP="003A2379">
      <w:pPr>
        <w:autoSpaceDE w:val="0"/>
        <w:autoSpaceDN w:val="0"/>
        <w:adjustRightInd w:val="0"/>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4</w:t>
      </w:r>
      <w:r>
        <w:fldChar w:fldCharType="end"/>
      </w:r>
      <w:r>
        <w:t>: Mean absolute returns by volatility</w:t>
      </w:r>
    </w:p>
    <w:p w:rsidR="003A2379" w:rsidRDefault="003A2379" w:rsidP="003A2379">
      <w:pPr>
        <w:autoSpaceDE w:val="0"/>
        <w:autoSpaceDN w:val="0"/>
        <w:adjustRightInd w:val="0"/>
        <w:rPr>
          <w:rFonts w:cs="CMR12"/>
        </w:rPr>
      </w:pPr>
      <w:r>
        <w:rPr>
          <w:rFonts w:cs="CMR12"/>
          <w:noProof/>
        </w:rPr>
        <w:drawing>
          <wp:inline distT="0" distB="0" distL="0" distR="0" wp14:anchorId="569FD2DE" wp14:editId="4C697FCA">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2379" w:rsidRDefault="003A2379" w:rsidP="003A2379">
      <w:pPr>
        <w:autoSpaceDE w:val="0"/>
        <w:autoSpaceDN w:val="0"/>
        <w:adjustRightInd w:val="0"/>
        <w:rPr>
          <w:rFonts w:cs="CMR12"/>
        </w:rPr>
      </w:pPr>
    </w:p>
    <w:tbl>
      <w:tblPr>
        <w:tblStyle w:val="LightShading"/>
        <w:tblW w:w="0" w:type="auto"/>
        <w:tblInd w:w="108" w:type="dxa"/>
        <w:tblLook w:val="04A0" w:firstRow="1" w:lastRow="0" w:firstColumn="1" w:lastColumn="0" w:noHBand="0" w:noVBand="1"/>
      </w:tblPr>
      <w:tblGrid>
        <w:gridCol w:w="2033"/>
        <w:gridCol w:w="2261"/>
        <w:gridCol w:w="2246"/>
        <w:gridCol w:w="2208"/>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Default="003A2379" w:rsidP="00226234">
            <w:pPr>
              <w:autoSpaceDE w:val="0"/>
              <w:autoSpaceDN w:val="0"/>
              <w:adjustRightInd w:val="0"/>
              <w:rPr>
                <w:rFonts w:cs="CMR12"/>
              </w:rPr>
            </w:pPr>
            <w:bookmarkStart w:id="58" w:name="OLE_LINK78"/>
            <w:r w:rsidRPr="002F009E">
              <w:rPr>
                <w:rFonts w:cs="CMR10"/>
                <w:sz w:val="20"/>
                <w:szCs w:val="20"/>
              </w:rPr>
              <w:t>Volatility</w:t>
            </w:r>
          </w:p>
        </w:tc>
        <w:tc>
          <w:tcPr>
            <w:tcW w:w="233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commentRangeStart w:id="59"/>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lastRenderedPageBreak/>
              <w:t xml:space="preserve">Mean </w:t>
            </w:r>
            <w:proofErr w:type="gramStart"/>
            <w:r w:rsidRPr="00A950F2">
              <w:rPr>
                <w:rFonts w:cs="CMR10"/>
                <w:sz w:val="20"/>
                <w:szCs w:val="20"/>
              </w:rPr>
              <w:t>abs(</w:t>
            </w:r>
            <w:proofErr w:type="gramEnd"/>
            <w:r w:rsidRPr="00A950F2">
              <w:rPr>
                <w:rFonts w:cs="CMR10"/>
                <w:sz w:val="20"/>
                <w:szCs w:val="20"/>
              </w:rPr>
              <w:t>return)</w:t>
            </w:r>
            <w:commentRangeEnd w:id="59"/>
            <w:r>
              <w:rPr>
                <w:rStyle w:val="CommentReference"/>
              </w:rPr>
              <w:commentReference w:id="59"/>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lastRenderedPageBreak/>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lastRenderedPageBreak/>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lastRenderedPageBreak/>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Pr="002F009E" w:rsidRDefault="003A2379" w:rsidP="00226234">
            <w:pPr>
              <w:autoSpaceDE w:val="0"/>
              <w:autoSpaceDN w:val="0"/>
              <w:adjustRightInd w:val="0"/>
              <w:rPr>
                <w:rFonts w:cs="CMR10"/>
                <w:sz w:val="20"/>
                <w:szCs w:val="20"/>
              </w:rPr>
            </w:pPr>
            <w:r w:rsidRPr="002F009E">
              <w:rPr>
                <w:rFonts w:cs="CMR10"/>
                <w:sz w:val="20"/>
                <w:szCs w:val="20"/>
              </w:rPr>
              <w:lastRenderedPageBreak/>
              <w:t>Low</w:t>
            </w:r>
          </w:p>
          <w:p w:rsidR="003A2379" w:rsidRDefault="003A2379" w:rsidP="00226234">
            <w:pPr>
              <w:autoSpaceDE w:val="0"/>
              <w:autoSpaceDN w:val="0"/>
              <w:adjustRightInd w:val="0"/>
              <w:rPr>
                <w:rFonts w:cs="CMR12"/>
              </w:rPr>
            </w:pPr>
            <w:r w:rsidRPr="002F009E">
              <w:rPr>
                <w:rFonts w:cs="CMR10"/>
                <w:sz w:val="20"/>
                <w:szCs w:val="20"/>
              </w:rPr>
              <w:t>High</w:t>
            </w:r>
          </w:p>
        </w:tc>
        <w:tc>
          <w:tcPr>
            <w:tcW w:w="2337" w:type="dxa"/>
          </w:tcPr>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2F009E">
              <w:rPr>
                <w:rFonts w:cs="CMR10"/>
                <w:sz w:val="20"/>
                <w:szCs w:val="20"/>
              </w:rPr>
              <w:t>1.6%</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sidRPr="002F009E">
              <w:rPr>
                <w:rFonts w:cs="CMR10"/>
                <w:sz w:val="20"/>
                <w:szCs w:val="20"/>
              </w:rPr>
              <w:t>5.7%</w:t>
            </w:r>
          </w:p>
        </w:tc>
        <w:tc>
          <w:tcPr>
            <w:tcW w:w="2338" w:type="dxa"/>
          </w:tcPr>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2F009E">
              <w:rPr>
                <w:rFonts w:cs="CMR10"/>
                <w:sz w:val="20"/>
                <w:szCs w:val="20"/>
              </w:rPr>
              <w:t>1.0%</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sidRPr="002F009E">
              <w:rPr>
                <w:rFonts w:cs="CMR10"/>
                <w:sz w:val="20"/>
                <w:szCs w:val="20"/>
              </w:rPr>
              <w:t>2.3%</w:t>
            </w:r>
          </w:p>
        </w:tc>
        <w:tc>
          <w:tcPr>
            <w:tcW w:w="2338"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 xml:space="preserve">&lt; </w:t>
            </w:r>
            <w:bookmarkStart w:id="60" w:name="OLE_LINK53"/>
            <w:r w:rsidRPr="00A950F2">
              <w:rPr>
                <w:rFonts w:cs="CMR10"/>
                <w:sz w:val="20"/>
                <w:szCs w:val="20"/>
              </w:rPr>
              <w:t>10</w:t>
            </w:r>
            <w:r>
              <w:rPr>
                <w:rFonts w:cs="CMR10"/>
                <w:sz w:val="20"/>
                <w:szCs w:val="20"/>
                <w:vertAlign w:val="superscript"/>
              </w:rPr>
              <w:t>-15</w:t>
            </w:r>
            <w:bookmarkEnd w:id="60"/>
          </w:p>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Pr>
                <w:rFonts w:cs="CMR10"/>
                <w:sz w:val="20"/>
                <w:szCs w:val="20"/>
                <w:vertAlign w:val="superscript"/>
              </w:rPr>
              <w:t>-15</w:t>
            </w:r>
          </w:p>
        </w:tc>
      </w:tr>
      <w:bookmarkEnd w:id="58"/>
    </w:tbl>
    <w:p w:rsidR="003A2379" w:rsidRPr="00241B9E" w:rsidRDefault="003A2379" w:rsidP="003A2379">
      <w:pPr>
        <w:autoSpaceDE w:val="0"/>
        <w:autoSpaceDN w:val="0"/>
        <w:adjustRightInd w:val="0"/>
        <w:rPr>
          <w:rFonts w:cs="CMR12"/>
        </w:rPr>
      </w:pPr>
    </w:p>
    <w:p w:rsidR="003A2379" w:rsidRPr="00762175" w:rsidRDefault="003A2379" w:rsidP="003A2379">
      <w:pPr>
        <w:autoSpaceDE w:val="0"/>
        <w:autoSpaceDN w:val="0"/>
        <w:adjustRightInd w:val="0"/>
        <w:rPr>
          <w:rFonts w:cs="CMR12"/>
        </w:rPr>
      </w:pPr>
      <w:r>
        <w:rPr>
          <w:rFonts w:cs="CMR12"/>
        </w:rPr>
        <w:t>While the diff</w:t>
      </w:r>
      <w:r w:rsidRPr="00241B9E">
        <w:rPr>
          <w:rFonts w:cs="CMR12"/>
        </w:rPr>
        <w:t>erence in</w:t>
      </w:r>
      <w:r>
        <w:rPr>
          <w:rFonts w:cs="CMR12"/>
        </w:rPr>
        <w:t xml:space="preserve"> mean absolute returns is significantly different from </w:t>
      </w:r>
      <w:r w:rsidRPr="00241B9E">
        <w:rPr>
          <w:rFonts w:cs="CMR12"/>
        </w:rPr>
        <w:t>zero for both high and low volatility assets,</w:t>
      </w:r>
      <w:r>
        <w:rPr>
          <w:rFonts w:cs="CMR12"/>
        </w:rPr>
        <w:t xml:space="preserve"> the impact is much greater for </w:t>
      </w:r>
      <w:r w:rsidRPr="00241B9E">
        <w:rPr>
          <w:rFonts w:cs="CMR12"/>
        </w:rPr>
        <w:t>the high volatility assets.</w:t>
      </w:r>
    </w:p>
    <w:p w:rsidR="003A2379" w:rsidRPr="00762175" w:rsidRDefault="003A2379" w:rsidP="003A2379">
      <w:pPr>
        <w:pStyle w:val="Heading3"/>
        <w:rPr>
          <w:szCs w:val="26"/>
        </w:rPr>
      </w:pPr>
      <w:r w:rsidRPr="00241B9E">
        <w:t xml:space="preserve">Returns Prior to </w:t>
      </w:r>
      <w:r>
        <w:t>Tweet Signals</w:t>
      </w:r>
    </w:p>
    <w:p w:rsidR="003A2379" w:rsidRDefault="003A2379" w:rsidP="003A2379">
      <w:pPr>
        <w:autoSpaceDE w:val="0"/>
        <w:autoSpaceDN w:val="0"/>
        <w:adjustRightInd w:val="0"/>
        <w:rPr>
          <w:rFonts w:cs="CMR12"/>
        </w:rPr>
      </w:pPr>
      <w:r w:rsidRPr="00241B9E">
        <w:rPr>
          <w:rFonts w:cs="CMR12"/>
        </w:rPr>
        <w:t xml:space="preserve">Finally, we test whether absolute returns are higher on the day </w:t>
      </w:r>
      <w:r w:rsidRPr="00241B9E">
        <w:rPr>
          <w:rFonts w:cs="CMTI12"/>
        </w:rPr>
        <w:t xml:space="preserve">before </w:t>
      </w:r>
      <w:r>
        <w:rPr>
          <w:rFonts w:cs="CMR12"/>
        </w:rPr>
        <w:t>a high activity day. We fi</w:t>
      </w:r>
      <w:r w:rsidRPr="00241B9E">
        <w:rPr>
          <w:rFonts w:cs="CMR12"/>
        </w:rPr>
        <w:t>nd results very sim</w:t>
      </w:r>
      <w:r>
        <w:rPr>
          <w:rFonts w:cs="CMR12"/>
        </w:rPr>
        <w:t xml:space="preserve">ilar to those for the day after </w:t>
      </w:r>
      <w:r w:rsidRPr="00241B9E">
        <w:rPr>
          <w:rFonts w:cs="CMR12"/>
        </w:rPr>
        <w:t>a high activity day: The mean absolute retu</w:t>
      </w:r>
      <w:r>
        <w:rPr>
          <w:rFonts w:cs="CMR12"/>
        </w:rPr>
        <w:t xml:space="preserve">rn prior to a high activity day </w:t>
      </w:r>
      <w:r w:rsidRPr="00241B9E">
        <w:rPr>
          <w:rFonts w:cs="CMR12"/>
        </w:rPr>
        <w:t>is equal to 2.2% and t</w:t>
      </w:r>
      <w:r>
        <w:rPr>
          <w:rFonts w:cs="CMR12"/>
        </w:rPr>
        <w:t xml:space="preserve">he mean prior to a low activity day is equal to 1.7%, </w:t>
      </w:r>
      <w:r w:rsidRPr="00241B9E">
        <w:rPr>
          <w:rFonts w:cs="CMR12"/>
        </w:rPr>
        <w:t xml:space="preserve">with p-value less than </w:t>
      </w:r>
      <w:r w:rsidRPr="00A950F2">
        <w:rPr>
          <w:rFonts w:cs="CMR10"/>
          <w:sz w:val="20"/>
          <w:szCs w:val="20"/>
        </w:rPr>
        <w:t>10</w:t>
      </w:r>
      <w:r>
        <w:rPr>
          <w:rFonts w:cs="CMR10"/>
          <w:sz w:val="20"/>
          <w:szCs w:val="20"/>
          <w:vertAlign w:val="superscript"/>
        </w:rPr>
        <w:t>-15</w:t>
      </w:r>
      <w:r w:rsidRPr="00241B9E">
        <w:rPr>
          <w:rFonts w:cs="CMR12"/>
        </w:rPr>
        <w:t>.</w:t>
      </w:r>
    </w:p>
    <w:p w:rsidR="003A2379" w:rsidRPr="00241B9E" w:rsidRDefault="003A2379" w:rsidP="003A2379">
      <w:pPr>
        <w:autoSpaceDE w:val="0"/>
        <w:autoSpaceDN w:val="0"/>
        <w:adjustRightInd w:val="0"/>
        <w:rPr>
          <w:rFonts w:cs="CMR12"/>
        </w:rPr>
      </w:pPr>
    </w:p>
    <w:p w:rsidR="003A2379" w:rsidRPr="000A0315" w:rsidRDefault="003A2379" w:rsidP="003A2379">
      <w:pPr>
        <w:autoSpaceDE w:val="0"/>
        <w:autoSpaceDN w:val="0"/>
        <w:adjustRightInd w:val="0"/>
        <w:rPr>
          <w:rFonts w:cs="CMR12"/>
        </w:rPr>
      </w:pPr>
      <w:r w:rsidRPr="000A0315">
        <w:rPr>
          <w:rFonts w:cs="CMR12"/>
        </w:rPr>
        <w:t xml:space="preserve">Combining this result with those from the </w:t>
      </w:r>
      <w:r>
        <w:rPr>
          <w:rFonts w:cs="CMR12"/>
        </w:rPr>
        <w:t xml:space="preserve">lagged analysis, we see a trend </w:t>
      </w:r>
      <w:r w:rsidRPr="000A0315">
        <w:rPr>
          <w:rFonts w:cs="CMR12"/>
        </w:rPr>
        <w:t xml:space="preserve">where returns are elevated the day before a </w:t>
      </w:r>
      <w:r>
        <w:rPr>
          <w:rFonts w:cs="CMR12"/>
        </w:rPr>
        <w:t xml:space="preserve">high activity day, are elevated </w:t>
      </w:r>
      <w:r w:rsidRPr="000A0315">
        <w:rPr>
          <w:rFonts w:cs="CMR12"/>
        </w:rPr>
        <w:t>even more on the high activity day, and r</w:t>
      </w:r>
      <w:r>
        <w:rPr>
          <w:rFonts w:cs="CMR12"/>
        </w:rPr>
        <w:t xml:space="preserve">emain elevated, to a decreasing </w:t>
      </w:r>
      <w:r w:rsidRPr="000A0315">
        <w:rPr>
          <w:rFonts w:cs="CMR12"/>
        </w:rPr>
        <w:t>extent, on the days following t</w:t>
      </w:r>
      <w:r>
        <w:rPr>
          <w:rFonts w:cs="CMR12"/>
        </w:rPr>
        <w:t xml:space="preserve">he high activity day. The figure below shows </w:t>
      </w:r>
      <w:r w:rsidRPr="000A0315">
        <w:rPr>
          <w:rFonts w:cs="CMR12"/>
        </w:rPr>
        <w:t>this trend. We interpre</w:t>
      </w:r>
      <w:r>
        <w:rPr>
          <w:rFonts w:cs="CMR12"/>
        </w:rPr>
        <w:t>t the trend as new information fi</w:t>
      </w:r>
      <w:r w:rsidRPr="000A0315">
        <w:rPr>
          <w:rFonts w:cs="CMR12"/>
        </w:rPr>
        <w:t>rst being re</w:t>
      </w:r>
      <w:r>
        <w:rPr>
          <w:rFonts w:cs="CMR12"/>
        </w:rPr>
        <w:t>fl</w:t>
      </w:r>
      <w:r w:rsidRPr="000A0315">
        <w:rPr>
          <w:rFonts w:cs="CMR12"/>
        </w:rPr>
        <w:t>ected</w:t>
      </w:r>
    </w:p>
    <w:p w:rsidR="003A2379" w:rsidRDefault="003A2379" w:rsidP="003A2379">
      <w:pPr>
        <w:autoSpaceDE w:val="0"/>
        <w:autoSpaceDN w:val="0"/>
        <w:adjustRightInd w:val="0"/>
        <w:rPr>
          <w:rFonts w:cs="CMR12"/>
        </w:rPr>
      </w:pPr>
      <w:proofErr w:type="gramStart"/>
      <w:r w:rsidRPr="000A0315">
        <w:rPr>
          <w:rFonts w:cs="CMR12"/>
        </w:rPr>
        <w:t>in</w:t>
      </w:r>
      <w:proofErr w:type="gramEnd"/>
      <w:r w:rsidRPr="000A0315">
        <w:rPr>
          <w:rFonts w:cs="CMR12"/>
        </w:rPr>
        <w:t xml:space="preserve"> somewhat elevated absolute returns, th</w:t>
      </w:r>
      <w:r>
        <w:rPr>
          <w:rFonts w:cs="CMR12"/>
        </w:rPr>
        <w:t>en being tweeted about as abso</w:t>
      </w:r>
      <w:r w:rsidRPr="000A0315">
        <w:rPr>
          <w:rFonts w:cs="CMR12"/>
        </w:rPr>
        <w:t>lute returns are elevated even further, and the elevation of absol</w:t>
      </w:r>
      <w:r>
        <w:rPr>
          <w:rFonts w:cs="CMR12"/>
        </w:rPr>
        <w:t xml:space="preserve">ute returns </w:t>
      </w:r>
      <w:r w:rsidRPr="000A0315">
        <w:rPr>
          <w:rFonts w:cs="CMR12"/>
        </w:rPr>
        <w:t>diminishing on subsequent days.</w:t>
      </w:r>
    </w:p>
    <w:p w:rsidR="003A2379" w:rsidRDefault="003A2379" w:rsidP="003A2379">
      <w:pPr>
        <w:autoSpaceDE w:val="0"/>
        <w:autoSpaceDN w:val="0"/>
        <w:adjustRightInd w:val="0"/>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5</w:t>
      </w:r>
      <w:r>
        <w:fldChar w:fldCharType="end"/>
      </w:r>
      <w:r>
        <w:t>: Lagged returns around Alert signals</w:t>
      </w:r>
    </w:p>
    <w:p w:rsidR="003A2379" w:rsidRDefault="003A2379" w:rsidP="003A2379">
      <w:pPr>
        <w:keepNext/>
        <w:autoSpaceDE w:val="0"/>
        <w:autoSpaceDN w:val="0"/>
        <w:adjustRightInd w:val="0"/>
      </w:pPr>
      <w:r>
        <w:rPr>
          <w:rFonts w:cs="CMR12"/>
          <w:noProof/>
        </w:rPr>
        <w:lastRenderedPageBreak/>
        <w:drawing>
          <wp:inline distT="0" distB="0" distL="0" distR="0" wp14:anchorId="088E7D3D" wp14:editId="5D6733E6">
            <wp:extent cx="5486400" cy="32004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A2379" w:rsidRDefault="003A2379" w:rsidP="003A2379"/>
    <w:tbl>
      <w:tblPr>
        <w:tblStyle w:val="LightShading"/>
        <w:tblpPr w:leftFromText="180" w:rightFromText="180" w:vertAnchor="text" w:horzAnchor="margin" w:tblpX="148" w:tblpY="-6"/>
        <w:tblW w:w="0" w:type="auto"/>
        <w:tblLook w:val="04A0" w:firstRow="1" w:lastRow="0" w:firstColumn="1" w:lastColumn="0" w:noHBand="0" w:noVBand="1"/>
      </w:tblPr>
      <w:tblGrid>
        <w:gridCol w:w="2099"/>
        <w:gridCol w:w="2262"/>
        <w:gridCol w:w="2263"/>
        <w:gridCol w:w="1989"/>
      </w:tblGrid>
      <w:tr w:rsidR="003A2379" w:rsidTr="003A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3A2379" w:rsidRPr="00A950F2" w:rsidRDefault="003A2379" w:rsidP="00226234">
            <w:pPr>
              <w:autoSpaceDE w:val="0"/>
              <w:autoSpaceDN w:val="0"/>
              <w:adjustRightInd w:val="0"/>
              <w:rPr>
                <w:rFonts w:cs="CMR10"/>
                <w:sz w:val="20"/>
                <w:szCs w:val="20"/>
              </w:rPr>
            </w:pPr>
            <w:bookmarkStart w:id="61" w:name="OLE_LINK63"/>
            <w:r w:rsidRPr="00A950F2">
              <w:rPr>
                <w:rFonts w:cs="CMR10"/>
                <w:sz w:val="20"/>
                <w:szCs w:val="20"/>
              </w:rPr>
              <w:t>Days Lagged</w:t>
            </w:r>
          </w:p>
        </w:tc>
        <w:tc>
          <w:tcPr>
            <w:tcW w:w="2262"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263"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1989"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3A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3A2379" w:rsidRDefault="003A2379" w:rsidP="00226234">
            <w:pPr>
              <w:autoSpaceDE w:val="0"/>
              <w:autoSpaceDN w:val="0"/>
              <w:adjustRightInd w:val="0"/>
              <w:rPr>
                <w:rFonts w:cs="CMR10"/>
                <w:sz w:val="20"/>
                <w:szCs w:val="20"/>
              </w:rPr>
            </w:pPr>
            <w:r>
              <w:rPr>
                <w:rFonts w:cs="CMR10"/>
                <w:sz w:val="20"/>
                <w:szCs w:val="20"/>
              </w:rPr>
              <w:t>-1</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0</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1</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2</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3</w:t>
            </w:r>
          </w:p>
        </w:tc>
        <w:tc>
          <w:tcPr>
            <w:tcW w:w="2262"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2.2%</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3.6%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2.2%</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2.1%</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1.9%</w:t>
            </w:r>
          </w:p>
        </w:tc>
        <w:tc>
          <w:tcPr>
            <w:tcW w:w="2263"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tc>
        <w:tc>
          <w:tcPr>
            <w:tcW w:w="1989"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Pr>
                <w:rFonts w:cs="CMR10"/>
                <w:sz w:val="20"/>
                <w:szCs w:val="20"/>
                <w:vertAlign w:val="superscript"/>
              </w:rPr>
              <w:t>-15</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62" w:name="OLE_LINK56"/>
            <w:bookmarkStart w:id="63" w:name="OLE_LINK57"/>
            <w:r w:rsidRPr="00A950F2">
              <w:rPr>
                <w:rFonts w:cs="CMR10"/>
                <w:sz w:val="20"/>
                <w:szCs w:val="20"/>
              </w:rPr>
              <w:t>&lt; 10</w:t>
            </w:r>
            <w:r w:rsidRPr="001E6D17">
              <w:rPr>
                <w:rFonts w:cs="CMR10"/>
                <w:sz w:val="20"/>
                <w:szCs w:val="20"/>
                <w:vertAlign w:val="superscript"/>
              </w:rPr>
              <w:t>-16</w:t>
            </w:r>
          </w:p>
          <w:bookmarkEnd w:id="62"/>
          <w:bookmarkEnd w:id="63"/>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tc>
      </w:tr>
    </w:tbl>
    <w:bookmarkEnd w:id="61"/>
    <w:p w:rsidR="003A2379" w:rsidRPr="00762175" w:rsidRDefault="003A2379" w:rsidP="003A2379">
      <w:pPr>
        <w:pStyle w:val="Heading2"/>
      </w:pPr>
      <w:r>
        <w:t>Flashes and Notable</w:t>
      </w:r>
      <w:r w:rsidRPr="00AA281C">
        <w:t xml:space="preserve"> </w:t>
      </w:r>
      <w:r>
        <w:t>Signals</w:t>
      </w:r>
    </w:p>
    <w:p w:rsidR="003A2379" w:rsidRPr="008B2B1A" w:rsidRDefault="003A2379" w:rsidP="003A2379">
      <w:pPr>
        <w:rPr>
          <w:rFonts w:cs="CMR12"/>
        </w:rPr>
      </w:pPr>
      <w:r w:rsidRPr="008B2B1A">
        <w:rPr>
          <w:rFonts w:cs="CMR12"/>
        </w:rPr>
        <w:t>Overall</w:t>
      </w:r>
      <w:r>
        <w:rPr>
          <w:rFonts w:cs="CMR12"/>
        </w:rPr>
        <w:t>, the</w:t>
      </w:r>
      <w:r w:rsidRPr="008B2B1A">
        <w:rPr>
          <w:rFonts w:cs="CMR12"/>
        </w:rPr>
        <w:t xml:space="preserve"> results</w:t>
      </w:r>
      <w:r>
        <w:rPr>
          <w:rFonts w:cs="CMR12"/>
        </w:rPr>
        <w:t xml:space="preserve"> for flashes and notables data</w:t>
      </w:r>
      <w:r w:rsidRPr="008B2B1A">
        <w:rPr>
          <w:rFonts w:cs="CMR12"/>
        </w:rPr>
        <w:t xml:space="preserve"> </w:t>
      </w:r>
      <w:r>
        <w:rPr>
          <w:rFonts w:cs="CMR12"/>
        </w:rPr>
        <w:t>are</w:t>
      </w:r>
      <w:r w:rsidRPr="008B2B1A">
        <w:rPr>
          <w:rFonts w:cs="CMR12"/>
        </w:rPr>
        <w:t xml:space="preserve"> very similar </w:t>
      </w:r>
      <w:r>
        <w:rPr>
          <w:rFonts w:cs="CMR12"/>
        </w:rPr>
        <w:t>to those for A</w:t>
      </w:r>
      <w:r w:rsidRPr="008B2B1A">
        <w:rPr>
          <w:rFonts w:cs="CMR12"/>
        </w:rPr>
        <w:t xml:space="preserve">lerts </w:t>
      </w:r>
      <w:r>
        <w:rPr>
          <w:rFonts w:cs="CMR12"/>
        </w:rPr>
        <w:t>Data</w:t>
      </w:r>
      <w:r w:rsidRPr="008B2B1A">
        <w:rPr>
          <w:rFonts w:cs="CMR12"/>
        </w:rPr>
        <w:t>.</w:t>
      </w:r>
    </w:p>
    <w:p w:rsidR="003A2379" w:rsidRPr="00762175" w:rsidRDefault="003A2379" w:rsidP="003A2379">
      <w:pPr>
        <w:pStyle w:val="Heading3"/>
      </w:pPr>
      <w:r w:rsidRPr="00241B9E">
        <w:t>Lagged Effects</w:t>
      </w:r>
    </w:p>
    <w:p w:rsidR="003A2379" w:rsidRDefault="003A2379" w:rsidP="003A2379">
      <w:pPr>
        <w:rPr>
          <w:rFonts w:cs="CMR12"/>
        </w:rPr>
      </w:pPr>
      <w:bookmarkStart w:id="64" w:name="OLE_LINK77"/>
      <w:r w:rsidRPr="008B2B1A">
        <w:rPr>
          <w:rFonts w:cs="CMR12"/>
        </w:rPr>
        <w:t>Lagged effects are higher on high activity days</w:t>
      </w:r>
      <w:r>
        <w:rPr>
          <w:rFonts w:cs="CMR12"/>
        </w:rPr>
        <w:t>,</w:t>
      </w:r>
      <w:r w:rsidRPr="008B2B1A">
        <w:rPr>
          <w:rFonts w:cs="CMR12"/>
        </w:rPr>
        <w:t xml:space="preserve"> peaking on the </w:t>
      </w:r>
      <w:r>
        <w:rPr>
          <w:rFonts w:cs="CMR12"/>
        </w:rPr>
        <w:t>signal</w:t>
      </w:r>
      <w:r w:rsidRPr="008B2B1A">
        <w:rPr>
          <w:rFonts w:cs="CMR12"/>
        </w:rPr>
        <w:t xml:space="preserve"> day with absolute returns having very similar values as for </w:t>
      </w:r>
      <w:r>
        <w:rPr>
          <w:rFonts w:cs="CMR12"/>
        </w:rPr>
        <w:t xml:space="preserve">the </w:t>
      </w:r>
      <w:r w:rsidRPr="008B2B1A">
        <w:rPr>
          <w:rFonts w:cs="CMR12"/>
        </w:rPr>
        <w:t>alert</w:t>
      </w:r>
      <w:r>
        <w:rPr>
          <w:rFonts w:cs="CMR12"/>
        </w:rPr>
        <w:t xml:space="preserve"> file</w:t>
      </w:r>
      <w:r w:rsidRPr="008B2B1A">
        <w:rPr>
          <w:rFonts w:cs="CMR12"/>
        </w:rPr>
        <w:t xml:space="preserve">. </w:t>
      </w:r>
      <w:r>
        <w:rPr>
          <w:rFonts w:cs="CMR12"/>
        </w:rPr>
        <w:t>The results are statistically significant, but the p-values are smaller than those seen with alerts data because of the smaller sample size for flashes and notables</w:t>
      </w:r>
      <w:r w:rsidRPr="008B2B1A">
        <w:rPr>
          <w:rFonts w:cs="CMR12"/>
        </w:rPr>
        <w:t>.</w:t>
      </w:r>
    </w:p>
    <w:p w:rsidR="003A2379" w:rsidRPr="008B2B1A" w:rsidRDefault="003A2379" w:rsidP="003A2379">
      <w:pPr>
        <w:rPr>
          <w:rFonts w:cs="CMR12"/>
        </w:rPr>
      </w:pPr>
    </w:p>
    <w:bookmarkEnd w:id="64"/>
    <w:p w:rsidR="003A2379" w:rsidRPr="009C68B1" w:rsidRDefault="003A2379" w:rsidP="003A2379">
      <w:pPr>
        <w:pStyle w:val="Caption"/>
        <w:rPr>
          <w:rFonts w:cs="CMR12"/>
        </w:rPr>
      </w:pPr>
      <w:r>
        <w:lastRenderedPageBreak/>
        <w:t xml:space="preserve">Figure </w:t>
      </w:r>
      <w:r>
        <w:fldChar w:fldCharType="begin"/>
      </w:r>
      <w:r>
        <w:instrText xml:space="preserve"> SEQ Figure \* ARABIC </w:instrText>
      </w:r>
      <w:r>
        <w:fldChar w:fldCharType="separate"/>
      </w:r>
      <w:r>
        <w:rPr>
          <w:noProof/>
        </w:rPr>
        <w:t>6</w:t>
      </w:r>
      <w:r>
        <w:fldChar w:fldCharType="end"/>
      </w:r>
      <w:r>
        <w:t>: Returns around Flashes and Notable signals</w:t>
      </w:r>
    </w:p>
    <w:p w:rsidR="003A2379" w:rsidRDefault="003A2379" w:rsidP="003A2379">
      <w:r>
        <w:rPr>
          <w:rFonts w:cs="CMR12"/>
          <w:noProof/>
        </w:rPr>
        <w:drawing>
          <wp:inline distT="0" distB="0" distL="0" distR="0" wp14:anchorId="433776EA" wp14:editId="41D9D3F0">
            <wp:extent cx="5486400" cy="32004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A2379" w:rsidRPr="008B2B1A" w:rsidRDefault="003A2379" w:rsidP="003A2379"/>
    <w:tbl>
      <w:tblPr>
        <w:tblStyle w:val="LightShading"/>
        <w:tblpPr w:leftFromText="180" w:rightFromText="180" w:vertAnchor="text" w:horzAnchor="margin" w:tblpX="108" w:tblpY="-32"/>
        <w:tblW w:w="0" w:type="auto"/>
        <w:tblLook w:val="04A0" w:firstRow="1" w:lastRow="0" w:firstColumn="1" w:lastColumn="0" w:noHBand="0" w:noVBand="1"/>
      </w:tblPr>
      <w:tblGrid>
        <w:gridCol w:w="2121"/>
        <w:gridCol w:w="2249"/>
        <w:gridCol w:w="2250"/>
        <w:gridCol w:w="1993"/>
      </w:tblGrid>
      <w:tr w:rsidR="003A2379" w:rsidTr="003A2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Pr="00A950F2" w:rsidRDefault="003A2379" w:rsidP="00226234">
            <w:pPr>
              <w:autoSpaceDE w:val="0"/>
              <w:autoSpaceDN w:val="0"/>
              <w:adjustRightInd w:val="0"/>
              <w:rPr>
                <w:rFonts w:cs="CMR10"/>
                <w:sz w:val="20"/>
                <w:szCs w:val="20"/>
              </w:rPr>
            </w:pPr>
            <w:r w:rsidRPr="00A950F2">
              <w:rPr>
                <w:rFonts w:cs="CMR10"/>
                <w:sz w:val="20"/>
                <w:szCs w:val="20"/>
              </w:rPr>
              <w:t>Days Lagged</w:t>
            </w:r>
          </w:p>
        </w:tc>
        <w:tc>
          <w:tcPr>
            <w:tcW w:w="2249"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250"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1993"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commentRangeStart w:id="65"/>
            <w:proofErr w:type="gramStart"/>
            <w:r w:rsidRPr="00A950F2">
              <w:rPr>
                <w:rFonts w:cs="CMR10"/>
                <w:sz w:val="20"/>
                <w:szCs w:val="20"/>
              </w:rPr>
              <w:t>p</w:t>
            </w:r>
            <w:proofErr w:type="gramEnd"/>
            <w:r w:rsidRPr="00A950F2">
              <w:rPr>
                <w:rFonts w:cs="CMR10"/>
                <w:sz w:val="20"/>
                <w:szCs w:val="20"/>
              </w:rPr>
              <w:t>-value</w:t>
            </w:r>
            <w:commentRangeEnd w:id="65"/>
            <w:r>
              <w:rPr>
                <w:rStyle w:val="CommentReference"/>
              </w:rPr>
              <w:commentReference w:id="65"/>
            </w:r>
          </w:p>
        </w:tc>
      </w:tr>
      <w:tr w:rsidR="003A2379" w:rsidTr="003A2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Default="003A2379" w:rsidP="00226234">
            <w:pPr>
              <w:autoSpaceDE w:val="0"/>
              <w:autoSpaceDN w:val="0"/>
              <w:adjustRightInd w:val="0"/>
              <w:rPr>
                <w:rFonts w:cs="CMR10"/>
                <w:sz w:val="20"/>
                <w:szCs w:val="20"/>
              </w:rPr>
            </w:pPr>
            <w:r>
              <w:rPr>
                <w:rFonts w:cs="CMR10"/>
                <w:sz w:val="20"/>
                <w:szCs w:val="20"/>
              </w:rPr>
              <w:t>-1</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0</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1</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2</w:t>
            </w:r>
          </w:p>
          <w:p w:rsidR="003A2379" w:rsidRPr="00A950F2" w:rsidRDefault="003A2379" w:rsidP="00226234">
            <w:pPr>
              <w:autoSpaceDE w:val="0"/>
              <w:autoSpaceDN w:val="0"/>
              <w:adjustRightInd w:val="0"/>
              <w:rPr>
                <w:rFonts w:cs="CMR10"/>
                <w:sz w:val="20"/>
                <w:szCs w:val="20"/>
              </w:rPr>
            </w:pPr>
            <w:r>
              <w:rPr>
                <w:rFonts w:cs="CMR10"/>
                <w:sz w:val="20"/>
                <w:szCs w:val="20"/>
              </w:rPr>
              <w:t xml:space="preserve"> </w:t>
            </w:r>
            <w:r w:rsidRPr="00A950F2">
              <w:rPr>
                <w:rFonts w:cs="CMR10"/>
                <w:sz w:val="20"/>
                <w:szCs w:val="20"/>
              </w:rPr>
              <w:t>3</w:t>
            </w:r>
          </w:p>
        </w:tc>
        <w:tc>
          <w:tcPr>
            <w:tcW w:w="2249"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2.4%</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3.3</w:t>
            </w:r>
            <w:r w:rsidRPr="00A950F2">
              <w:rPr>
                <w:rFonts w:cs="CMR10"/>
                <w:sz w:val="20"/>
                <w:szCs w:val="20"/>
              </w:rPr>
              <w:t>%</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2.</w:t>
            </w:r>
            <w:r>
              <w:rPr>
                <w:rFonts w:cs="CMR10"/>
                <w:sz w:val="20"/>
                <w:szCs w:val="20"/>
              </w:rPr>
              <w:t>1</w:t>
            </w:r>
            <w:r w:rsidRPr="00A950F2">
              <w:rPr>
                <w:rFonts w:cs="CMR10"/>
                <w:sz w:val="20"/>
                <w:szCs w:val="20"/>
              </w:rPr>
              <w:t>%</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2.2</w:t>
            </w:r>
            <w:r w:rsidRPr="00A950F2">
              <w:rPr>
                <w:rFonts w:cs="CMR10"/>
                <w:sz w:val="20"/>
                <w:szCs w:val="20"/>
              </w:rPr>
              <w:t>%</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w:t>
            </w:r>
            <w:r w:rsidRPr="00A950F2">
              <w:rPr>
                <w:rFonts w:cs="CMR10"/>
                <w:sz w:val="20"/>
                <w:szCs w:val="20"/>
              </w:rPr>
              <w:t>%</w:t>
            </w:r>
          </w:p>
        </w:tc>
        <w:tc>
          <w:tcPr>
            <w:tcW w:w="2250"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1.7</w:t>
            </w:r>
            <w:r w:rsidRPr="00A950F2">
              <w:rPr>
                <w:rFonts w:cs="CMR10"/>
                <w:sz w:val="20"/>
                <w:szCs w:val="20"/>
              </w:rPr>
              <w:t>%</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1.7%</w:t>
            </w:r>
          </w:p>
        </w:tc>
        <w:tc>
          <w:tcPr>
            <w:tcW w:w="1993"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66" w:name="OLE_LINK64"/>
            <w:bookmarkStart w:id="67" w:name="OLE_LINK65"/>
            <w:r>
              <w:rPr>
                <w:rFonts w:cs="CMR10"/>
                <w:sz w:val="20"/>
                <w:szCs w:val="20"/>
              </w:rPr>
              <w:t>2.27*10</w:t>
            </w:r>
            <w:r>
              <w:rPr>
                <w:rFonts w:cs="CMR10"/>
                <w:sz w:val="20"/>
                <w:szCs w:val="20"/>
                <w:vertAlign w:val="superscript"/>
              </w:rPr>
              <w:t>-7</w:t>
            </w:r>
          </w:p>
          <w:bookmarkEnd w:id="66"/>
          <w:bookmarkEnd w:id="67"/>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sidRPr="001E6D17">
              <w:rPr>
                <w:rFonts w:cs="CMR10"/>
                <w:sz w:val="20"/>
                <w:szCs w:val="20"/>
                <w:vertAlign w:val="superscript"/>
              </w:rPr>
              <w:t>-16</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1.23*10</w:t>
            </w:r>
            <w:r>
              <w:rPr>
                <w:rFonts w:cs="CMR10"/>
                <w:sz w:val="20"/>
                <w:szCs w:val="20"/>
                <w:vertAlign w:val="superscript"/>
              </w:rPr>
              <w:t>-8</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0.0004</w:t>
            </w:r>
          </w:p>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3.25*10</w:t>
            </w:r>
            <w:r>
              <w:rPr>
                <w:rFonts w:cs="CMR10"/>
                <w:sz w:val="20"/>
                <w:szCs w:val="20"/>
                <w:vertAlign w:val="superscript"/>
              </w:rPr>
              <w:t>-5</w:t>
            </w:r>
          </w:p>
        </w:tc>
      </w:tr>
    </w:tbl>
    <w:p w:rsidR="003A2379" w:rsidRDefault="003A2379" w:rsidP="003A2379">
      <w:pPr>
        <w:pStyle w:val="Heading3"/>
      </w:pPr>
      <w:r w:rsidRPr="00241B9E">
        <w:t>Sector Analysis</w:t>
      </w:r>
    </w:p>
    <w:p w:rsidR="003A2379" w:rsidRPr="00766538" w:rsidRDefault="003A2379" w:rsidP="003A2379">
      <w:pPr>
        <w:rPr>
          <w:rFonts w:cs="CMR12"/>
        </w:rPr>
      </w:pPr>
      <w:r w:rsidRPr="00766538">
        <w:rPr>
          <w:rFonts w:cs="CMR12"/>
        </w:rPr>
        <w:t xml:space="preserve">Pharmaceuticals again show the highest difference in absolute returns between the high and low activity days. </w:t>
      </w:r>
      <w:r>
        <w:rPr>
          <w:rFonts w:cs="CMR12"/>
        </w:rPr>
        <w:t>The r</w:t>
      </w:r>
      <w:r w:rsidRPr="00766538">
        <w:rPr>
          <w:rFonts w:cs="CMR12"/>
        </w:rPr>
        <w:t>esults consistent</w:t>
      </w:r>
      <w:r>
        <w:rPr>
          <w:rFonts w:cs="CMR12"/>
        </w:rPr>
        <w:t>ly</w:t>
      </w:r>
      <w:r w:rsidRPr="00766538">
        <w:rPr>
          <w:rFonts w:cs="CMR12"/>
        </w:rPr>
        <w:t xml:space="preserve"> show higher returns on high activity days in all sectors.</w:t>
      </w:r>
    </w:p>
    <w:p w:rsidR="003A2379" w:rsidRDefault="003A2379" w:rsidP="003A2379">
      <w:pPr>
        <w:rPr>
          <w:rFonts w:cs="CMR12"/>
        </w:rPr>
      </w:pPr>
      <w:r>
        <w:rPr>
          <w:rFonts w:cs="CMR12"/>
        </w:rPr>
        <w:t xml:space="preserve">Sectors with </w:t>
      </w:r>
      <w:r w:rsidRPr="00766538">
        <w:rPr>
          <w:rFonts w:cs="CMR12"/>
        </w:rPr>
        <w:t xml:space="preserve">higher volatility </w:t>
      </w:r>
      <w:r>
        <w:rPr>
          <w:rFonts w:cs="CMR12"/>
        </w:rPr>
        <w:t>highlight the effect a lot more with absolute returns almost doubling on high activity days. L</w:t>
      </w:r>
      <w:r w:rsidRPr="00766538">
        <w:rPr>
          <w:rFonts w:cs="CMR12"/>
        </w:rPr>
        <w:t>ower volatility sectors</w:t>
      </w:r>
      <w:r>
        <w:rPr>
          <w:rFonts w:cs="CMR12"/>
        </w:rPr>
        <w:t xml:space="preserve"> show higher absolute returns on high activity days however the effect is not nearly as strong.</w:t>
      </w:r>
    </w:p>
    <w:p w:rsidR="003A2379" w:rsidRPr="00766538" w:rsidRDefault="003A2379" w:rsidP="003A2379">
      <w:pPr>
        <w:rPr>
          <w:rFonts w:cs="CMR12"/>
        </w:rPr>
      </w:pPr>
    </w:p>
    <w:p w:rsidR="003A2379" w:rsidRDefault="003A2379" w:rsidP="003A2379">
      <w:pPr>
        <w:rPr>
          <w:rFonts w:cs="CMR12"/>
        </w:rPr>
      </w:pPr>
      <w:r>
        <w:rPr>
          <w:rFonts w:cs="CMR12"/>
        </w:rPr>
        <w:lastRenderedPageBreak/>
        <w:t>Results are mostly statistically significant, but again with smaller p-values due to the smaller sample size.</w:t>
      </w:r>
    </w:p>
    <w:p w:rsidR="003A2379" w:rsidRDefault="003A2379" w:rsidP="003A2379">
      <w:pPr>
        <w:pStyle w:val="Caption"/>
      </w:pPr>
    </w:p>
    <w:p w:rsidR="003A2379" w:rsidRPr="00766538"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7</w:t>
      </w:r>
      <w:r>
        <w:fldChar w:fldCharType="end"/>
      </w:r>
      <w:r>
        <w:t>: Mean absolute returns by sector</w:t>
      </w:r>
    </w:p>
    <w:p w:rsidR="003A2379" w:rsidRDefault="003A2379" w:rsidP="003A2379">
      <w:r>
        <w:rPr>
          <w:noProof/>
        </w:rPr>
        <w:drawing>
          <wp:inline distT="0" distB="0" distL="0" distR="0" wp14:anchorId="5633BA37" wp14:editId="197BBE81">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2379" w:rsidRDefault="003A2379" w:rsidP="003A2379"/>
    <w:p w:rsidR="003A2379" w:rsidRDefault="003A2379" w:rsidP="003A2379"/>
    <w:tbl>
      <w:tblPr>
        <w:tblStyle w:val="LightShading"/>
        <w:tblW w:w="0" w:type="auto"/>
        <w:tblInd w:w="108" w:type="dxa"/>
        <w:tblLook w:val="04A0" w:firstRow="1" w:lastRow="0" w:firstColumn="1" w:lastColumn="0" w:noHBand="0" w:noVBand="1"/>
      </w:tblPr>
      <w:tblGrid>
        <w:gridCol w:w="4097"/>
        <w:gridCol w:w="1004"/>
        <w:gridCol w:w="1355"/>
        <w:gridCol w:w="1238"/>
        <w:gridCol w:w="1054"/>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tcPr>
          <w:p w:rsidR="003A2379" w:rsidRPr="00A950F2" w:rsidRDefault="003A2379" w:rsidP="00226234">
            <w:pPr>
              <w:autoSpaceDE w:val="0"/>
              <w:autoSpaceDN w:val="0"/>
              <w:adjustRightInd w:val="0"/>
              <w:rPr>
                <w:rFonts w:cs="CMR10"/>
                <w:sz w:val="20"/>
                <w:szCs w:val="20"/>
              </w:rPr>
            </w:pPr>
            <w:r w:rsidRPr="00241B9E">
              <w:rPr>
                <w:rFonts w:cs="CMR10"/>
                <w:sz w:val="20"/>
                <w:szCs w:val="20"/>
              </w:rPr>
              <w:t>Group</w:t>
            </w:r>
          </w:p>
        </w:tc>
        <w:tc>
          <w:tcPr>
            <w:tcW w:w="1076" w:type="dxa"/>
          </w:tcPr>
          <w:p w:rsidR="003A2379" w:rsidRPr="00A950F2" w:rsidRDefault="003A2379" w:rsidP="00226234">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 </w:t>
            </w:r>
            <w:r w:rsidRPr="00241B9E">
              <w:rPr>
                <w:rFonts w:cs="CMR10"/>
                <w:sz w:val="20"/>
                <w:szCs w:val="20"/>
              </w:rPr>
              <w:t>Tickers</w:t>
            </w:r>
          </w:p>
        </w:tc>
        <w:tc>
          <w:tcPr>
            <w:tcW w:w="1471"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1339"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1132" w:type="dxa"/>
          </w:tcPr>
          <w:p w:rsidR="003A2379" w:rsidRPr="00241B9E"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241B9E">
              <w:rPr>
                <w:rFonts w:cs="CMR10"/>
                <w:sz w:val="20"/>
                <w:szCs w:val="20"/>
              </w:rPr>
              <w:t>p</w:t>
            </w:r>
            <w:proofErr w:type="gramEnd"/>
            <w:r w:rsidRPr="00241B9E">
              <w:rPr>
                <w:rFonts w:cs="CMR10"/>
                <w:sz w:val="20"/>
                <w:szCs w:val="20"/>
              </w:rPr>
              <w:t>-value</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tcPr>
          <w:tbl>
            <w:tblPr>
              <w:tblW w:w="4600" w:type="dxa"/>
              <w:tblLook w:val="04A0" w:firstRow="1" w:lastRow="0" w:firstColumn="1" w:lastColumn="0" w:noHBand="0" w:noVBand="1"/>
            </w:tblPr>
            <w:tblGrid>
              <w:gridCol w:w="3881"/>
            </w:tblGrid>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68" w:name="_Hlk410336014"/>
                  <w:r w:rsidRPr="00EE6540">
                    <w:rPr>
                      <w:rFonts w:cs="CMR10"/>
                      <w:sz w:val="20"/>
                      <w:szCs w:val="20"/>
                    </w:rPr>
                    <w:t>Pharmaceuticals, Biotechnology &amp; Life Sciences</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Software &amp; Services</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Energy</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Capital Goods</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Retailing</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69" w:name="OLE_LINK69"/>
                  <w:r w:rsidRPr="00EE6540">
                    <w:rPr>
                      <w:rFonts w:cs="CMR10"/>
                      <w:sz w:val="20"/>
                      <w:szCs w:val="20"/>
                    </w:rPr>
                    <w:t>Health Care Equipment &amp; Services</w:t>
                  </w:r>
                  <w:bookmarkEnd w:id="69"/>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0" w:name="OLE_LINK70"/>
                  <w:r w:rsidRPr="00EE6540">
                    <w:rPr>
                      <w:rFonts w:cs="CMR10"/>
                      <w:sz w:val="20"/>
                      <w:szCs w:val="20"/>
                    </w:rPr>
                    <w:t>Diversified Financials</w:t>
                  </w:r>
                  <w:bookmarkEnd w:id="70"/>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1" w:name="OLE_LINK71"/>
                  <w:bookmarkStart w:id="72" w:name="OLE_LINK72"/>
                  <w:r w:rsidRPr="00EE6540">
                    <w:rPr>
                      <w:rFonts w:cs="CMR10"/>
                      <w:sz w:val="20"/>
                      <w:szCs w:val="20"/>
                    </w:rPr>
                    <w:t>Materials</w:t>
                  </w:r>
                  <w:bookmarkEnd w:id="71"/>
                  <w:bookmarkEnd w:id="72"/>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Technology Hardware &amp; Equipment</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Consumer Services</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lastRenderedPageBreak/>
                    <w:t>Consumer Durables &amp; Apparel</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3" w:name="OLE_LINK73"/>
                  <w:r w:rsidRPr="00EE6540">
                    <w:rPr>
                      <w:rFonts w:cs="CMR10"/>
                      <w:sz w:val="20"/>
                      <w:szCs w:val="20"/>
                    </w:rPr>
                    <w:t>Semiconductors &amp; Semiconductor Equipment</w:t>
                  </w:r>
                  <w:bookmarkEnd w:id="73"/>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4" w:name="OLE_LINK74"/>
                  <w:r w:rsidRPr="00EE6540">
                    <w:rPr>
                      <w:rFonts w:cs="CMR10"/>
                      <w:sz w:val="20"/>
                      <w:szCs w:val="20"/>
                    </w:rPr>
                    <w:t>Banks</w:t>
                  </w:r>
                  <w:bookmarkEnd w:id="74"/>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Media</w:t>
                  </w:r>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5" w:name="OLE_LINK75"/>
                  <w:bookmarkStart w:id="76" w:name="OLE_LINK76"/>
                  <w:r w:rsidRPr="00EE6540">
                    <w:rPr>
                      <w:rFonts w:cs="CMR10"/>
                      <w:sz w:val="20"/>
                      <w:szCs w:val="20"/>
                    </w:rPr>
                    <w:t>Real Estate</w:t>
                  </w:r>
                  <w:bookmarkEnd w:id="75"/>
                  <w:bookmarkEnd w:id="76"/>
                </w:p>
              </w:tc>
            </w:tr>
            <w:tr w:rsidR="003A2379" w:rsidRPr="00EE6540" w:rsidTr="00226234">
              <w:trPr>
                <w:trHeight w:val="300"/>
              </w:trPr>
              <w:tc>
                <w:tcPr>
                  <w:tcW w:w="460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Food, Beverage &amp; Tobacco</w:t>
                  </w:r>
                </w:p>
              </w:tc>
            </w:tr>
            <w:bookmarkEnd w:id="68"/>
          </w:tbl>
          <w:p w:rsidR="003A2379" w:rsidRPr="00A950F2" w:rsidRDefault="003A2379" w:rsidP="00226234">
            <w:pPr>
              <w:autoSpaceDE w:val="0"/>
              <w:autoSpaceDN w:val="0"/>
              <w:adjustRightInd w:val="0"/>
              <w:rPr>
                <w:rFonts w:cs="CMR10"/>
                <w:sz w:val="20"/>
                <w:szCs w:val="20"/>
              </w:rPr>
            </w:pPr>
          </w:p>
        </w:tc>
        <w:tc>
          <w:tcPr>
            <w:tcW w:w="1076" w:type="dxa"/>
          </w:tcPr>
          <w:tbl>
            <w:tblPr>
              <w:tblW w:w="900" w:type="dxa"/>
              <w:tblLook w:val="04A0" w:firstRow="1" w:lastRow="0" w:firstColumn="1" w:lastColumn="0" w:noHBand="0" w:noVBand="1"/>
            </w:tblPr>
            <w:tblGrid>
              <w:gridCol w:w="788"/>
            </w:tblGrid>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lastRenderedPageBreak/>
                    <w:t>257</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183</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154</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122</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107</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105</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93</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89</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87</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79</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lastRenderedPageBreak/>
                    <w:t>73</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70</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62</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56</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54</w:t>
                  </w:r>
                </w:p>
              </w:tc>
            </w:tr>
            <w:tr w:rsidR="003A2379" w:rsidRPr="00EE6540" w:rsidTr="00226234">
              <w:trPr>
                <w:trHeight w:val="300"/>
              </w:trPr>
              <w:tc>
                <w:tcPr>
                  <w:tcW w:w="900" w:type="dxa"/>
                  <w:tcBorders>
                    <w:top w:val="nil"/>
                    <w:left w:val="nil"/>
                    <w:bottom w:val="nil"/>
                    <w:right w:val="nil"/>
                  </w:tcBorders>
                  <w:shd w:val="clear" w:color="auto" w:fill="auto"/>
                  <w:noWrap/>
                  <w:vAlign w:val="bottom"/>
                  <w:hideMark/>
                </w:tcPr>
                <w:p w:rsidR="003A2379" w:rsidRPr="00EE6540" w:rsidRDefault="003A2379" w:rsidP="00226234">
                  <w:pPr>
                    <w:jc w:val="left"/>
                    <w:rPr>
                      <w:rFonts w:cs="CMR10"/>
                      <w:sz w:val="20"/>
                      <w:szCs w:val="20"/>
                    </w:rPr>
                  </w:pPr>
                  <w:r w:rsidRPr="00EE6540">
                    <w:rPr>
                      <w:rFonts w:cs="CMR10"/>
                      <w:sz w:val="20"/>
                      <w:szCs w:val="20"/>
                    </w:rPr>
                    <w:t>51</w:t>
                  </w:r>
                </w:p>
              </w:tc>
            </w:tr>
          </w:tbl>
          <w:p w:rsidR="003A2379" w:rsidRPr="00A950F2" w:rsidRDefault="003A2379" w:rsidP="0022623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cs="CMR10"/>
                <w:sz w:val="20"/>
                <w:szCs w:val="20"/>
              </w:rPr>
            </w:pPr>
          </w:p>
        </w:tc>
        <w:tc>
          <w:tcPr>
            <w:tcW w:w="1471" w:type="dxa"/>
          </w:tcPr>
          <w:tbl>
            <w:tblPr>
              <w:tblW w:w="1320" w:type="dxa"/>
              <w:tblLook w:val="04A0" w:firstRow="1" w:lastRow="0" w:firstColumn="1" w:lastColumn="0" w:noHBand="0" w:noVBand="1"/>
            </w:tblPr>
            <w:tblGrid>
              <w:gridCol w:w="1139"/>
            </w:tblGrid>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bookmarkStart w:id="77" w:name="_Hlk410336032"/>
                  <w:r w:rsidRPr="00EE6540">
                    <w:rPr>
                      <w:rFonts w:cs="CMR10"/>
                      <w:sz w:val="20"/>
                      <w:szCs w:val="20"/>
                    </w:rPr>
                    <w:lastRenderedPageBreak/>
                    <w:t>4.9%</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2.9%</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2.5%</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2.1%</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2.8%</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2.1%</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2.4%</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2.4%</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3.2%</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lastRenderedPageBreak/>
                    <w:t>4.3%</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2.8%</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1.6%</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2.1%</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1.2%</w:t>
                  </w:r>
                </w:p>
              </w:tc>
            </w:tr>
            <w:tr w:rsidR="003A2379" w:rsidRPr="00EE6540" w:rsidTr="00226234">
              <w:trPr>
                <w:trHeight w:val="300"/>
              </w:trPr>
              <w:tc>
                <w:tcPr>
                  <w:tcW w:w="1320" w:type="dxa"/>
                  <w:noWrap/>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2.8%</w:t>
                  </w:r>
                </w:p>
              </w:tc>
            </w:tr>
            <w:bookmarkEnd w:id="77"/>
          </w:tbl>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c>
          <w:tcPr>
            <w:tcW w:w="1339" w:type="dxa"/>
          </w:tcPr>
          <w:tbl>
            <w:tblPr>
              <w:tblW w:w="1180" w:type="dxa"/>
              <w:tblLook w:val="04A0" w:firstRow="1" w:lastRow="0" w:firstColumn="1" w:lastColumn="0" w:noHBand="0" w:noVBand="1"/>
            </w:tblPr>
            <w:tblGrid>
              <w:gridCol w:w="1022"/>
            </w:tblGrid>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bookmarkStart w:id="78" w:name="_Hlk410336041"/>
                  <w:r w:rsidRPr="00EE6540">
                    <w:rPr>
                      <w:rFonts w:cs="CMR10"/>
                      <w:sz w:val="20"/>
                      <w:szCs w:val="20"/>
                    </w:rPr>
                    <w:lastRenderedPageBreak/>
                    <w:t>2.4%</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1.8%</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1.5%</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1.4%</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1.6%</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1.4%</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1.1%</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1.4%</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1.7%</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1.5%</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lastRenderedPageBreak/>
                    <w:t>1.5%</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2%</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1.2%</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1.3%</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0.9%</w:t>
                  </w:r>
                </w:p>
              </w:tc>
            </w:tr>
            <w:tr w:rsidR="003A2379" w:rsidRPr="00EE6540" w:rsidTr="00226234">
              <w:trPr>
                <w:trHeight w:val="300"/>
              </w:trPr>
              <w:tc>
                <w:tcPr>
                  <w:tcW w:w="1180" w:type="dxa"/>
                  <w:tcBorders>
                    <w:top w:val="nil"/>
                    <w:left w:val="nil"/>
                    <w:bottom w:val="nil"/>
                    <w:right w:val="nil"/>
                  </w:tcBorders>
                  <w:shd w:val="clear" w:color="auto" w:fill="auto"/>
                  <w:noWrap/>
                  <w:vAlign w:val="bottom"/>
                  <w:hideMark/>
                </w:tcPr>
                <w:p w:rsidR="003A2379" w:rsidRPr="00EE6540" w:rsidRDefault="003A2379" w:rsidP="00226234">
                  <w:pPr>
                    <w:autoSpaceDE w:val="0"/>
                    <w:autoSpaceDN w:val="0"/>
                    <w:adjustRightInd w:val="0"/>
                    <w:rPr>
                      <w:rFonts w:cs="CMR10"/>
                      <w:sz w:val="20"/>
                      <w:szCs w:val="20"/>
                    </w:rPr>
                  </w:pPr>
                  <w:r w:rsidRPr="00EE6540">
                    <w:rPr>
                      <w:rFonts w:cs="CMR10"/>
                      <w:sz w:val="20"/>
                      <w:szCs w:val="20"/>
                    </w:rPr>
                    <w:t>1%</w:t>
                  </w:r>
                </w:p>
              </w:tc>
            </w:tr>
            <w:bookmarkEnd w:id="78"/>
          </w:tbl>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c>
          <w:tcPr>
            <w:tcW w:w="1132" w:type="dxa"/>
          </w:tcPr>
          <w:tbl>
            <w:tblPr>
              <w:tblW w:w="960" w:type="dxa"/>
              <w:tblLook w:val="04A0" w:firstRow="1" w:lastRow="0" w:firstColumn="1" w:lastColumn="0" w:noHBand="0" w:noVBand="1"/>
            </w:tblPr>
            <w:tblGrid>
              <w:gridCol w:w="838"/>
            </w:tblGrid>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Pr="00EE6540" w:rsidRDefault="003A2379" w:rsidP="00226234">
                  <w:pPr>
                    <w:rPr>
                      <w:rFonts w:cs="CMR10"/>
                      <w:sz w:val="20"/>
                      <w:szCs w:val="20"/>
                    </w:rPr>
                  </w:pPr>
                  <w:r>
                    <w:rPr>
                      <w:rFonts w:cs="CMR10"/>
                      <w:sz w:val="20"/>
                      <w:szCs w:val="20"/>
                    </w:rPr>
                    <w:lastRenderedPageBreak/>
                    <w:t>4.5*</w:t>
                  </w:r>
                  <w:bookmarkStart w:id="79" w:name="OLE_LINK68"/>
                  <w:r>
                    <w:rPr>
                      <w:rFonts w:cs="CMR10"/>
                      <w:sz w:val="20"/>
                      <w:szCs w:val="20"/>
                    </w:rPr>
                    <w:t>10</w:t>
                  </w:r>
                  <w:r w:rsidRPr="00EE6540">
                    <w:rPr>
                      <w:rFonts w:cs="CMR10"/>
                      <w:sz w:val="20"/>
                      <w:szCs w:val="20"/>
                      <w:vertAlign w:val="superscript"/>
                    </w:rPr>
                    <w:t>-8</w:t>
                  </w:r>
                  <w:bookmarkEnd w:id="79"/>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0.000</w:t>
                  </w:r>
                  <w:r>
                    <w:rPr>
                      <w:rFonts w:cs="CMR10"/>
                      <w:sz w:val="20"/>
                      <w:szCs w:val="20"/>
                    </w:rPr>
                    <w:t>2</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0.003</w:t>
                  </w:r>
                  <w:r>
                    <w:rPr>
                      <w:rFonts w:cs="CMR10"/>
                      <w:sz w:val="20"/>
                      <w:szCs w:val="20"/>
                    </w:rPr>
                    <w:t>2</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0.0333</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Pr>
                      <w:rFonts w:cs="CMR10"/>
                      <w:sz w:val="20"/>
                      <w:szCs w:val="20"/>
                    </w:rPr>
                    <w:t>1.4*10</w:t>
                  </w:r>
                  <w:r w:rsidRPr="00EE6540">
                    <w:rPr>
                      <w:rFonts w:cs="CMR10"/>
                      <w:sz w:val="20"/>
                      <w:szCs w:val="20"/>
                      <w:vertAlign w:val="superscript"/>
                    </w:rPr>
                    <w:t>-8</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0.118</w:t>
                  </w:r>
                  <w:r>
                    <w:rPr>
                      <w:rFonts w:cs="CMR10"/>
                      <w:sz w:val="20"/>
                      <w:szCs w:val="20"/>
                    </w:rPr>
                    <w:t>6</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0.07</w:t>
                  </w:r>
                  <w:r>
                    <w:rPr>
                      <w:rFonts w:cs="CMR10"/>
                      <w:sz w:val="20"/>
                      <w:szCs w:val="20"/>
                    </w:rPr>
                    <w:t>50</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0.134</w:t>
                  </w:r>
                  <w:r>
                    <w:rPr>
                      <w:rFonts w:cs="CMR10"/>
                      <w:sz w:val="20"/>
                      <w:szCs w:val="20"/>
                    </w:rPr>
                    <w:t>3</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0.0113</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lastRenderedPageBreak/>
                    <w:t>0.0418</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0.000</w:t>
                  </w:r>
                  <w:r>
                    <w:rPr>
                      <w:rFonts w:cs="CMR10"/>
                      <w:sz w:val="20"/>
                      <w:szCs w:val="20"/>
                    </w:rPr>
                    <w:t>2</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0.1044</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0.268</w:t>
                  </w:r>
                  <w:r>
                    <w:rPr>
                      <w:rFonts w:cs="CMR10"/>
                      <w:sz w:val="20"/>
                      <w:szCs w:val="20"/>
                    </w:rPr>
                    <w:t>6</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0.0058</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0.312</w:t>
                  </w:r>
                  <w:r>
                    <w:rPr>
                      <w:rFonts w:cs="CMR10"/>
                      <w:sz w:val="20"/>
                      <w:szCs w:val="20"/>
                    </w:rPr>
                    <w:t>1</w:t>
                  </w:r>
                </w:p>
              </w:tc>
            </w:tr>
            <w:tr w:rsidR="003A2379" w:rsidRPr="00EE6540" w:rsidTr="00226234">
              <w:trPr>
                <w:trHeight w:val="300"/>
              </w:trPr>
              <w:tc>
                <w:tcPr>
                  <w:tcW w:w="960" w:type="dxa"/>
                  <w:tcBorders>
                    <w:top w:val="nil"/>
                    <w:left w:val="nil"/>
                    <w:bottom w:val="nil"/>
                    <w:right w:val="nil"/>
                  </w:tcBorders>
                  <w:shd w:val="clear" w:color="auto" w:fill="auto"/>
                  <w:noWrap/>
                  <w:vAlign w:val="bottom"/>
                  <w:hideMark/>
                </w:tcPr>
                <w:p w:rsidR="003A2379" w:rsidRDefault="003A2379" w:rsidP="00226234">
                  <w:pPr>
                    <w:rPr>
                      <w:rFonts w:eastAsiaTheme="majorEastAsia" w:cs="CMR10"/>
                      <w:i/>
                      <w:iCs/>
                      <w:color w:val="243F60" w:themeColor="accent1" w:themeShade="7F"/>
                      <w:sz w:val="20"/>
                      <w:szCs w:val="20"/>
                    </w:rPr>
                  </w:pPr>
                  <w:r w:rsidRPr="00EE6540">
                    <w:rPr>
                      <w:rFonts w:cs="CMR10"/>
                      <w:sz w:val="20"/>
                      <w:szCs w:val="20"/>
                    </w:rPr>
                    <w:t>0.001</w:t>
                  </w:r>
                  <w:r>
                    <w:rPr>
                      <w:rFonts w:cs="CMR10"/>
                      <w:sz w:val="20"/>
                      <w:szCs w:val="20"/>
                    </w:rPr>
                    <w:t>9</w:t>
                  </w:r>
                </w:p>
              </w:tc>
            </w:tr>
          </w:tbl>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r>
    </w:tbl>
    <w:p w:rsidR="003A2379" w:rsidRDefault="003A2379" w:rsidP="003A2379"/>
    <w:p w:rsidR="003A2379" w:rsidRDefault="003A2379" w:rsidP="003A2379">
      <w:pPr>
        <w:rPr>
          <w:rFonts w:cs="CMR12"/>
        </w:rPr>
      </w:pPr>
    </w:p>
    <w:p w:rsidR="003A2379" w:rsidRPr="00766538" w:rsidRDefault="003A2379" w:rsidP="003A2379">
      <w:pPr>
        <w:rPr>
          <w:rFonts w:cs="CMR12"/>
        </w:rPr>
      </w:pPr>
      <w:r>
        <w:rPr>
          <w:rFonts w:cs="CMR12"/>
        </w:rPr>
        <w:t>Results for the sectors listed below are not statistically significant at level 0.05.</w:t>
      </w:r>
    </w:p>
    <w:p w:rsidR="003A2379" w:rsidRDefault="003A2379" w:rsidP="003A2379">
      <w:pPr>
        <w:rPr>
          <w:rFonts w:cs="CMR10"/>
          <w:sz w:val="20"/>
          <w:szCs w:val="20"/>
        </w:rPr>
      </w:pPr>
    </w:p>
    <w:p w:rsidR="003A2379" w:rsidRPr="000B2E88" w:rsidRDefault="003A2379" w:rsidP="003A2379">
      <w:pPr>
        <w:rPr>
          <w:rFonts w:cs="CMR10"/>
          <w:sz w:val="20"/>
          <w:szCs w:val="20"/>
          <w:highlight w:val="yellow"/>
        </w:rPr>
      </w:pPr>
      <w:commentRangeStart w:id="80"/>
      <w:r w:rsidRPr="000B2E88">
        <w:rPr>
          <w:rFonts w:cs="CMR10"/>
          <w:sz w:val="20"/>
          <w:szCs w:val="20"/>
          <w:highlight w:val="yellow"/>
        </w:rPr>
        <w:t>Health Care Equipment &amp; Services</w:t>
      </w:r>
    </w:p>
    <w:p w:rsidR="003A2379" w:rsidRPr="000B2E88" w:rsidRDefault="003A2379" w:rsidP="003A2379">
      <w:pPr>
        <w:rPr>
          <w:rFonts w:cs="CMR10"/>
          <w:sz w:val="20"/>
          <w:szCs w:val="20"/>
          <w:highlight w:val="yellow"/>
        </w:rPr>
      </w:pPr>
      <w:r w:rsidRPr="000B2E88">
        <w:rPr>
          <w:rFonts w:cs="CMR10"/>
          <w:sz w:val="20"/>
          <w:szCs w:val="20"/>
          <w:highlight w:val="yellow"/>
        </w:rPr>
        <w:t>Diversified Financials</w:t>
      </w:r>
    </w:p>
    <w:p w:rsidR="003A2379" w:rsidRPr="000B2E88" w:rsidRDefault="003A2379" w:rsidP="003A2379">
      <w:pPr>
        <w:rPr>
          <w:rFonts w:cs="CMR10"/>
          <w:sz w:val="20"/>
          <w:szCs w:val="20"/>
          <w:highlight w:val="yellow"/>
        </w:rPr>
      </w:pPr>
      <w:r w:rsidRPr="000B2E88">
        <w:rPr>
          <w:rFonts w:cs="CMR10"/>
          <w:sz w:val="20"/>
          <w:szCs w:val="20"/>
          <w:highlight w:val="yellow"/>
        </w:rPr>
        <w:t>Materials</w:t>
      </w:r>
    </w:p>
    <w:p w:rsidR="003A2379" w:rsidRPr="000B2E88" w:rsidRDefault="003A2379" w:rsidP="003A2379">
      <w:pPr>
        <w:rPr>
          <w:rFonts w:cs="CMR10"/>
          <w:sz w:val="20"/>
          <w:szCs w:val="20"/>
          <w:highlight w:val="yellow"/>
        </w:rPr>
      </w:pPr>
      <w:r w:rsidRPr="000B2E88">
        <w:rPr>
          <w:rFonts w:cs="CMR10"/>
          <w:sz w:val="20"/>
          <w:szCs w:val="20"/>
          <w:highlight w:val="yellow"/>
        </w:rPr>
        <w:t>Semiconductors &amp; Semiconductor Equipment</w:t>
      </w:r>
    </w:p>
    <w:p w:rsidR="003A2379" w:rsidRPr="000B2E88" w:rsidRDefault="003A2379" w:rsidP="003A2379">
      <w:pPr>
        <w:rPr>
          <w:rFonts w:cs="CMR10"/>
          <w:sz w:val="20"/>
          <w:szCs w:val="20"/>
          <w:highlight w:val="yellow"/>
        </w:rPr>
      </w:pPr>
      <w:r w:rsidRPr="000B2E88">
        <w:rPr>
          <w:rFonts w:cs="CMR10"/>
          <w:sz w:val="20"/>
          <w:szCs w:val="20"/>
          <w:highlight w:val="yellow"/>
        </w:rPr>
        <w:t>Banks</w:t>
      </w:r>
    </w:p>
    <w:p w:rsidR="003A2379" w:rsidRDefault="003A2379" w:rsidP="003A2379">
      <w:pPr>
        <w:rPr>
          <w:rFonts w:cs="CMR10"/>
          <w:sz w:val="20"/>
          <w:szCs w:val="20"/>
        </w:rPr>
      </w:pPr>
      <w:r w:rsidRPr="000B2E88">
        <w:rPr>
          <w:rFonts w:cs="CMR10"/>
          <w:sz w:val="20"/>
          <w:szCs w:val="20"/>
          <w:highlight w:val="yellow"/>
        </w:rPr>
        <w:t>Real Estate</w:t>
      </w:r>
    </w:p>
    <w:commentRangeEnd w:id="80"/>
    <w:p w:rsidR="003A2379" w:rsidRDefault="003A2379" w:rsidP="003A2379">
      <w:pPr>
        <w:rPr>
          <w:rFonts w:cs="CMR10"/>
          <w:sz w:val="20"/>
          <w:szCs w:val="20"/>
        </w:rPr>
      </w:pPr>
      <w:r>
        <w:rPr>
          <w:rStyle w:val="CommentReference"/>
        </w:rPr>
        <w:commentReference w:id="80"/>
      </w:r>
    </w:p>
    <w:p w:rsidR="003A2379" w:rsidRDefault="003A2379" w:rsidP="003A2379">
      <w:pPr>
        <w:pStyle w:val="Heading3"/>
      </w:pPr>
      <w:r w:rsidRPr="00241B9E">
        <w:t>Volatility Analysis</w:t>
      </w:r>
    </w:p>
    <w:p w:rsidR="003A2379" w:rsidRDefault="003A2379" w:rsidP="003A2379">
      <w:pPr>
        <w:rPr>
          <w:rFonts w:cs="CMR12"/>
        </w:rPr>
      </w:pPr>
      <w:r w:rsidRPr="009033BC">
        <w:rPr>
          <w:rFonts w:cs="CMR12"/>
        </w:rPr>
        <w:t>Analysis based on stock volatility percentiles looks almost identical to alerts file</w:t>
      </w:r>
      <w:r>
        <w:rPr>
          <w:rFonts w:cs="CMR12"/>
        </w:rPr>
        <w:t>.</w:t>
      </w:r>
    </w:p>
    <w:p w:rsidR="003A2379" w:rsidRDefault="003A2379" w:rsidP="003A2379">
      <w:pPr>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8</w:t>
      </w:r>
      <w:r>
        <w:fldChar w:fldCharType="end"/>
      </w:r>
      <w:r>
        <w:t>: Mean absolute returns by volatility</w:t>
      </w:r>
    </w:p>
    <w:p w:rsidR="003A2379" w:rsidRPr="009033BC" w:rsidRDefault="003A2379" w:rsidP="003A2379">
      <w:pPr>
        <w:rPr>
          <w:rFonts w:cs="CMR12"/>
        </w:rPr>
      </w:pPr>
      <w:r>
        <w:rPr>
          <w:rFonts w:cs="CMR12"/>
          <w:noProof/>
        </w:rPr>
        <w:lastRenderedPageBreak/>
        <w:drawing>
          <wp:inline distT="0" distB="0" distL="0" distR="0" wp14:anchorId="26BCAF2F" wp14:editId="2F9956DF">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2379" w:rsidRPr="008B2B1A" w:rsidRDefault="003A2379" w:rsidP="003A2379"/>
    <w:tbl>
      <w:tblPr>
        <w:tblStyle w:val="LightShading"/>
        <w:tblW w:w="0" w:type="auto"/>
        <w:tblInd w:w="108" w:type="dxa"/>
        <w:tblLook w:val="04A0" w:firstRow="1" w:lastRow="0" w:firstColumn="1" w:lastColumn="0" w:noHBand="0" w:noVBand="1"/>
      </w:tblPr>
      <w:tblGrid>
        <w:gridCol w:w="2035"/>
        <w:gridCol w:w="2249"/>
        <w:gridCol w:w="2250"/>
        <w:gridCol w:w="2214"/>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Default="003A2379" w:rsidP="00226234">
            <w:pPr>
              <w:autoSpaceDE w:val="0"/>
              <w:autoSpaceDN w:val="0"/>
              <w:adjustRightInd w:val="0"/>
              <w:rPr>
                <w:rFonts w:cs="CMR12"/>
              </w:rPr>
            </w:pPr>
            <w:r w:rsidRPr="002F009E">
              <w:rPr>
                <w:rFonts w:cs="CMR10"/>
                <w:sz w:val="20"/>
                <w:szCs w:val="20"/>
              </w:rPr>
              <w:t>Volatility</w:t>
            </w:r>
          </w:p>
        </w:tc>
        <w:tc>
          <w:tcPr>
            <w:tcW w:w="233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3A2379" w:rsidRPr="002F009E" w:rsidRDefault="003A2379" w:rsidP="00226234">
            <w:pPr>
              <w:autoSpaceDE w:val="0"/>
              <w:autoSpaceDN w:val="0"/>
              <w:adjustRightInd w:val="0"/>
              <w:rPr>
                <w:rFonts w:cs="CMR10"/>
                <w:sz w:val="20"/>
                <w:szCs w:val="20"/>
              </w:rPr>
            </w:pPr>
            <w:r w:rsidRPr="002F009E">
              <w:rPr>
                <w:rFonts w:cs="CMR10"/>
                <w:sz w:val="20"/>
                <w:szCs w:val="20"/>
              </w:rPr>
              <w:t>Low</w:t>
            </w:r>
          </w:p>
          <w:p w:rsidR="003A2379" w:rsidRDefault="003A2379" w:rsidP="00226234">
            <w:pPr>
              <w:autoSpaceDE w:val="0"/>
              <w:autoSpaceDN w:val="0"/>
              <w:adjustRightInd w:val="0"/>
              <w:rPr>
                <w:rFonts w:cs="CMR12"/>
              </w:rPr>
            </w:pPr>
            <w:r w:rsidRPr="002F009E">
              <w:rPr>
                <w:rFonts w:cs="CMR10"/>
                <w:sz w:val="20"/>
                <w:szCs w:val="20"/>
              </w:rPr>
              <w:t>High</w:t>
            </w:r>
          </w:p>
        </w:tc>
        <w:tc>
          <w:tcPr>
            <w:tcW w:w="2337" w:type="dxa"/>
          </w:tcPr>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2F009E">
              <w:rPr>
                <w:rFonts w:cs="CMR10"/>
                <w:sz w:val="20"/>
                <w:szCs w:val="20"/>
              </w:rPr>
              <w:t>1.6%</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Pr>
                <w:rFonts w:cs="CMR10"/>
                <w:sz w:val="20"/>
                <w:szCs w:val="20"/>
              </w:rPr>
              <w:t>5.1</w:t>
            </w:r>
            <w:r w:rsidRPr="002F009E">
              <w:rPr>
                <w:rFonts w:cs="CMR10"/>
                <w:sz w:val="20"/>
                <w:szCs w:val="20"/>
              </w:rPr>
              <w:t>%</w:t>
            </w:r>
          </w:p>
        </w:tc>
        <w:tc>
          <w:tcPr>
            <w:tcW w:w="2338" w:type="dxa"/>
          </w:tcPr>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2F009E">
              <w:rPr>
                <w:rFonts w:cs="CMR10"/>
                <w:sz w:val="20"/>
                <w:szCs w:val="20"/>
              </w:rPr>
              <w:t>1.0%</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sidRPr="002F009E">
              <w:rPr>
                <w:rFonts w:cs="CMR10"/>
                <w:sz w:val="20"/>
                <w:szCs w:val="20"/>
              </w:rPr>
              <w:t>2.3%</w:t>
            </w:r>
          </w:p>
        </w:tc>
        <w:tc>
          <w:tcPr>
            <w:tcW w:w="2338"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 xml:space="preserve">&lt; </w:t>
            </w:r>
            <w:bookmarkStart w:id="81" w:name="OLE_LINK49"/>
            <w:bookmarkStart w:id="82" w:name="OLE_LINK50"/>
            <w:r w:rsidRPr="00A950F2">
              <w:rPr>
                <w:rFonts w:cs="CMR10"/>
                <w:sz w:val="20"/>
                <w:szCs w:val="20"/>
              </w:rPr>
              <w:t>10</w:t>
            </w:r>
            <w:r>
              <w:rPr>
                <w:rFonts w:cs="CMR10"/>
                <w:sz w:val="20"/>
                <w:szCs w:val="20"/>
                <w:vertAlign w:val="superscript"/>
              </w:rPr>
              <w:t>-15</w:t>
            </w:r>
            <w:bookmarkEnd w:id="81"/>
            <w:bookmarkEnd w:id="82"/>
          </w:p>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A950F2">
              <w:rPr>
                <w:rFonts w:cs="CMR10"/>
                <w:sz w:val="20"/>
                <w:szCs w:val="20"/>
              </w:rPr>
              <w:t>&lt; 10</w:t>
            </w:r>
            <w:r>
              <w:rPr>
                <w:rFonts w:cs="CMR10"/>
                <w:sz w:val="20"/>
                <w:szCs w:val="20"/>
                <w:vertAlign w:val="superscript"/>
              </w:rPr>
              <w:t>-15</w:t>
            </w:r>
          </w:p>
        </w:tc>
      </w:tr>
    </w:tbl>
    <w:p w:rsidR="003A2379" w:rsidRDefault="003A2379" w:rsidP="003A2379"/>
    <w:p w:rsidR="003A2379" w:rsidRDefault="003A2379" w:rsidP="003A2379">
      <w:pPr>
        <w:pStyle w:val="Heading1"/>
      </w:pPr>
      <w:commentRangeStart w:id="83"/>
      <w:r w:rsidRPr="00AA281C">
        <w:t xml:space="preserve">Intraday </w:t>
      </w:r>
      <w:commentRangeEnd w:id="83"/>
      <w:r>
        <w:t>Analysis</w:t>
      </w:r>
      <w:r>
        <w:rPr>
          <w:rStyle w:val="CommentReference"/>
          <w:rFonts w:ascii="Calibri" w:eastAsiaTheme="minorHAnsi" w:hAnsi="Calibri" w:cs="Times New Roman"/>
          <w:b/>
        </w:rPr>
        <w:commentReference w:id="83"/>
      </w:r>
    </w:p>
    <w:p w:rsidR="003A2379" w:rsidRPr="003A2379" w:rsidRDefault="003A2379" w:rsidP="003A2379"/>
    <w:p w:rsidR="003A2379" w:rsidRDefault="003A2379" w:rsidP="003A2379">
      <w:pPr>
        <w:pStyle w:val="CommentText"/>
      </w:pPr>
      <w:r w:rsidRPr="000B7383">
        <w:rPr>
          <w:rFonts w:cs="CMR12"/>
        </w:rPr>
        <w:t xml:space="preserve">The goal here was to see whether </w:t>
      </w:r>
      <w:r>
        <w:rPr>
          <w:rFonts w:cs="CMR12"/>
        </w:rPr>
        <w:t>tweet signals</w:t>
      </w:r>
      <w:r w:rsidRPr="000B7383">
        <w:rPr>
          <w:rFonts w:cs="CMR12"/>
        </w:rPr>
        <w:t xml:space="preserve"> activity is related to intraday returns.  Both </w:t>
      </w:r>
      <w:r>
        <w:rPr>
          <w:rFonts w:cs="CMR12"/>
        </w:rPr>
        <w:t xml:space="preserve">signal </w:t>
      </w:r>
      <w:r w:rsidRPr="000B7383">
        <w:rPr>
          <w:rFonts w:cs="CMR12"/>
        </w:rPr>
        <w:t xml:space="preserve">timing and asset prices are available down to the minute. However, since the </w:t>
      </w:r>
      <w:r>
        <w:rPr>
          <w:rFonts w:cs="CMR12"/>
        </w:rPr>
        <w:t>signal</w:t>
      </w:r>
      <w:r w:rsidRPr="000B7383">
        <w:rPr>
          <w:rFonts w:cs="CMR12"/>
        </w:rPr>
        <w:t xml:space="preserve"> data </w:t>
      </w:r>
      <w:r>
        <w:rPr>
          <w:rFonts w:cs="CMR12"/>
        </w:rPr>
        <w:t>is</w:t>
      </w:r>
      <w:r w:rsidRPr="000B7383">
        <w:rPr>
          <w:rFonts w:cs="CMR12"/>
        </w:rPr>
        <w:t xml:space="preserve"> fairly sparse, we coarsen the data to hourly values.  That is, we consider the number of tweet</w:t>
      </w:r>
      <w:r>
        <w:rPr>
          <w:rFonts w:cs="CMR12"/>
        </w:rPr>
        <w:t xml:space="preserve"> </w:t>
      </w:r>
      <w:r w:rsidRPr="000B7383">
        <w:rPr>
          <w:rFonts w:cs="CMR12"/>
        </w:rPr>
        <w:t>s</w:t>
      </w:r>
      <w:r>
        <w:rPr>
          <w:rFonts w:cs="CMR12"/>
        </w:rPr>
        <w:t>ignals</w:t>
      </w:r>
      <w:r w:rsidRPr="000B7383">
        <w:rPr>
          <w:rFonts w:cs="CMR12"/>
        </w:rPr>
        <w:t xml:space="preserve"> between 9am and 10am, between 10am and 11am, etc., and prices at 9am, 10am, 11am, etc.  </w:t>
      </w:r>
      <w:bookmarkStart w:id="84" w:name="OLE_LINK41"/>
      <w:bookmarkStart w:id="85" w:name="OLE_LINK42"/>
      <w:r w:rsidRPr="000B7383">
        <w:rPr>
          <w:rFonts w:cs="CMR12"/>
        </w:rPr>
        <w:t>The hour that had the most tweet</w:t>
      </w:r>
      <w:r>
        <w:rPr>
          <w:rFonts w:cs="CMR12"/>
        </w:rPr>
        <w:t xml:space="preserve"> </w:t>
      </w:r>
      <w:r w:rsidRPr="000B7383">
        <w:rPr>
          <w:rFonts w:cs="CMR12"/>
        </w:rPr>
        <w:t>s</w:t>
      </w:r>
      <w:r>
        <w:rPr>
          <w:rFonts w:cs="CMR12"/>
        </w:rPr>
        <w:t>ignals</w:t>
      </w:r>
      <w:r w:rsidRPr="000B7383">
        <w:rPr>
          <w:rFonts w:cs="CMR12"/>
        </w:rPr>
        <w:t xml:space="preserve"> was between 9am and 10am, so we</w:t>
      </w:r>
      <w:r>
        <w:rPr>
          <w:rFonts w:cs="CMR12"/>
        </w:rPr>
        <w:t xml:space="preserve"> begin by</w:t>
      </w:r>
      <w:r w:rsidRPr="000B7383">
        <w:rPr>
          <w:rFonts w:cs="CMR12"/>
        </w:rPr>
        <w:t xml:space="preserve"> focus</w:t>
      </w:r>
      <w:r>
        <w:rPr>
          <w:rFonts w:cs="CMR12"/>
        </w:rPr>
        <w:t>ing</w:t>
      </w:r>
      <w:r w:rsidRPr="000B7383">
        <w:rPr>
          <w:rFonts w:cs="CMR12"/>
        </w:rPr>
        <w:t xml:space="preserve"> on that hour. Specifically, we only consider tweet</w:t>
      </w:r>
      <w:r>
        <w:rPr>
          <w:rFonts w:cs="CMR12"/>
        </w:rPr>
        <w:t xml:space="preserve"> </w:t>
      </w:r>
      <w:r w:rsidRPr="000B7383">
        <w:rPr>
          <w:rFonts w:cs="CMR12"/>
        </w:rPr>
        <w:t>s</w:t>
      </w:r>
      <w:r>
        <w:rPr>
          <w:rFonts w:cs="CMR12"/>
        </w:rPr>
        <w:t>ignals</w:t>
      </w:r>
      <w:r w:rsidRPr="000B7383">
        <w:rPr>
          <w:rFonts w:cs="CMR12"/>
        </w:rPr>
        <w:t xml:space="preserve"> between 09:</w:t>
      </w:r>
      <w:r>
        <w:rPr>
          <w:rFonts w:cs="CMR12"/>
        </w:rPr>
        <w:t>3</w:t>
      </w:r>
      <w:r w:rsidRPr="000B7383">
        <w:rPr>
          <w:rFonts w:cs="CMR12"/>
        </w:rPr>
        <w:t>0:00 and 09:59:59</w:t>
      </w:r>
      <w:bookmarkEnd w:id="84"/>
      <w:bookmarkEnd w:id="85"/>
      <w:r w:rsidRPr="000B7383">
        <w:rPr>
          <w:rFonts w:cs="CMR12"/>
        </w:rPr>
        <w:t xml:space="preserve">.  For each asset in the </w:t>
      </w:r>
      <w:r>
        <w:rPr>
          <w:rFonts w:cs="CMR12"/>
        </w:rPr>
        <w:t>signal</w:t>
      </w:r>
      <w:r w:rsidRPr="000B7383">
        <w:rPr>
          <w:rFonts w:cs="CMR12"/>
        </w:rPr>
        <w:t xml:space="preserve"> data we also calculate an intraday return comparing the asset price at 10am with the price at 4pm.  To assess the impact of </w:t>
      </w:r>
      <w:r>
        <w:rPr>
          <w:rFonts w:cs="CMR12"/>
        </w:rPr>
        <w:t>tweet signal</w:t>
      </w:r>
      <w:r w:rsidRPr="000B7383">
        <w:rPr>
          <w:rFonts w:cs="CMR12"/>
        </w:rPr>
        <w:t xml:space="preserve"> activity on these intraday returns, we compare the mean absolute intraday return on days where the asset had one or more tweet</w:t>
      </w:r>
      <w:r>
        <w:rPr>
          <w:rFonts w:cs="CMR12"/>
        </w:rPr>
        <w:t xml:space="preserve"> </w:t>
      </w:r>
      <w:r w:rsidRPr="000B7383">
        <w:rPr>
          <w:rFonts w:cs="CMR12"/>
        </w:rPr>
        <w:t>s</w:t>
      </w:r>
      <w:r>
        <w:rPr>
          <w:rFonts w:cs="CMR12"/>
        </w:rPr>
        <w:t>ignals</w:t>
      </w:r>
      <w:r w:rsidRPr="000B7383">
        <w:rPr>
          <w:rFonts w:cs="CMR12"/>
        </w:rPr>
        <w:t xml:space="preserve"> between 9</w:t>
      </w:r>
      <w:r>
        <w:rPr>
          <w:rFonts w:cs="CMR12"/>
        </w:rPr>
        <w:t>:30</w:t>
      </w:r>
      <w:r w:rsidRPr="000B7383">
        <w:rPr>
          <w:rFonts w:cs="CMR12"/>
        </w:rPr>
        <w:t>am and 10am versus days where the asset had n</w:t>
      </w:r>
      <w:r>
        <w:rPr>
          <w:rFonts w:cs="CMR12"/>
        </w:rPr>
        <w:t xml:space="preserve">o </w:t>
      </w:r>
      <w:r>
        <w:rPr>
          <w:rFonts w:cs="CMR12"/>
        </w:rPr>
        <w:lastRenderedPageBreak/>
        <w:t xml:space="preserve">signals between 9:30am and 10am.  </w:t>
      </w:r>
      <w:r>
        <w:rPr>
          <w:rStyle w:val="CommentReference"/>
        </w:rPr>
        <w:annotationRef/>
      </w:r>
      <w:r>
        <w:t>Because it was rare for tickers to have more than one tweet signal in such a short time period, high activity here is defined as one or more tweet signals.</w:t>
      </w:r>
    </w:p>
    <w:p w:rsidR="003A2379" w:rsidRPr="00632499" w:rsidRDefault="003A2379" w:rsidP="003A2379">
      <w:pPr>
        <w:rPr>
          <w:rFonts w:cs="CMR12"/>
        </w:rPr>
      </w:pPr>
    </w:p>
    <w:p w:rsidR="003A2379" w:rsidRPr="000B7383" w:rsidRDefault="003A2379" w:rsidP="003A2379">
      <w:pPr>
        <w:pStyle w:val="Caption"/>
      </w:pPr>
      <w:r w:rsidRPr="000B7383">
        <w:br/>
      </w:r>
      <w:r>
        <w:t xml:space="preserve">Table </w:t>
      </w:r>
      <w:r>
        <w:fldChar w:fldCharType="begin"/>
      </w:r>
      <w:r>
        <w:instrText xml:space="preserve"> SEQ Table \* ARABIC </w:instrText>
      </w:r>
      <w:r>
        <w:fldChar w:fldCharType="separate"/>
      </w:r>
      <w:r>
        <w:rPr>
          <w:noProof/>
        </w:rPr>
        <w:t>1</w:t>
      </w:r>
      <w:r>
        <w:fldChar w:fldCharType="end"/>
      </w:r>
      <w:r>
        <w:t xml:space="preserve">: </w:t>
      </w:r>
      <w:r w:rsidRPr="000B7383">
        <w:t>Alerts</w:t>
      </w:r>
      <w:r>
        <w:t xml:space="preserve"> </w:t>
      </w:r>
      <w:bookmarkStart w:id="86" w:name="OLE_LINK81"/>
      <w:bookmarkStart w:id="87" w:name="OLE_LINK82"/>
      <w:bookmarkStart w:id="88" w:name="OLE_LINK85"/>
      <w:r>
        <w:t>signals from 9:30 am -10 am</w:t>
      </w:r>
      <w:bookmarkEnd w:id="86"/>
      <w:bookmarkEnd w:id="87"/>
      <w:bookmarkEnd w:id="88"/>
    </w:p>
    <w:tbl>
      <w:tblPr>
        <w:tblStyle w:val="LightShading"/>
        <w:tblW w:w="0" w:type="auto"/>
        <w:tblInd w:w="108" w:type="dxa"/>
        <w:tblLook w:val="04A0" w:firstRow="1" w:lastRow="0" w:firstColumn="1" w:lastColumn="0" w:noHBand="0" w:noVBand="1"/>
      </w:tblPr>
      <w:tblGrid>
        <w:gridCol w:w="2023"/>
        <w:gridCol w:w="2244"/>
        <w:gridCol w:w="2244"/>
        <w:gridCol w:w="2237"/>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bookmarkStart w:id="89" w:name="OLE_LINK5"/>
            <w:bookmarkStart w:id="90" w:name="OLE_LINK6"/>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No 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bookmarkStart w:id="91" w:name="OLE_LINK84"/>
            <w:r>
              <w:rPr>
                <w:rFonts w:cs="CMR10"/>
                <w:sz w:val="20"/>
                <w:szCs w:val="20"/>
              </w:rPr>
              <w:t>10:00 am – 4:00 pm</w:t>
            </w:r>
            <w:bookmarkEnd w:id="91"/>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1.9</w:t>
            </w:r>
            <w:r w:rsidRPr="00A950F2">
              <w:rPr>
                <w:rFonts w:cs="CMR10"/>
                <w:sz w:val="20"/>
                <w:szCs w:val="20"/>
              </w:rPr>
              <w:t>%</w:t>
            </w:r>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1.2</w:t>
            </w:r>
            <w:r w:rsidRPr="00A950F2">
              <w:rPr>
                <w:rFonts w:cs="CMR10"/>
                <w:sz w:val="20"/>
                <w:szCs w:val="20"/>
              </w:rPr>
              <w:t>%</w:t>
            </w:r>
          </w:p>
        </w:tc>
        <w:tc>
          <w:tcPr>
            <w:tcW w:w="238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0B7383">
              <w:rPr>
                <w:rFonts w:cs="CMR10"/>
                <w:sz w:val="20"/>
                <w:szCs w:val="20"/>
              </w:rPr>
              <w:t>0.0003163</w:t>
            </w:r>
          </w:p>
        </w:tc>
      </w:tr>
      <w:bookmarkEnd w:id="89"/>
      <w:bookmarkEnd w:id="90"/>
    </w:tbl>
    <w:p w:rsidR="003A2379" w:rsidRDefault="003A2379" w:rsidP="003A2379">
      <w:pPr>
        <w:rPr>
          <w:rFonts w:cs="CMR12"/>
        </w:rPr>
      </w:pPr>
    </w:p>
    <w:p w:rsidR="003A2379" w:rsidRDefault="003A2379" w:rsidP="003A2379">
      <w:pPr>
        <w:pStyle w:val="Caption"/>
      </w:pPr>
      <w:bookmarkStart w:id="92" w:name="OLE_LINK52"/>
      <w:r>
        <w:t xml:space="preserve">Table </w:t>
      </w:r>
      <w:r>
        <w:fldChar w:fldCharType="begin"/>
      </w:r>
      <w:r>
        <w:instrText xml:space="preserve"> SEQ Table \* ARABIC </w:instrText>
      </w:r>
      <w:r>
        <w:fldChar w:fldCharType="separate"/>
      </w:r>
      <w:r>
        <w:rPr>
          <w:noProof/>
        </w:rPr>
        <w:t>2</w:t>
      </w:r>
      <w:r>
        <w:fldChar w:fldCharType="end"/>
      </w:r>
      <w:r>
        <w:t xml:space="preserve">: </w:t>
      </w:r>
      <w:r w:rsidRPr="004A6692">
        <w:t>Notable and Flash</w:t>
      </w:r>
      <w:r>
        <w:t xml:space="preserve"> signals from 9:30 am -10 am</w:t>
      </w:r>
    </w:p>
    <w:bookmarkEnd w:id="92"/>
    <w:tbl>
      <w:tblPr>
        <w:tblStyle w:val="LightShading"/>
        <w:tblW w:w="0" w:type="auto"/>
        <w:tblInd w:w="108" w:type="dxa"/>
        <w:tblLook w:val="04A0" w:firstRow="1" w:lastRow="0" w:firstColumn="1" w:lastColumn="0" w:noHBand="0" w:noVBand="1"/>
      </w:tblPr>
      <w:tblGrid>
        <w:gridCol w:w="2023"/>
        <w:gridCol w:w="2244"/>
        <w:gridCol w:w="2244"/>
        <w:gridCol w:w="2237"/>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No 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r>
              <w:rPr>
                <w:rFonts w:cs="CMR10"/>
                <w:sz w:val="20"/>
                <w:szCs w:val="20"/>
              </w:rPr>
              <w:t>10:00 am – 4:00 pm</w:t>
            </w:r>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1.9</w:t>
            </w:r>
            <w:r w:rsidRPr="00A950F2">
              <w:rPr>
                <w:rFonts w:cs="CMR10"/>
                <w:sz w:val="20"/>
                <w:szCs w:val="20"/>
              </w:rPr>
              <w:t>%</w:t>
            </w:r>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1.3</w:t>
            </w:r>
            <w:r w:rsidRPr="00A950F2">
              <w:rPr>
                <w:rFonts w:cs="CMR10"/>
                <w:sz w:val="20"/>
                <w:szCs w:val="20"/>
              </w:rPr>
              <w:t>%</w:t>
            </w:r>
          </w:p>
        </w:tc>
        <w:tc>
          <w:tcPr>
            <w:tcW w:w="238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4A6692">
              <w:rPr>
                <w:rFonts w:cs="CMR10"/>
                <w:sz w:val="20"/>
                <w:szCs w:val="20"/>
              </w:rPr>
              <w:t>0.0002623</w:t>
            </w:r>
          </w:p>
        </w:tc>
      </w:tr>
    </w:tbl>
    <w:p w:rsidR="003A2379" w:rsidRDefault="003A2379" w:rsidP="003A2379">
      <w:pPr>
        <w:rPr>
          <w:rFonts w:cs="CMR12"/>
          <w:b/>
          <w:sz w:val="28"/>
          <w:szCs w:val="28"/>
        </w:rPr>
      </w:pPr>
    </w:p>
    <w:p w:rsidR="003A2379" w:rsidRDefault="003A2379" w:rsidP="003A2379">
      <w:pPr>
        <w:rPr>
          <w:rFonts w:cs="CMR12"/>
        </w:rPr>
      </w:pPr>
      <w:r>
        <w:rPr>
          <w:rFonts w:cs="CMR12"/>
        </w:rPr>
        <w:t xml:space="preserve">Now let us look at the second </w:t>
      </w:r>
      <w:r w:rsidRPr="000B7383">
        <w:rPr>
          <w:rFonts w:cs="CMR12"/>
        </w:rPr>
        <w:t>hour that had the most tweet</w:t>
      </w:r>
      <w:r>
        <w:rPr>
          <w:rFonts w:cs="CMR12"/>
        </w:rPr>
        <w:t xml:space="preserve"> </w:t>
      </w:r>
      <w:r w:rsidRPr="000B7383">
        <w:rPr>
          <w:rFonts w:cs="CMR12"/>
        </w:rPr>
        <w:t>s</w:t>
      </w:r>
      <w:r>
        <w:rPr>
          <w:rFonts w:cs="CMR12"/>
        </w:rPr>
        <w:t>ignals, the hour between</w:t>
      </w:r>
      <w:r w:rsidRPr="000B7383">
        <w:rPr>
          <w:rFonts w:cs="CMR12"/>
        </w:rPr>
        <w:t xml:space="preserve"> </w:t>
      </w:r>
      <w:r>
        <w:rPr>
          <w:rFonts w:cs="CMR12"/>
        </w:rPr>
        <w:t xml:space="preserve">10 am and 11 </w:t>
      </w:r>
      <w:r w:rsidRPr="000B7383">
        <w:rPr>
          <w:rFonts w:cs="CMR12"/>
        </w:rPr>
        <w:t>am</w:t>
      </w:r>
      <w:r>
        <w:rPr>
          <w:rFonts w:cs="CMR12"/>
        </w:rPr>
        <w:t xml:space="preserve">. We can compare returns during the pre-tweet signal hour, i.e. from the market open until 10 am, and returns from 11 am until the market closing at 4 pm. In addition we will also consider returns from after the tweet signal at 11 am until 4pm the following day (holding the stock for 2 days) and until 4pm two days later (holding stock for 3 days). It looks like it makes sense to hold stocks for more than 1 day since the excess return compared with the day when there </w:t>
      </w:r>
      <w:proofErr w:type="gramStart"/>
      <w:r>
        <w:rPr>
          <w:rFonts w:cs="CMR12"/>
        </w:rPr>
        <w:t>are</w:t>
      </w:r>
      <w:proofErr w:type="gramEnd"/>
      <w:r>
        <w:rPr>
          <w:rFonts w:cs="CMR12"/>
        </w:rPr>
        <w:t xml:space="preserve"> no news keeps growing.</w:t>
      </w:r>
    </w:p>
    <w:p w:rsidR="003A2379" w:rsidRDefault="003A2379" w:rsidP="003A2379">
      <w:pPr>
        <w:pStyle w:val="Caption"/>
      </w:pPr>
    </w:p>
    <w:p w:rsidR="003A2379" w:rsidRDefault="003A2379" w:rsidP="003A2379">
      <w:pPr>
        <w:spacing w:after="160" w:line="259" w:lineRule="auto"/>
        <w:jc w:val="left"/>
        <w:rPr>
          <w:b/>
          <w:bCs/>
          <w:szCs w:val="18"/>
        </w:rPr>
      </w:pPr>
      <w:r>
        <w:br w:type="page"/>
      </w:r>
    </w:p>
    <w:p w:rsidR="003A2379" w:rsidRPr="009C68B1" w:rsidRDefault="003A2379" w:rsidP="003A2379">
      <w:pPr>
        <w:pStyle w:val="Caption"/>
      </w:pPr>
      <w:r>
        <w:lastRenderedPageBreak/>
        <w:t xml:space="preserve">Figure </w:t>
      </w:r>
      <w:r>
        <w:fldChar w:fldCharType="begin"/>
      </w:r>
      <w:r>
        <w:instrText xml:space="preserve"> SEQ Figure \* ARABIC </w:instrText>
      </w:r>
      <w:r>
        <w:fldChar w:fldCharType="separate"/>
      </w:r>
      <w:r>
        <w:rPr>
          <w:noProof/>
        </w:rPr>
        <w:t>9</w:t>
      </w:r>
      <w:r>
        <w:fldChar w:fldCharType="end"/>
      </w:r>
      <w:r>
        <w:t>: Intraday returns around Alert signals</w:t>
      </w:r>
    </w:p>
    <w:p w:rsidR="003A2379" w:rsidRDefault="003A2379" w:rsidP="003A2379">
      <w:pPr>
        <w:rPr>
          <w:rFonts w:cs="CMR12"/>
        </w:rPr>
      </w:pPr>
      <w:r>
        <w:rPr>
          <w:rFonts w:cs="CMR12"/>
          <w:noProof/>
        </w:rPr>
        <w:drawing>
          <wp:inline distT="0" distB="0" distL="0" distR="0" wp14:anchorId="5CF89E51" wp14:editId="48DE7087">
            <wp:extent cx="59182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A2379" w:rsidRPr="008D47C3" w:rsidRDefault="003A2379" w:rsidP="003A2379">
      <w:pPr>
        <w:rPr>
          <w:rFonts w:cs="CMR12"/>
          <w:b/>
          <w:sz w:val="28"/>
          <w:szCs w:val="28"/>
        </w:rPr>
      </w:pPr>
    </w:p>
    <w:tbl>
      <w:tblPr>
        <w:tblStyle w:val="LightShading"/>
        <w:tblW w:w="0" w:type="auto"/>
        <w:tblInd w:w="108" w:type="dxa"/>
        <w:tblLook w:val="04A0" w:firstRow="1" w:lastRow="0" w:firstColumn="1" w:lastColumn="0" w:noHBand="0" w:noVBand="1"/>
      </w:tblPr>
      <w:tblGrid>
        <w:gridCol w:w="2034"/>
        <w:gridCol w:w="2243"/>
        <w:gridCol w:w="2243"/>
        <w:gridCol w:w="2228"/>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bookmarkStart w:id="93" w:name="OLE_LINK79"/>
            <w:bookmarkStart w:id="94" w:name="OLE_LINK80"/>
            <w:r>
              <w:rPr>
                <w:rFonts w:cs="CMR10"/>
                <w:sz w:val="20"/>
                <w:szCs w:val="20"/>
              </w:rPr>
              <w:t>Return period</w:t>
            </w:r>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 xml:space="preserve">Signal </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 xml:space="preserve">No Signal </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8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r>
              <w:rPr>
                <w:rFonts w:cs="CMR10"/>
                <w:sz w:val="20"/>
                <w:szCs w:val="20"/>
              </w:rPr>
              <w:t>9:30 am – 9:59 am</w:t>
            </w:r>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2.1</w:t>
            </w:r>
            <w:r w:rsidRPr="00A950F2">
              <w:rPr>
                <w:rFonts w:cs="CMR10"/>
                <w:sz w:val="20"/>
                <w:szCs w:val="20"/>
              </w:rPr>
              <w:t>%</w:t>
            </w:r>
          </w:p>
        </w:tc>
        <w:tc>
          <w:tcPr>
            <w:tcW w:w="238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1.0</w:t>
            </w:r>
            <w:r w:rsidRPr="00A950F2">
              <w:rPr>
                <w:rFonts w:cs="CMR10"/>
                <w:sz w:val="20"/>
                <w:szCs w:val="20"/>
              </w:rPr>
              <w:t>%</w:t>
            </w:r>
          </w:p>
        </w:tc>
        <w:tc>
          <w:tcPr>
            <w:tcW w:w="2387"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bookmarkStart w:id="95" w:name="OLE_LINK51"/>
            <w:r>
              <w:rPr>
                <w:rFonts w:cs="CMR10"/>
                <w:sz w:val="20"/>
                <w:szCs w:val="20"/>
              </w:rPr>
              <w:t>2.2*</w:t>
            </w:r>
            <w:r w:rsidRPr="00A950F2">
              <w:rPr>
                <w:rFonts w:cs="CMR10"/>
                <w:sz w:val="20"/>
                <w:szCs w:val="20"/>
              </w:rPr>
              <w:t>10</w:t>
            </w:r>
            <w:r>
              <w:rPr>
                <w:rFonts w:cs="CMR10"/>
                <w:sz w:val="20"/>
                <w:szCs w:val="20"/>
                <w:vertAlign w:val="superscript"/>
              </w:rPr>
              <w:t>-16</w:t>
            </w:r>
            <w:bookmarkEnd w:id="95"/>
          </w:p>
        </w:tc>
      </w:tr>
      <w:tr w:rsidR="003A2379" w:rsidTr="00226234">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bookmarkStart w:id="96" w:name="OLE_LINK83"/>
            <w:r>
              <w:rPr>
                <w:rFonts w:cs="CMR10"/>
                <w:sz w:val="20"/>
                <w:szCs w:val="20"/>
              </w:rPr>
              <w:t>11:00 am – 4:00 pm</w:t>
            </w:r>
            <w:bookmarkEnd w:id="96"/>
          </w:p>
        </w:tc>
        <w:tc>
          <w:tcPr>
            <w:tcW w:w="238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1.5%</w:t>
            </w:r>
          </w:p>
        </w:tc>
        <w:tc>
          <w:tcPr>
            <w:tcW w:w="238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1.0%</w:t>
            </w:r>
          </w:p>
        </w:tc>
        <w:tc>
          <w:tcPr>
            <w:tcW w:w="2387"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1.655*</w:t>
            </w:r>
            <w:r w:rsidRPr="00A950F2">
              <w:rPr>
                <w:rFonts w:cs="CMR10"/>
                <w:sz w:val="20"/>
                <w:szCs w:val="20"/>
              </w:rPr>
              <w:t>10</w:t>
            </w:r>
            <w:r>
              <w:rPr>
                <w:rFonts w:cs="CMR10"/>
                <w:sz w:val="20"/>
                <w:szCs w:val="20"/>
                <w:vertAlign w:val="superscript"/>
              </w:rPr>
              <w:t>-10</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r>
              <w:rPr>
                <w:rFonts w:cs="CMR10"/>
                <w:sz w:val="20"/>
                <w:szCs w:val="20"/>
              </w:rPr>
              <w:t xml:space="preserve">11:00 am – +1 day </w:t>
            </w:r>
          </w:p>
        </w:tc>
        <w:tc>
          <w:tcPr>
            <w:tcW w:w="2386"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2.9%</w:t>
            </w:r>
          </w:p>
        </w:tc>
        <w:tc>
          <w:tcPr>
            <w:tcW w:w="2386"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2.2%</w:t>
            </w:r>
          </w:p>
        </w:tc>
        <w:tc>
          <w:tcPr>
            <w:tcW w:w="2387"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5.82*</w:t>
            </w:r>
            <w:r w:rsidRPr="00A950F2">
              <w:rPr>
                <w:rFonts w:cs="CMR10"/>
                <w:sz w:val="20"/>
                <w:szCs w:val="20"/>
              </w:rPr>
              <w:t>10</w:t>
            </w:r>
            <w:r>
              <w:rPr>
                <w:rFonts w:cs="CMR10"/>
                <w:sz w:val="20"/>
                <w:szCs w:val="20"/>
                <w:vertAlign w:val="superscript"/>
              </w:rPr>
              <w:t>-6</w:t>
            </w:r>
          </w:p>
        </w:tc>
      </w:tr>
      <w:tr w:rsidR="003A2379" w:rsidTr="00226234">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r>
              <w:rPr>
                <w:rFonts w:cs="CMR10"/>
                <w:sz w:val="20"/>
                <w:szCs w:val="20"/>
              </w:rPr>
              <w:t>11:00 am – +2 days</w:t>
            </w:r>
          </w:p>
        </w:tc>
        <w:tc>
          <w:tcPr>
            <w:tcW w:w="238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4%</w:t>
            </w:r>
          </w:p>
        </w:tc>
        <w:tc>
          <w:tcPr>
            <w:tcW w:w="238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3%</w:t>
            </w:r>
          </w:p>
        </w:tc>
        <w:tc>
          <w:tcPr>
            <w:tcW w:w="2387"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1.883*</w:t>
            </w:r>
            <w:r w:rsidRPr="00A950F2">
              <w:rPr>
                <w:rFonts w:cs="CMR10"/>
                <w:sz w:val="20"/>
                <w:szCs w:val="20"/>
              </w:rPr>
              <w:t>10</w:t>
            </w:r>
            <w:r>
              <w:rPr>
                <w:rFonts w:cs="CMR10"/>
                <w:sz w:val="20"/>
                <w:szCs w:val="20"/>
                <w:vertAlign w:val="superscript"/>
              </w:rPr>
              <w:t>-6</w:t>
            </w:r>
          </w:p>
        </w:tc>
      </w:tr>
      <w:bookmarkEnd w:id="93"/>
      <w:bookmarkEnd w:id="94"/>
    </w:tbl>
    <w:p w:rsidR="003A2379" w:rsidRDefault="003A2379" w:rsidP="003A2379">
      <w:pPr>
        <w:rPr>
          <w:rFonts w:cs="CMR12"/>
          <w:b/>
          <w:sz w:val="28"/>
          <w:szCs w:val="28"/>
        </w:rPr>
      </w:pPr>
    </w:p>
    <w:p w:rsidR="003A2379" w:rsidRDefault="003A2379" w:rsidP="003A2379">
      <w:pPr>
        <w:rPr>
          <w:rFonts w:cs="CMR12"/>
        </w:rPr>
      </w:pPr>
      <w:r>
        <w:rPr>
          <w:rFonts w:cs="CMR12"/>
        </w:rPr>
        <w:t>This effect is especially pronounced for F</w:t>
      </w:r>
      <w:commentRangeStart w:id="97"/>
      <w:r>
        <w:rPr>
          <w:rFonts w:cs="CMR12"/>
        </w:rPr>
        <w:t xml:space="preserve">lashes and Notables </w:t>
      </w:r>
      <w:commentRangeEnd w:id="97"/>
      <w:r>
        <w:rPr>
          <w:rStyle w:val="CommentReference"/>
        </w:rPr>
        <w:commentReference w:id="97"/>
      </w:r>
      <w:r>
        <w:rPr>
          <w:rFonts w:cs="CMR12"/>
        </w:rPr>
        <w:t>where excess return reaches 1.6 % by the 3</w:t>
      </w:r>
      <w:r w:rsidRPr="007E5BAF">
        <w:rPr>
          <w:rFonts w:cs="CMR12"/>
          <w:vertAlign w:val="superscript"/>
        </w:rPr>
        <w:t>rd</w:t>
      </w:r>
      <w:r>
        <w:rPr>
          <w:rFonts w:cs="CMR12"/>
        </w:rPr>
        <w:t xml:space="preserve"> day.</w:t>
      </w:r>
    </w:p>
    <w:p w:rsidR="003A2379" w:rsidRDefault="003A2379" w:rsidP="003A2379">
      <w:pPr>
        <w:rPr>
          <w:rFonts w:cs="CMR12"/>
        </w:rPr>
      </w:pPr>
    </w:p>
    <w:p w:rsidR="003A2379" w:rsidRDefault="003A2379" w:rsidP="003A2379">
      <w:pPr>
        <w:rPr>
          <w:rFonts w:cs="CMR12"/>
          <w:b/>
          <w:sz w:val="28"/>
          <w:szCs w:val="28"/>
        </w:rPr>
      </w:pPr>
    </w:p>
    <w:p w:rsidR="003A2379" w:rsidRDefault="003A2379" w:rsidP="003A2379">
      <w:pPr>
        <w:spacing w:after="160" w:line="259" w:lineRule="auto"/>
        <w:jc w:val="left"/>
        <w:rPr>
          <w:b/>
          <w:bCs/>
          <w:szCs w:val="18"/>
        </w:rPr>
      </w:pPr>
      <w:r>
        <w:br w:type="page"/>
      </w:r>
    </w:p>
    <w:p w:rsidR="003A2379" w:rsidRDefault="003A2379" w:rsidP="003A2379">
      <w:pPr>
        <w:pStyle w:val="Caption"/>
        <w:rPr>
          <w:rFonts w:cs="CMR12"/>
        </w:rPr>
      </w:pPr>
      <w:r>
        <w:lastRenderedPageBreak/>
        <w:t xml:space="preserve">Figure </w:t>
      </w:r>
      <w:r>
        <w:fldChar w:fldCharType="begin"/>
      </w:r>
      <w:r>
        <w:instrText xml:space="preserve"> SEQ Figure \* ARABIC </w:instrText>
      </w:r>
      <w:r>
        <w:fldChar w:fldCharType="separate"/>
      </w:r>
      <w:r>
        <w:rPr>
          <w:noProof/>
        </w:rPr>
        <w:t>10</w:t>
      </w:r>
      <w:r>
        <w:fldChar w:fldCharType="end"/>
      </w:r>
      <w:r>
        <w:t>: Returns around Flashes and Notable signals</w:t>
      </w:r>
    </w:p>
    <w:p w:rsidR="003A2379" w:rsidRDefault="003A2379" w:rsidP="003A2379">
      <w:pPr>
        <w:rPr>
          <w:rFonts w:cs="CMR12"/>
          <w:b/>
          <w:sz w:val="28"/>
          <w:szCs w:val="28"/>
        </w:rPr>
      </w:pPr>
    </w:p>
    <w:p w:rsidR="003A2379" w:rsidRPr="0016774A" w:rsidRDefault="003A2379" w:rsidP="003A2379">
      <w:pPr>
        <w:rPr>
          <w:rFonts w:cs="CMR12"/>
          <w:b/>
          <w:sz w:val="28"/>
          <w:szCs w:val="28"/>
        </w:rPr>
      </w:pPr>
      <w:r>
        <w:rPr>
          <w:rFonts w:cs="CMR12"/>
          <w:noProof/>
        </w:rPr>
        <w:drawing>
          <wp:inline distT="0" distB="0" distL="0" distR="0" wp14:anchorId="70132A63" wp14:editId="2A4DFBB2">
            <wp:extent cx="59436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LightShading"/>
        <w:tblW w:w="0" w:type="auto"/>
        <w:tblInd w:w="108" w:type="dxa"/>
        <w:tblLook w:val="04A0" w:firstRow="1" w:lastRow="0" w:firstColumn="1" w:lastColumn="0" w:noHBand="0" w:noVBand="1"/>
      </w:tblPr>
      <w:tblGrid>
        <w:gridCol w:w="2039"/>
        <w:gridCol w:w="2273"/>
        <w:gridCol w:w="2213"/>
        <w:gridCol w:w="2223"/>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r>
              <w:rPr>
                <w:rFonts w:cs="CMR10"/>
                <w:sz w:val="20"/>
                <w:szCs w:val="20"/>
              </w:rPr>
              <w:t>Return period</w:t>
            </w:r>
          </w:p>
        </w:tc>
        <w:tc>
          <w:tcPr>
            <w:tcW w:w="2413"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News</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46"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No News</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400"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Pr="00A950F2" w:rsidRDefault="003A2379" w:rsidP="00226234">
            <w:pPr>
              <w:autoSpaceDE w:val="0"/>
              <w:autoSpaceDN w:val="0"/>
              <w:adjustRightInd w:val="0"/>
              <w:rPr>
                <w:rFonts w:cs="CMR10"/>
                <w:sz w:val="20"/>
                <w:szCs w:val="20"/>
              </w:rPr>
            </w:pPr>
            <w:r>
              <w:rPr>
                <w:rFonts w:cs="CMR10"/>
                <w:sz w:val="20"/>
                <w:szCs w:val="20"/>
              </w:rPr>
              <w:t>9:30 am – 9:59 am</w:t>
            </w:r>
          </w:p>
        </w:tc>
        <w:tc>
          <w:tcPr>
            <w:tcW w:w="2413"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2.1</w:t>
            </w:r>
            <w:r w:rsidRPr="00A950F2">
              <w:rPr>
                <w:rFonts w:cs="CMR10"/>
                <w:sz w:val="20"/>
                <w:szCs w:val="20"/>
              </w:rPr>
              <w:t>%</w:t>
            </w:r>
          </w:p>
        </w:tc>
        <w:tc>
          <w:tcPr>
            <w:tcW w:w="2346"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1.2</w:t>
            </w:r>
            <w:r w:rsidRPr="00A950F2">
              <w:rPr>
                <w:rFonts w:cs="CMR10"/>
                <w:sz w:val="20"/>
                <w:szCs w:val="20"/>
              </w:rPr>
              <w:t>%</w:t>
            </w:r>
          </w:p>
        </w:tc>
        <w:tc>
          <w:tcPr>
            <w:tcW w:w="2400" w:type="dxa"/>
          </w:tcPr>
          <w:p w:rsidR="003A2379" w:rsidRPr="00A950F2"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8D3034">
              <w:rPr>
                <w:rFonts w:asciiTheme="minorHAnsi" w:hAnsiTheme="minorHAnsi" w:cs="CMR10"/>
                <w:sz w:val="20"/>
                <w:szCs w:val="20"/>
              </w:rPr>
              <w:t>0.0028</w:t>
            </w:r>
          </w:p>
        </w:tc>
      </w:tr>
      <w:tr w:rsidR="003A2379" w:rsidTr="00226234">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r>
              <w:rPr>
                <w:rFonts w:cs="CMR10"/>
                <w:sz w:val="20"/>
                <w:szCs w:val="20"/>
              </w:rPr>
              <w:t>11:00 am – 4:00 pm</w:t>
            </w:r>
          </w:p>
        </w:tc>
        <w:tc>
          <w:tcPr>
            <w:tcW w:w="2413"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2.0%</w:t>
            </w:r>
          </w:p>
        </w:tc>
        <w:tc>
          <w:tcPr>
            <w:tcW w:w="234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1.1%</w:t>
            </w:r>
          </w:p>
        </w:tc>
        <w:tc>
          <w:tcPr>
            <w:tcW w:w="2400"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8D3034">
              <w:rPr>
                <w:rFonts w:cs="CMR10"/>
                <w:sz w:val="20"/>
                <w:szCs w:val="20"/>
              </w:rPr>
              <w:t>0.0001</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r>
              <w:rPr>
                <w:rFonts w:cs="CMR10"/>
                <w:sz w:val="20"/>
                <w:szCs w:val="20"/>
              </w:rPr>
              <w:t>11:00 am – +1 day</w:t>
            </w:r>
          </w:p>
        </w:tc>
        <w:tc>
          <w:tcPr>
            <w:tcW w:w="2413"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4%</w:t>
            </w:r>
          </w:p>
        </w:tc>
        <w:tc>
          <w:tcPr>
            <w:tcW w:w="2346"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2.4%</w:t>
            </w:r>
          </w:p>
        </w:tc>
        <w:tc>
          <w:tcPr>
            <w:tcW w:w="2400" w:type="dxa"/>
          </w:tcPr>
          <w:p w:rsidR="003A2379" w:rsidRPr="008D3034"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674D67">
              <w:rPr>
                <w:rFonts w:cs="CMR10"/>
                <w:sz w:val="20"/>
                <w:szCs w:val="20"/>
              </w:rPr>
              <w:t>0.012</w:t>
            </w:r>
            <w:r>
              <w:rPr>
                <w:rFonts w:cs="CMR10"/>
                <w:sz w:val="20"/>
                <w:szCs w:val="20"/>
              </w:rPr>
              <w:t>2</w:t>
            </w:r>
          </w:p>
        </w:tc>
      </w:tr>
      <w:tr w:rsidR="003A2379" w:rsidTr="00226234">
        <w:tc>
          <w:tcPr>
            <w:cnfStyle w:val="001000000000" w:firstRow="0" w:lastRow="0" w:firstColumn="1" w:lastColumn="0" w:oddVBand="0" w:evenVBand="0" w:oddHBand="0" w:evenHBand="0" w:firstRowFirstColumn="0" w:firstRowLastColumn="0" w:lastRowFirstColumn="0" w:lastRowLastColumn="0"/>
            <w:tcW w:w="2197" w:type="dxa"/>
          </w:tcPr>
          <w:p w:rsidR="003A2379" w:rsidRDefault="003A2379" w:rsidP="00226234">
            <w:pPr>
              <w:autoSpaceDE w:val="0"/>
              <w:autoSpaceDN w:val="0"/>
              <w:adjustRightInd w:val="0"/>
              <w:rPr>
                <w:rFonts w:cs="CMR10"/>
                <w:sz w:val="20"/>
                <w:szCs w:val="20"/>
              </w:rPr>
            </w:pPr>
            <w:r>
              <w:rPr>
                <w:rFonts w:cs="CMR10"/>
                <w:sz w:val="20"/>
                <w:szCs w:val="20"/>
              </w:rPr>
              <w:t>11:00 am – +2 days</w:t>
            </w:r>
          </w:p>
        </w:tc>
        <w:tc>
          <w:tcPr>
            <w:tcW w:w="2413"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5%</w:t>
            </w:r>
          </w:p>
        </w:tc>
        <w:tc>
          <w:tcPr>
            <w:tcW w:w="2346" w:type="dxa"/>
          </w:tcPr>
          <w:p w:rsidR="003A2379"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3.4%</w:t>
            </w:r>
          </w:p>
        </w:tc>
        <w:tc>
          <w:tcPr>
            <w:tcW w:w="2400" w:type="dxa"/>
          </w:tcPr>
          <w:p w:rsidR="003A2379" w:rsidRPr="008D3034"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674D67">
              <w:rPr>
                <w:rFonts w:cs="CMR10"/>
                <w:sz w:val="20"/>
                <w:szCs w:val="20"/>
              </w:rPr>
              <w:t>0.006</w:t>
            </w:r>
            <w:r>
              <w:rPr>
                <w:rFonts w:cs="CMR10"/>
                <w:sz w:val="20"/>
                <w:szCs w:val="20"/>
              </w:rPr>
              <w:t>8</w:t>
            </w:r>
          </w:p>
        </w:tc>
      </w:tr>
    </w:tbl>
    <w:p w:rsidR="003A2379" w:rsidRPr="004368AE" w:rsidRDefault="003A2379" w:rsidP="003A2379">
      <w:pPr>
        <w:pStyle w:val="Heading2"/>
      </w:pPr>
      <w:r w:rsidRPr="00960858">
        <w:t>Volatility Analysis</w:t>
      </w:r>
    </w:p>
    <w:p w:rsidR="003A2379" w:rsidRDefault="003A2379" w:rsidP="003A2379">
      <w:pPr>
        <w:rPr>
          <w:rFonts w:cs="CMR12"/>
        </w:rPr>
      </w:pPr>
      <w:r w:rsidRPr="00960858">
        <w:rPr>
          <w:rFonts w:cs="CMR12"/>
        </w:rPr>
        <w:t>Now we can separate the stocks by volatility type and analyze the results in high and low volatility groups</w:t>
      </w:r>
      <w:r>
        <w:rPr>
          <w:rFonts w:cs="CMR12"/>
        </w:rPr>
        <w:t xml:space="preserve">. We notice that on high activity days returns are a lot higher both pre- and post-tweet signal for high volatility stocks whereas for low volatility stocks the difference in returns on low activity </w:t>
      </w:r>
      <w:proofErr w:type="spellStart"/>
      <w:r>
        <w:rPr>
          <w:rFonts w:cs="CMR12"/>
        </w:rPr>
        <w:t>vs</w:t>
      </w:r>
      <w:proofErr w:type="spellEnd"/>
      <w:r>
        <w:rPr>
          <w:rFonts w:cs="CMR12"/>
        </w:rPr>
        <w:t xml:space="preserve"> high activity days is not very pronounced. Nearly all results are statistically significant, with p-values smaller for alerts.</w:t>
      </w:r>
    </w:p>
    <w:p w:rsidR="003A2379" w:rsidRDefault="003A2379" w:rsidP="003A2379">
      <w:pPr>
        <w:keepNext/>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11</w:t>
      </w:r>
      <w:r>
        <w:fldChar w:fldCharType="end"/>
      </w:r>
      <w:r>
        <w:t>: Mean absolute returns by volatility for Alert signals</w:t>
      </w:r>
    </w:p>
    <w:p w:rsidR="003A2379" w:rsidRDefault="003A2379" w:rsidP="003A2379">
      <w:pPr>
        <w:rPr>
          <w:rFonts w:cs="CMR12"/>
        </w:rPr>
      </w:pPr>
      <w:commentRangeStart w:id="98"/>
      <w:r w:rsidRPr="00F26F76">
        <w:rPr>
          <w:rFonts w:cs="CMR12"/>
        </w:rPr>
        <w:lastRenderedPageBreak/>
        <w:drawing>
          <wp:inline distT="0" distB="0" distL="0" distR="0" wp14:anchorId="3BA329C2" wp14:editId="7D85C8EC">
            <wp:extent cx="57150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98"/>
      <w:r>
        <w:rPr>
          <w:rStyle w:val="CommentReference"/>
        </w:rPr>
        <w:commentReference w:id="98"/>
      </w:r>
    </w:p>
    <w:p w:rsidR="003A2379" w:rsidRPr="00960858" w:rsidRDefault="003A2379" w:rsidP="003A2379"/>
    <w:tbl>
      <w:tblPr>
        <w:tblStyle w:val="LightShading"/>
        <w:tblW w:w="0" w:type="auto"/>
        <w:tblInd w:w="108" w:type="dxa"/>
        <w:tblLook w:val="04A0" w:firstRow="1" w:lastRow="0" w:firstColumn="1" w:lastColumn="0" w:noHBand="0" w:noVBand="1"/>
      </w:tblPr>
      <w:tblGrid>
        <w:gridCol w:w="2461"/>
        <w:gridCol w:w="1761"/>
        <w:gridCol w:w="2270"/>
        <w:gridCol w:w="2256"/>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A2379" w:rsidRDefault="003A2379" w:rsidP="00226234">
            <w:pPr>
              <w:autoSpaceDE w:val="0"/>
              <w:autoSpaceDN w:val="0"/>
              <w:adjustRightInd w:val="0"/>
              <w:jc w:val="left"/>
              <w:rPr>
                <w:rFonts w:cs="CMR12"/>
              </w:rPr>
            </w:pPr>
            <w:r>
              <w:rPr>
                <w:rFonts w:cs="CMR10"/>
                <w:sz w:val="20"/>
                <w:szCs w:val="20"/>
              </w:rPr>
              <w:t>Return period</w:t>
            </w:r>
          </w:p>
        </w:tc>
        <w:tc>
          <w:tcPr>
            <w:tcW w:w="179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No Signal</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A2379" w:rsidRPr="004368AE" w:rsidRDefault="003A2379" w:rsidP="00226234">
            <w:pPr>
              <w:autoSpaceDE w:val="0"/>
              <w:autoSpaceDN w:val="0"/>
              <w:adjustRightInd w:val="0"/>
              <w:rPr>
                <w:rFonts w:cs="CMR10"/>
                <w:sz w:val="20"/>
                <w:szCs w:val="20"/>
              </w:rPr>
            </w:pPr>
            <w:r w:rsidRPr="002F009E">
              <w:rPr>
                <w:rFonts w:cs="CMR10"/>
                <w:sz w:val="20"/>
                <w:szCs w:val="20"/>
              </w:rPr>
              <w:t>Low</w:t>
            </w:r>
            <w:r>
              <w:rPr>
                <w:rFonts w:cs="CMR10"/>
                <w:sz w:val="20"/>
                <w:szCs w:val="20"/>
              </w:rPr>
              <w:t xml:space="preserve"> volatility assets</w:t>
            </w:r>
          </w:p>
        </w:tc>
        <w:tc>
          <w:tcPr>
            <w:tcW w:w="1798"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p>
        </w:tc>
        <w:tc>
          <w:tcPr>
            <w:tcW w:w="2338"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p>
        </w:tc>
        <w:tc>
          <w:tcPr>
            <w:tcW w:w="2338" w:type="dxa"/>
          </w:tcPr>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r>
      <w:tr w:rsidR="003A2379" w:rsidTr="00226234">
        <w:tc>
          <w:tcPr>
            <w:cnfStyle w:val="001000000000" w:firstRow="0" w:lastRow="0" w:firstColumn="1" w:lastColumn="0" w:oddVBand="0" w:evenVBand="0" w:oddHBand="0" w:evenHBand="0" w:firstRowFirstColumn="0" w:firstRowLastColumn="0" w:lastRowFirstColumn="0" w:lastRowLastColumn="0"/>
            <w:tcW w:w="2552" w:type="dxa"/>
          </w:tcPr>
          <w:p w:rsidR="003A2379" w:rsidRPr="0016774A" w:rsidRDefault="003A2379" w:rsidP="00226234">
            <w:pPr>
              <w:autoSpaceDE w:val="0"/>
              <w:autoSpaceDN w:val="0"/>
              <w:adjustRightInd w:val="0"/>
              <w:rPr>
                <w:rFonts w:cs="CMR10"/>
                <w:b w:val="0"/>
                <w:sz w:val="20"/>
                <w:szCs w:val="20"/>
              </w:rPr>
            </w:pPr>
            <w:r w:rsidRPr="0016774A">
              <w:rPr>
                <w:rFonts w:cs="CMR10"/>
                <w:b w:val="0"/>
                <w:sz w:val="20"/>
                <w:szCs w:val="20"/>
              </w:rPr>
              <w:t>9:30 am – 9:59 am</w:t>
            </w:r>
          </w:p>
        </w:tc>
        <w:tc>
          <w:tcPr>
            <w:tcW w:w="179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960858">
              <w:rPr>
                <w:rFonts w:cs="CMR10"/>
                <w:sz w:val="20"/>
                <w:szCs w:val="20"/>
              </w:rPr>
              <w:t>1.11%</w:t>
            </w:r>
          </w:p>
        </w:tc>
        <w:tc>
          <w:tcPr>
            <w:tcW w:w="2338" w:type="dxa"/>
          </w:tcPr>
          <w:p w:rsidR="003A2379" w:rsidRPr="000D6B2B"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960858">
              <w:rPr>
                <w:rFonts w:cs="CMR10"/>
                <w:sz w:val="20"/>
                <w:szCs w:val="20"/>
              </w:rPr>
              <w:t>0.65</w:t>
            </w:r>
            <w:r>
              <w:rPr>
                <w:rFonts w:cs="CMR10"/>
                <w:sz w:val="20"/>
                <w:szCs w:val="20"/>
              </w:rPr>
              <w:t>%</w:t>
            </w:r>
          </w:p>
        </w:tc>
        <w:tc>
          <w:tcPr>
            <w:tcW w:w="2338" w:type="dxa"/>
          </w:tcPr>
          <w:p w:rsidR="003A2379" w:rsidRPr="000D6B2B"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vertAlign w:val="superscript"/>
              </w:rPr>
            </w:pPr>
            <w:r w:rsidRPr="00960858">
              <w:rPr>
                <w:rFonts w:cs="CMR10"/>
                <w:sz w:val="20"/>
                <w:szCs w:val="20"/>
              </w:rPr>
              <w:t>1</w:t>
            </w:r>
            <w:r>
              <w:rPr>
                <w:rFonts w:cs="CMR10"/>
                <w:sz w:val="20"/>
                <w:szCs w:val="20"/>
              </w:rPr>
              <w:t>.</w:t>
            </w:r>
            <w:r w:rsidRPr="00960858">
              <w:rPr>
                <w:rFonts w:cs="CMR10"/>
                <w:sz w:val="20"/>
                <w:szCs w:val="20"/>
              </w:rPr>
              <w:t>28</w:t>
            </w:r>
            <w:r>
              <w:rPr>
                <w:rFonts w:cs="CMR10"/>
                <w:sz w:val="20"/>
                <w:szCs w:val="20"/>
              </w:rPr>
              <w:t>*</w:t>
            </w:r>
            <w:r w:rsidRPr="00A950F2">
              <w:rPr>
                <w:rFonts w:cs="CMR10"/>
                <w:sz w:val="20"/>
                <w:szCs w:val="20"/>
              </w:rPr>
              <w:t>10</w:t>
            </w:r>
            <w:r>
              <w:rPr>
                <w:rFonts w:cs="CMR10"/>
                <w:sz w:val="20"/>
                <w:szCs w:val="20"/>
                <w:vertAlign w:val="superscript"/>
              </w:rPr>
              <w:t>-12</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A2379" w:rsidRPr="0016774A" w:rsidRDefault="003A2379" w:rsidP="00226234">
            <w:pPr>
              <w:autoSpaceDE w:val="0"/>
              <w:autoSpaceDN w:val="0"/>
              <w:adjustRightInd w:val="0"/>
              <w:rPr>
                <w:rFonts w:cs="CMR10"/>
                <w:b w:val="0"/>
                <w:sz w:val="20"/>
                <w:szCs w:val="20"/>
              </w:rPr>
            </w:pPr>
            <w:r w:rsidRPr="0016774A">
              <w:rPr>
                <w:rFonts w:cs="CMR10"/>
                <w:b w:val="0"/>
                <w:sz w:val="20"/>
                <w:szCs w:val="20"/>
              </w:rPr>
              <w:t>11:00 am – 4:00 pm</w:t>
            </w:r>
          </w:p>
        </w:tc>
        <w:tc>
          <w:tcPr>
            <w:tcW w:w="179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960858">
              <w:rPr>
                <w:rFonts w:cs="CMR10"/>
                <w:sz w:val="20"/>
                <w:szCs w:val="20"/>
              </w:rPr>
              <w:t>0.73%</w:t>
            </w: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960858">
              <w:rPr>
                <w:rFonts w:cs="CMR10"/>
                <w:sz w:val="20"/>
                <w:szCs w:val="20"/>
              </w:rPr>
              <w:t>0.6</w:t>
            </w:r>
            <w:r>
              <w:rPr>
                <w:rFonts w:cs="CMR10"/>
                <w:sz w:val="20"/>
                <w:szCs w:val="20"/>
              </w:rPr>
              <w:t>%</w:t>
            </w: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960858">
              <w:rPr>
                <w:rFonts w:cs="CMR10"/>
                <w:sz w:val="20"/>
                <w:szCs w:val="20"/>
              </w:rPr>
              <w:t>1</w:t>
            </w:r>
            <w:r>
              <w:rPr>
                <w:rFonts w:cs="CMR10"/>
                <w:sz w:val="20"/>
                <w:szCs w:val="20"/>
              </w:rPr>
              <w:t>.</w:t>
            </w:r>
            <w:r w:rsidRPr="00960858">
              <w:rPr>
                <w:rFonts w:cs="CMR10"/>
                <w:sz w:val="20"/>
                <w:szCs w:val="20"/>
              </w:rPr>
              <w:t>42</w:t>
            </w:r>
            <w:r>
              <w:rPr>
                <w:rFonts w:cs="CMR10"/>
                <w:sz w:val="20"/>
                <w:szCs w:val="20"/>
              </w:rPr>
              <w:t>*</w:t>
            </w:r>
            <w:r w:rsidRPr="00A950F2">
              <w:rPr>
                <w:rFonts w:cs="CMR10"/>
                <w:sz w:val="20"/>
                <w:szCs w:val="20"/>
              </w:rPr>
              <w:t>10</w:t>
            </w:r>
            <w:r>
              <w:rPr>
                <w:rFonts w:cs="CMR10"/>
                <w:sz w:val="20"/>
                <w:szCs w:val="20"/>
                <w:vertAlign w:val="superscript"/>
              </w:rPr>
              <w:t>-5</w:t>
            </w:r>
          </w:p>
        </w:tc>
      </w:tr>
      <w:tr w:rsidR="003A2379" w:rsidTr="00226234">
        <w:tc>
          <w:tcPr>
            <w:cnfStyle w:val="001000000000" w:firstRow="0" w:lastRow="0" w:firstColumn="1" w:lastColumn="0" w:oddVBand="0" w:evenVBand="0" w:oddHBand="0" w:evenHBand="0" w:firstRowFirstColumn="0" w:firstRowLastColumn="0" w:lastRowFirstColumn="0" w:lastRowLastColumn="0"/>
            <w:tcW w:w="2552" w:type="dxa"/>
          </w:tcPr>
          <w:p w:rsidR="003A2379" w:rsidRDefault="003A2379" w:rsidP="00226234">
            <w:pPr>
              <w:autoSpaceDE w:val="0"/>
              <w:autoSpaceDN w:val="0"/>
              <w:adjustRightInd w:val="0"/>
              <w:rPr>
                <w:rFonts w:cs="CMR10"/>
                <w:sz w:val="20"/>
                <w:szCs w:val="20"/>
              </w:rPr>
            </w:pPr>
          </w:p>
        </w:tc>
        <w:tc>
          <w:tcPr>
            <w:tcW w:w="179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p>
        </w:tc>
        <w:tc>
          <w:tcPr>
            <w:tcW w:w="233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p>
        </w:tc>
        <w:tc>
          <w:tcPr>
            <w:tcW w:w="233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A2379" w:rsidRDefault="003A2379" w:rsidP="00226234">
            <w:pPr>
              <w:autoSpaceDE w:val="0"/>
              <w:autoSpaceDN w:val="0"/>
              <w:adjustRightInd w:val="0"/>
              <w:rPr>
                <w:rFonts w:cs="CMR10"/>
                <w:sz w:val="20"/>
                <w:szCs w:val="20"/>
              </w:rPr>
            </w:pPr>
            <w:r w:rsidRPr="002F009E">
              <w:rPr>
                <w:rFonts w:cs="CMR10"/>
                <w:sz w:val="20"/>
                <w:szCs w:val="20"/>
              </w:rPr>
              <w:t>High</w:t>
            </w:r>
            <w:r>
              <w:rPr>
                <w:rFonts w:cs="CMR10"/>
                <w:sz w:val="20"/>
                <w:szCs w:val="20"/>
              </w:rPr>
              <w:t xml:space="preserve"> volatility assets</w:t>
            </w:r>
          </w:p>
        </w:tc>
        <w:tc>
          <w:tcPr>
            <w:tcW w:w="179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tc>
      </w:tr>
      <w:tr w:rsidR="003A2379" w:rsidTr="00226234">
        <w:tc>
          <w:tcPr>
            <w:cnfStyle w:val="001000000000" w:firstRow="0" w:lastRow="0" w:firstColumn="1" w:lastColumn="0" w:oddVBand="0" w:evenVBand="0" w:oddHBand="0" w:evenHBand="0" w:firstRowFirstColumn="0" w:firstRowLastColumn="0" w:lastRowFirstColumn="0" w:lastRowLastColumn="0"/>
            <w:tcW w:w="2552" w:type="dxa"/>
          </w:tcPr>
          <w:p w:rsidR="003A2379" w:rsidRPr="0016774A" w:rsidRDefault="003A2379" w:rsidP="00226234">
            <w:pPr>
              <w:autoSpaceDE w:val="0"/>
              <w:autoSpaceDN w:val="0"/>
              <w:adjustRightInd w:val="0"/>
              <w:rPr>
                <w:rFonts w:cs="CMR10"/>
                <w:b w:val="0"/>
                <w:sz w:val="20"/>
                <w:szCs w:val="20"/>
              </w:rPr>
            </w:pPr>
            <w:r w:rsidRPr="0016774A">
              <w:rPr>
                <w:rFonts w:cs="CMR10"/>
                <w:b w:val="0"/>
                <w:sz w:val="20"/>
                <w:szCs w:val="20"/>
              </w:rPr>
              <w:t>9:30 am – 9:59 am</w:t>
            </w:r>
          </w:p>
        </w:tc>
        <w:tc>
          <w:tcPr>
            <w:tcW w:w="179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sidRPr="00E66471">
              <w:rPr>
                <w:rFonts w:cs="CMR10"/>
                <w:sz w:val="20"/>
                <w:szCs w:val="20"/>
              </w:rPr>
              <w:t>3.38%</w:t>
            </w:r>
          </w:p>
        </w:tc>
        <w:tc>
          <w:tcPr>
            <w:tcW w:w="2338" w:type="dxa"/>
          </w:tcPr>
          <w:p w:rsidR="003A2379" w:rsidRPr="00960858"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rPr>
            </w:pPr>
            <w:r>
              <w:rPr>
                <w:rFonts w:cs="CMR10"/>
                <w:sz w:val="20"/>
                <w:szCs w:val="20"/>
              </w:rPr>
              <w:t>1.39%</w:t>
            </w:r>
          </w:p>
        </w:tc>
        <w:tc>
          <w:tcPr>
            <w:tcW w:w="2338" w:type="dxa"/>
          </w:tcPr>
          <w:p w:rsidR="003A2379" w:rsidRPr="000D6B2B" w:rsidRDefault="003A2379" w:rsidP="0022623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MR10"/>
                <w:sz w:val="20"/>
                <w:szCs w:val="20"/>
                <w:vertAlign w:val="superscript"/>
              </w:rPr>
            </w:pPr>
            <w:r w:rsidRPr="00E66471">
              <w:rPr>
                <w:rFonts w:cs="CMR10"/>
                <w:sz w:val="20"/>
                <w:szCs w:val="20"/>
              </w:rPr>
              <w:t>2</w:t>
            </w:r>
            <w:r>
              <w:rPr>
                <w:rFonts w:cs="CMR10"/>
                <w:sz w:val="20"/>
                <w:szCs w:val="20"/>
              </w:rPr>
              <w:t>.</w:t>
            </w:r>
            <w:r w:rsidRPr="00E66471">
              <w:rPr>
                <w:rFonts w:cs="CMR10"/>
                <w:sz w:val="20"/>
                <w:szCs w:val="20"/>
              </w:rPr>
              <w:t>09</w:t>
            </w:r>
            <w:r>
              <w:rPr>
                <w:rFonts w:cs="CMR10"/>
                <w:sz w:val="20"/>
                <w:szCs w:val="20"/>
              </w:rPr>
              <w:t>*</w:t>
            </w:r>
            <w:r w:rsidRPr="00A950F2">
              <w:rPr>
                <w:rFonts w:cs="CMR10"/>
                <w:sz w:val="20"/>
                <w:szCs w:val="20"/>
              </w:rPr>
              <w:t>10</w:t>
            </w:r>
            <w:r>
              <w:rPr>
                <w:rFonts w:cs="CMR10"/>
                <w:sz w:val="20"/>
                <w:szCs w:val="20"/>
                <w:vertAlign w:val="superscript"/>
              </w:rPr>
              <w:t>-13</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A2379" w:rsidRPr="0016774A" w:rsidRDefault="003A2379" w:rsidP="00226234">
            <w:pPr>
              <w:autoSpaceDE w:val="0"/>
              <w:autoSpaceDN w:val="0"/>
              <w:adjustRightInd w:val="0"/>
              <w:rPr>
                <w:rFonts w:cs="CMR10"/>
                <w:b w:val="0"/>
                <w:sz w:val="20"/>
                <w:szCs w:val="20"/>
              </w:rPr>
            </w:pPr>
            <w:r w:rsidRPr="0016774A">
              <w:rPr>
                <w:rFonts w:cs="CMR10"/>
                <w:b w:val="0"/>
                <w:sz w:val="20"/>
                <w:szCs w:val="20"/>
              </w:rPr>
              <w:t>11:00 am – 4:00</w:t>
            </w:r>
          </w:p>
        </w:tc>
        <w:tc>
          <w:tcPr>
            <w:tcW w:w="179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2.41%</w:t>
            </w: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1.42%</w:t>
            </w:r>
          </w:p>
        </w:tc>
        <w:tc>
          <w:tcPr>
            <w:tcW w:w="2338"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E66471">
              <w:rPr>
                <w:rFonts w:cs="CMR10"/>
                <w:sz w:val="20"/>
                <w:szCs w:val="20"/>
              </w:rPr>
              <w:t>9</w:t>
            </w:r>
            <w:r>
              <w:rPr>
                <w:rFonts w:cs="CMR10"/>
                <w:sz w:val="20"/>
                <w:szCs w:val="20"/>
              </w:rPr>
              <w:t>.</w:t>
            </w:r>
            <w:r w:rsidRPr="00E66471">
              <w:rPr>
                <w:rFonts w:cs="CMR10"/>
                <w:sz w:val="20"/>
                <w:szCs w:val="20"/>
              </w:rPr>
              <w:t>89</w:t>
            </w:r>
            <w:r>
              <w:rPr>
                <w:rFonts w:cs="CMR10"/>
                <w:sz w:val="20"/>
                <w:szCs w:val="20"/>
              </w:rPr>
              <w:t>*</w:t>
            </w:r>
            <w:r w:rsidRPr="00A950F2">
              <w:rPr>
                <w:rFonts w:cs="CMR10"/>
                <w:sz w:val="20"/>
                <w:szCs w:val="20"/>
              </w:rPr>
              <w:t>10</w:t>
            </w:r>
            <w:r>
              <w:rPr>
                <w:rFonts w:cs="CMR10"/>
                <w:sz w:val="20"/>
                <w:szCs w:val="20"/>
                <w:vertAlign w:val="superscript"/>
              </w:rPr>
              <w:t>-10</w:t>
            </w:r>
          </w:p>
        </w:tc>
      </w:tr>
    </w:tbl>
    <w:p w:rsidR="003A2379" w:rsidRDefault="003A2379" w:rsidP="003A2379">
      <w:pPr>
        <w:rPr>
          <w:rFonts w:cs="CMR12"/>
          <w:b/>
          <w:sz w:val="28"/>
          <w:szCs w:val="28"/>
        </w:rPr>
      </w:pPr>
    </w:p>
    <w:p w:rsidR="003A2379" w:rsidRDefault="003A2379" w:rsidP="003A2379">
      <w:pPr>
        <w:spacing w:after="160" w:line="259" w:lineRule="auto"/>
        <w:jc w:val="left"/>
        <w:rPr>
          <w:b/>
          <w:bCs/>
          <w:szCs w:val="18"/>
        </w:rPr>
      </w:pPr>
      <w:r>
        <w:br w:type="page"/>
      </w:r>
    </w:p>
    <w:p w:rsidR="003A2379" w:rsidRDefault="003A2379" w:rsidP="003A2379">
      <w:pPr>
        <w:pStyle w:val="Caption"/>
        <w:rPr>
          <w:rFonts w:cs="CMR12"/>
        </w:rPr>
      </w:pPr>
      <w:r>
        <w:lastRenderedPageBreak/>
        <w:t xml:space="preserve">Figure </w:t>
      </w:r>
      <w:r>
        <w:fldChar w:fldCharType="begin"/>
      </w:r>
      <w:r>
        <w:instrText xml:space="preserve"> SEQ Figure \* ARABIC </w:instrText>
      </w:r>
      <w:r>
        <w:fldChar w:fldCharType="separate"/>
      </w:r>
      <w:r>
        <w:rPr>
          <w:noProof/>
        </w:rPr>
        <w:t>12</w:t>
      </w:r>
      <w:r>
        <w:fldChar w:fldCharType="end"/>
      </w:r>
      <w:r>
        <w:t xml:space="preserve">: Mean absolute returns by volatility for </w:t>
      </w:r>
      <w:r w:rsidRPr="00347C38">
        <w:t xml:space="preserve">Flash and Notable signals </w:t>
      </w:r>
      <w:proofErr w:type="spellStart"/>
      <w:r>
        <w:t>signals</w:t>
      </w:r>
      <w:proofErr w:type="spellEnd"/>
    </w:p>
    <w:p w:rsidR="003A2379" w:rsidRDefault="003A2379" w:rsidP="003A2379">
      <w:pPr>
        <w:rPr>
          <w:rFonts w:cs="CMR12"/>
          <w:b/>
          <w:sz w:val="28"/>
          <w:szCs w:val="28"/>
        </w:rPr>
      </w:pPr>
    </w:p>
    <w:p w:rsidR="003A2379" w:rsidRDefault="003A2379" w:rsidP="003A2379">
      <w:pPr>
        <w:rPr>
          <w:rFonts w:cs="CMR12"/>
          <w:b/>
          <w:sz w:val="28"/>
          <w:szCs w:val="28"/>
        </w:rPr>
      </w:pPr>
      <w:r>
        <w:rPr>
          <w:rFonts w:cs="CMR12"/>
          <w:noProof/>
        </w:rPr>
        <w:drawing>
          <wp:inline distT="0" distB="0" distL="0" distR="0" wp14:anchorId="6DF4F063" wp14:editId="68B6ED5D">
            <wp:extent cx="59436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379" w:rsidRPr="00960858" w:rsidRDefault="003A2379" w:rsidP="003A2379"/>
    <w:tbl>
      <w:tblPr>
        <w:tblStyle w:val="LightShading"/>
        <w:tblW w:w="0" w:type="auto"/>
        <w:tblLook w:val="04A0" w:firstRow="1" w:lastRow="0" w:firstColumn="1" w:lastColumn="0" w:noHBand="0" w:noVBand="1"/>
      </w:tblPr>
      <w:tblGrid>
        <w:gridCol w:w="2079"/>
        <w:gridCol w:w="2196"/>
        <w:gridCol w:w="2197"/>
        <w:gridCol w:w="2384"/>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3A2379" w:rsidRDefault="003A2379" w:rsidP="00226234">
            <w:pPr>
              <w:autoSpaceDE w:val="0"/>
              <w:autoSpaceDN w:val="0"/>
              <w:adjustRightInd w:val="0"/>
              <w:rPr>
                <w:rFonts w:cs="CMR12"/>
              </w:rPr>
            </w:pPr>
            <w:r w:rsidRPr="002F009E">
              <w:rPr>
                <w:rFonts w:cs="CMR10"/>
                <w:sz w:val="20"/>
                <w:szCs w:val="20"/>
              </w:rPr>
              <w:t>Volatility</w:t>
            </w:r>
          </w:p>
        </w:tc>
        <w:tc>
          <w:tcPr>
            <w:tcW w:w="2337"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High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338"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Low Activity</w:t>
            </w:r>
          </w:p>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r w:rsidRPr="00A950F2">
              <w:rPr>
                <w:rFonts w:cs="CMR10"/>
                <w:sz w:val="20"/>
                <w:szCs w:val="20"/>
              </w:rPr>
              <w:t xml:space="preserve">Mean </w:t>
            </w:r>
            <w:proofErr w:type="gramStart"/>
            <w:r w:rsidRPr="00A950F2">
              <w:rPr>
                <w:rFonts w:cs="CMR10"/>
                <w:sz w:val="20"/>
                <w:szCs w:val="20"/>
              </w:rPr>
              <w:t>abs(</w:t>
            </w:r>
            <w:proofErr w:type="gramEnd"/>
            <w:r w:rsidRPr="00A950F2">
              <w:rPr>
                <w:rFonts w:cs="CMR10"/>
                <w:sz w:val="20"/>
                <w:szCs w:val="20"/>
              </w:rPr>
              <w:t>return)</w:t>
            </w:r>
          </w:p>
        </w:tc>
        <w:tc>
          <w:tcPr>
            <w:tcW w:w="2560" w:type="dxa"/>
          </w:tcPr>
          <w:p w:rsidR="003A2379" w:rsidRPr="00A950F2" w:rsidRDefault="003A2379" w:rsidP="0022623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MR10"/>
                <w:sz w:val="20"/>
                <w:szCs w:val="20"/>
              </w:rPr>
            </w:pPr>
            <w:proofErr w:type="gramStart"/>
            <w:r w:rsidRPr="00A950F2">
              <w:rPr>
                <w:rFonts w:cs="CMR10"/>
                <w:sz w:val="20"/>
                <w:szCs w:val="20"/>
              </w:rPr>
              <w:t>p</w:t>
            </w:r>
            <w:proofErr w:type="gramEnd"/>
            <w:r w:rsidRPr="00A950F2">
              <w:rPr>
                <w:rFonts w:cs="CMR10"/>
                <w:sz w:val="20"/>
                <w:szCs w:val="20"/>
              </w:rPr>
              <w:t>-value</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3A2379" w:rsidRDefault="003A2379" w:rsidP="00226234">
            <w:pPr>
              <w:autoSpaceDE w:val="0"/>
              <w:autoSpaceDN w:val="0"/>
              <w:adjustRightInd w:val="0"/>
              <w:rPr>
                <w:rFonts w:cs="CMR10"/>
                <w:sz w:val="20"/>
                <w:szCs w:val="20"/>
              </w:rPr>
            </w:pPr>
            <w:r w:rsidRPr="002F009E">
              <w:rPr>
                <w:rFonts w:cs="CMR10"/>
                <w:sz w:val="20"/>
                <w:szCs w:val="20"/>
              </w:rPr>
              <w:t>Low</w:t>
            </w:r>
            <w:r>
              <w:rPr>
                <w:rFonts w:cs="CMR10"/>
                <w:sz w:val="20"/>
                <w:szCs w:val="20"/>
              </w:rPr>
              <w:t xml:space="preserve"> volatility assets</w:t>
            </w:r>
          </w:p>
          <w:p w:rsidR="003A2379" w:rsidRDefault="003A2379" w:rsidP="00226234">
            <w:pPr>
              <w:autoSpaceDE w:val="0"/>
              <w:autoSpaceDN w:val="0"/>
              <w:adjustRightInd w:val="0"/>
              <w:rPr>
                <w:rFonts w:cs="CMR10"/>
                <w:sz w:val="20"/>
                <w:szCs w:val="20"/>
              </w:rPr>
            </w:pPr>
          </w:p>
          <w:p w:rsidR="003A2379" w:rsidRDefault="003A2379" w:rsidP="00226234">
            <w:pPr>
              <w:autoSpaceDE w:val="0"/>
              <w:autoSpaceDN w:val="0"/>
              <w:adjustRightInd w:val="0"/>
              <w:rPr>
                <w:rFonts w:cs="CMR10"/>
                <w:sz w:val="20"/>
                <w:szCs w:val="20"/>
              </w:rPr>
            </w:pPr>
            <w:r>
              <w:rPr>
                <w:rFonts w:cs="CMR10"/>
                <w:sz w:val="20"/>
                <w:szCs w:val="20"/>
              </w:rPr>
              <w:t>9:30 am – 9:59 am</w:t>
            </w:r>
          </w:p>
          <w:p w:rsidR="003A2379" w:rsidRDefault="003A2379" w:rsidP="00226234">
            <w:pPr>
              <w:autoSpaceDE w:val="0"/>
              <w:autoSpaceDN w:val="0"/>
              <w:adjustRightInd w:val="0"/>
              <w:rPr>
                <w:rFonts w:cs="CMR10"/>
                <w:sz w:val="20"/>
                <w:szCs w:val="20"/>
              </w:rPr>
            </w:pPr>
            <w:r>
              <w:rPr>
                <w:rFonts w:cs="CMR10"/>
                <w:sz w:val="20"/>
                <w:szCs w:val="20"/>
              </w:rPr>
              <w:t>11:00 am – 4:00 pm</w:t>
            </w:r>
          </w:p>
          <w:p w:rsidR="003A2379" w:rsidRDefault="003A2379" w:rsidP="00226234">
            <w:pPr>
              <w:autoSpaceDE w:val="0"/>
              <w:autoSpaceDN w:val="0"/>
              <w:adjustRightInd w:val="0"/>
              <w:rPr>
                <w:rFonts w:cs="CMR10"/>
                <w:sz w:val="20"/>
                <w:szCs w:val="20"/>
              </w:rPr>
            </w:pPr>
          </w:p>
          <w:p w:rsidR="003A2379" w:rsidRPr="002F009E" w:rsidRDefault="003A2379" w:rsidP="00226234">
            <w:pPr>
              <w:autoSpaceDE w:val="0"/>
              <w:autoSpaceDN w:val="0"/>
              <w:adjustRightInd w:val="0"/>
              <w:rPr>
                <w:rFonts w:cs="CMR10"/>
                <w:sz w:val="20"/>
                <w:szCs w:val="20"/>
              </w:rPr>
            </w:pPr>
          </w:p>
          <w:p w:rsidR="003A2379" w:rsidRDefault="003A2379" w:rsidP="00226234">
            <w:pPr>
              <w:autoSpaceDE w:val="0"/>
              <w:autoSpaceDN w:val="0"/>
              <w:adjustRightInd w:val="0"/>
              <w:rPr>
                <w:rFonts w:cs="CMR10"/>
                <w:sz w:val="20"/>
                <w:szCs w:val="20"/>
              </w:rPr>
            </w:pPr>
            <w:r w:rsidRPr="002F009E">
              <w:rPr>
                <w:rFonts w:cs="CMR10"/>
                <w:sz w:val="20"/>
                <w:szCs w:val="20"/>
              </w:rPr>
              <w:t>High</w:t>
            </w:r>
            <w:r>
              <w:rPr>
                <w:rFonts w:cs="CMR10"/>
                <w:sz w:val="20"/>
                <w:szCs w:val="20"/>
              </w:rPr>
              <w:t xml:space="preserve"> volatility assets</w:t>
            </w:r>
          </w:p>
          <w:p w:rsidR="003A2379" w:rsidRDefault="003A2379" w:rsidP="00226234">
            <w:pPr>
              <w:autoSpaceDE w:val="0"/>
              <w:autoSpaceDN w:val="0"/>
              <w:adjustRightInd w:val="0"/>
              <w:rPr>
                <w:rFonts w:cs="CMR10"/>
                <w:sz w:val="20"/>
                <w:szCs w:val="20"/>
              </w:rPr>
            </w:pPr>
          </w:p>
          <w:p w:rsidR="003A2379" w:rsidRDefault="003A2379" w:rsidP="00226234">
            <w:pPr>
              <w:autoSpaceDE w:val="0"/>
              <w:autoSpaceDN w:val="0"/>
              <w:adjustRightInd w:val="0"/>
              <w:rPr>
                <w:rFonts w:cs="CMR10"/>
                <w:sz w:val="20"/>
                <w:szCs w:val="20"/>
              </w:rPr>
            </w:pPr>
            <w:r>
              <w:rPr>
                <w:rFonts w:cs="CMR10"/>
                <w:sz w:val="20"/>
                <w:szCs w:val="20"/>
              </w:rPr>
              <w:t>9:30 am – 9:59 am</w:t>
            </w:r>
          </w:p>
          <w:p w:rsidR="003A2379" w:rsidRDefault="003A2379" w:rsidP="00226234">
            <w:pPr>
              <w:autoSpaceDE w:val="0"/>
              <w:autoSpaceDN w:val="0"/>
              <w:adjustRightInd w:val="0"/>
              <w:rPr>
                <w:rFonts w:cs="CMR10"/>
                <w:sz w:val="20"/>
                <w:szCs w:val="20"/>
              </w:rPr>
            </w:pPr>
            <w:r>
              <w:rPr>
                <w:rFonts w:cs="CMR10"/>
                <w:sz w:val="20"/>
                <w:szCs w:val="20"/>
              </w:rPr>
              <w:t>11:00 am – 4:00 pm</w:t>
            </w:r>
          </w:p>
          <w:p w:rsidR="003A2379" w:rsidRDefault="003A2379" w:rsidP="00226234">
            <w:pPr>
              <w:autoSpaceDE w:val="0"/>
              <w:autoSpaceDN w:val="0"/>
              <w:adjustRightInd w:val="0"/>
              <w:rPr>
                <w:rFonts w:cs="CMR12"/>
              </w:rPr>
            </w:pPr>
          </w:p>
        </w:tc>
        <w:tc>
          <w:tcPr>
            <w:tcW w:w="2337" w:type="dxa"/>
          </w:tcPr>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1.02</w:t>
            </w:r>
            <w:r w:rsidRPr="00960858">
              <w:rPr>
                <w:rFonts w:cs="CMR10"/>
                <w:sz w:val="20"/>
                <w:szCs w:val="20"/>
              </w:rPr>
              <w:t>%</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0.76</w:t>
            </w:r>
            <w:r w:rsidRPr="00960858">
              <w:rPr>
                <w:rFonts w:cs="CMR10"/>
                <w:sz w:val="20"/>
                <w:szCs w:val="20"/>
              </w:rPr>
              <w:t>%</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Pr="00E66471"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544A72">
              <w:rPr>
                <w:rFonts w:cs="CMR10"/>
                <w:sz w:val="20"/>
                <w:szCs w:val="20"/>
              </w:rPr>
              <w:t>3.35</w:t>
            </w:r>
            <w:r w:rsidRPr="00E66471">
              <w:rPr>
                <w:rFonts w:cs="CMR10"/>
                <w:sz w:val="20"/>
                <w:szCs w:val="20"/>
              </w:rPr>
              <w:t>%</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Pr>
                <w:rFonts w:cs="CMR10"/>
                <w:sz w:val="20"/>
                <w:szCs w:val="20"/>
              </w:rPr>
              <w:t>3.34</w:t>
            </w:r>
            <w:r w:rsidRPr="00E66471">
              <w:rPr>
                <w:rFonts w:cs="CMR10"/>
                <w:sz w:val="20"/>
                <w:szCs w:val="20"/>
              </w:rPr>
              <w:t>%</w:t>
            </w:r>
          </w:p>
        </w:tc>
        <w:tc>
          <w:tcPr>
            <w:tcW w:w="2338"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Pr="00960858"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0.73%</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Pr>
                <w:rFonts w:cs="CMR10"/>
                <w:sz w:val="20"/>
                <w:szCs w:val="20"/>
              </w:rPr>
              <w:t>0.66%</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Pr="00E66471"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544A72">
              <w:rPr>
                <w:rFonts w:cs="CMR10"/>
                <w:sz w:val="20"/>
                <w:szCs w:val="20"/>
              </w:rPr>
              <w:t>1.61</w:t>
            </w:r>
            <w:r w:rsidRPr="00E66471">
              <w:rPr>
                <w:rFonts w:cs="CMR10"/>
                <w:sz w:val="20"/>
                <w:szCs w:val="20"/>
              </w:rPr>
              <w:t>%</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2"/>
              </w:rPr>
            </w:pPr>
            <w:r>
              <w:rPr>
                <w:rFonts w:cs="CMR10"/>
                <w:sz w:val="20"/>
                <w:szCs w:val="20"/>
              </w:rPr>
              <w:t>1.64</w:t>
            </w:r>
            <w:r w:rsidRPr="00E66471">
              <w:rPr>
                <w:rFonts w:cs="CMR10"/>
                <w:sz w:val="20"/>
                <w:szCs w:val="20"/>
              </w:rPr>
              <w:t>%</w:t>
            </w:r>
          </w:p>
        </w:tc>
        <w:tc>
          <w:tcPr>
            <w:tcW w:w="2560" w:type="dxa"/>
          </w:tcPr>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Pr="00136281"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136281">
              <w:rPr>
                <w:rFonts w:cs="CMR10"/>
                <w:sz w:val="20"/>
                <w:szCs w:val="20"/>
              </w:rPr>
              <w:t>0.01074</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136281">
              <w:rPr>
                <w:rFonts w:cs="CMR10"/>
                <w:sz w:val="20"/>
                <w:szCs w:val="20"/>
              </w:rPr>
              <w:t>0.06064</w:t>
            </w: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p>
          <w:p w:rsidR="003A2379"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544A72">
              <w:rPr>
                <w:rFonts w:cs="CMR10"/>
                <w:sz w:val="20"/>
                <w:szCs w:val="20"/>
              </w:rPr>
              <w:t>0.008211</w:t>
            </w:r>
          </w:p>
          <w:p w:rsidR="003A2379" w:rsidRPr="002F009E" w:rsidRDefault="003A2379" w:rsidP="002262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10"/>
                <w:sz w:val="20"/>
                <w:szCs w:val="20"/>
              </w:rPr>
            </w:pPr>
            <w:r w:rsidRPr="00544A72">
              <w:rPr>
                <w:rFonts w:cs="CMR10"/>
                <w:sz w:val="20"/>
                <w:szCs w:val="20"/>
              </w:rPr>
              <w:t>0.0001795</w:t>
            </w:r>
          </w:p>
        </w:tc>
      </w:tr>
    </w:tbl>
    <w:p w:rsidR="003A2379" w:rsidRPr="002D5B3A" w:rsidRDefault="003A2379" w:rsidP="003A2379">
      <w:pPr>
        <w:pStyle w:val="Heading2"/>
      </w:pPr>
      <w:r w:rsidRPr="00241B9E">
        <w:t>Sector Analysis</w:t>
      </w:r>
    </w:p>
    <w:p w:rsidR="003A2379" w:rsidRDefault="003A2379" w:rsidP="003A2379">
      <w:pPr>
        <w:rPr>
          <w:rFonts w:cs="CMR12"/>
        </w:rPr>
      </w:pPr>
      <w:r>
        <w:rPr>
          <w:rFonts w:cs="CMR12"/>
        </w:rPr>
        <w:t xml:space="preserve">Similarly to previous section we can analyze intra-day results within the industry sector. For the second </w:t>
      </w:r>
      <w:r w:rsidRPr="000B7383">
        <w:rPr>
          <w:rFonts w:cs="CMR12"/>
        </w:rPr>
        <w:t>hour that had the most tweet</w:t>
      </w:r>
      <w:r>
        <w:rPr>
          <w:rFonts w:cs="CMR12"/>
        </w:rPr>
        <w:t xml:space="preserve"> </w:t>
      </w:r>
      <w:r w:rsidRPr="000B7383">
        <w:rPr>
          <w:rFonts w:cs="CMR12"/>
        </w:rPr>
        <w:t>s</w:t>
      </w:r>
      <w:r>
        <w:rPr>
          <w:rFonts w:cs="CMR12"/>
        </w:rPr>
        <w:t>ignals</w:t>
      </w:r>
      <w:r w:rsidRPr="000B7383">
        <w:rPr>
          <w:rFonts w:cs="CMR12"/>
        </w:rPr>
        <w:t xml:space="preserve"> </w:t>
      </w:r>
      <w:r>
        <w:rPr>
          <w:rFonts w:cs="CMR12"/>
        </w:rPr>
        <w:t xml:space="preserve">(10 am - 11 </w:t>
      </w:r>
      <w:r w:rsidRPr="000B7383">
        <w:rPr>
          <w:rFonts w:cs="CMR12"/>
        </w:rPr>
        <w:t>am</w:t>
      </w:r>
      <w:r>
        <w:rPr>
          <w:rFonts w:cs="CMR12"/>
        </w:rPr>
        <w:t xml:space="preserve">), we can compare </w:t>
      </w:r>
      <w:r>
        <w:rPr>
          <w:rFonts w:cs="CMR12"/>
        </w:rPr>
        <w:lastRenderedPageBreak/>
        <w:t>absolute returns during the pre-tweet signal hour, i.e. from the market open until 10 am and returns from 11 am until the market closing at 4 pm.</w:t>
      </w:r>
    </w:p>
    <w:p w:rsidR="003A2379" w:rsidRDefault="003A2379" w:rsidP="003A2379">
      <w:pPr>
        <w:spacing w:before="100" w:beforeAutospacing="1" w:after="100" w:afterAutospacing="1"/>
      </w:pPr>
      <w:r>
        <w:t xml:space="preserve">In nearly all cases the mean absolute return is higher when there was at least one tweet signal vs. when there were no tweet signals, both before and after the 10am-11am </w:t>
      </w:r>
      <w:proofErr w:type="gramStart"/>
      <w:r>
        <w:t>window</w:t>
      </w:r>
      <w:proofErr w:type="gramEnd"/>
      <w:r>
        <w:t>.  But note that for many sectors the results are not statistically significant.</w:t>
      </w:r>
    </w:p>
    <w:p w:rsidR="003A2379" w:rsidRDefault="003A2379" w:rsidP="003A2379">
      <w:pPr>
        <w:spacing w:before="100" w:beforeAutospacing="1" w:after="100" w:afterAutospacing="1"/>
      </w:pPr>
    </w:p>
    <w:p w:rsidR="003A2379" w:rsidRPr="00F80A0F"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13</w:t>
      </w:r>
      <w:r>
        <w:fldChar w:fldCharType="end"/>
      </w:r>
      <w:r>
        <w:t>: Mean absolute returns (9:30am – 10am) by sector</w:t>
      </w:r>
      <w:r w:rsidRPr="00347C38">
        <w:t xml:space="preserve"> </w:t>
      </w:r>
    </w:p>
    <w:p w:rsidR="003A2379" w:rsidRDefault="003A2379" w:rsidP="003A2379">
      <w:pPr>
        <w:rPr>
          <w:rFonts w:cs="CMR12"/>
        </w:rPr>
      </w:pPr>
      <w:r>
        <w:rPr>
          <w:noProof/>
        </w:rPr>
        <w:drawing>
          <wp:inline distT="0" distB="0" distL="0" distR="0" wp14:anchorId="177946B4" wp14:editId="229A138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A2379" w:rsidRDefault="003A2379" w:rsidP="003A2379">
      <w:pPr>
        <w:rPr>
          <w:rFonts w:cs="CMR12"/>
        </w:rPr>
      </w:pPr>
    </w:p>
    <w:p w:rsidR="003A2379" w:rsidRDefault="003A2379" w:rsidP="003A2379">
      <w:pPr>
        <w:pStyle w:val="Caption"/>
        <w:rPr>
          <w:rFonts w:cs="CMR12"/>
        </w:rPr>
      </w:pPr>
      <w:r>
        <w:t xml:space="preserve">Figure </w:t>
      </w:r>
      <w:r>
        <w:fldChar w:fldCharType="begin"/>
      </w:r>
      <w:r>
        <w:instrText xml:space="preserve"> SEQ Figure \* ARABIC </w:instrText>
      </w:r>
      <w:r>
        <w:fldChar w:fldCharType="separate"/>
      </w:r>
      <w:r>
        <w:rPr>
          <w:noProof/>
        </w:rPr>
        <w:t>14</w:t>
      </w:r>
      <w:r>
        <w:fldChar w:fldCharType="end"/>
      </w:r>
      <w:r>
        <w:t>: Mean absolute returns (11am– 4pm) by sector</w:t>
      </w:r>
      <w:r w:rsidRPr="00347C38">
        <w:t xml:space="preserve"> </w:t>
      </w:r>
    </w:p>
    <w:p w:rsidR="003A2379" w:rsidRDefault="003A2379" w:rsidP="003A2379">
      <w:pPr>
        <w:rPr>
          <w:rFonts w:cs="CMR12"/>
          <w:b/>
          <w:sz w:val="28"/>
          <w:szCs w:val="28"/>
        </w:rPr>
      </w:pPr>
      <w:r>
        <w:rPr>
          <w:noProof/>
        </w:rPr>
        <w:lastRenderedPageBreak/>
        <w:drawing>
          <wp:inline distT="0" distB="0" distL="0" distR="0" wp14:anchorId="72211DED" wp14:editId="7B85FF6F">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A2379" w:rsidRDefault="003A2379" w:rsidP="003A2379">
      <w:pPr>
        <w:rPr>
          <w:rFonts w:cs="CMR12"/>
          <w:b/>
          <w:sz w:val="28"/>
          <w:szCs w:val="28"/>
        </w:rPr>
      </w:pPr>
    </w:p>
    <w:p w:rsidR="003A2379" w:rsidRPr="002D5B3A" w:rsidRDefault="003A2379" w:rsidP="003A2379">
      <w:pPr>
        <w:pStyle w:val="Caption"/>
      </w:pPr>
      <w:r>
        <w:t xml:space="preserve">Table </w:t>
      </w:r>
      <w:r>
        <w:fldChar w:fldCharType="begin"/>
      </w:r>
      <w:r>
        <w:instrText xml:space="preserve"> SEQ Table \* ARABIC </w:instrText>
      </w:r>
      <w:r>
        <w:fldChar w:fldCharType="separate"/>
      </w:r>
      <w:r>
        <w:rPr>
          <w:noProof/>
        </w:rPr>
        <w:t>3</w:t>
      </w:r>
      <w:r>
        <w:fldChar w:fldCharType="end"/>
      </w:r>
      <w:r>
        <w:t>: Alerts (tweet signals from 10 am -11 am)</w:t>
      </w:r>
    </w:p>
    <w:tbl>
      <w:tblPr>
        <w:tblStyle w:val="LightShading"/>
        <w:tblW w:w="9464" w:type="dxa"/>
        <w:tblLayout w:type="fixed"/>
        <w:tblLook w:val="04A0" w:firstRow="1" w:lastRow="0" w:firstColumn="1" w:lastColumn="0" w:noHBand="0" w:noVBand="1"/>
      </w:tblPr>
      <w:tblGrid>
        <w:gridCol w:w="4786"/>
        <w:gridCol w:w="992"/>
        <w:gridCol w:w="1347"/>
        <w:gridCol w:w="1347"/>
        <w:gridCol w:w="992"/>
      </w:tblGrid>
      <w:tr w:rsidR="003A2379" w:rsidRPr="00AF0C32" w:rsidTr="002262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p>
        </w:tc>
        <w:tc>
          <w:tcPr>
            <w:tcW w:w="992" w:type="dxa"/>
            <w:noWrap/>
            <w:hideMark/>
          </w:tcPr>
          <w:p w:rsidR="003A2379" w:rsidRPr="00AF0C32" w:rsidRDefault="003A2379" w:rsidP="00226234">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rPr>
            </w:pPr>
          </w:p>
        </w:tc>
        <w:tc>
          <w:tcPr>
            <w:tcW w:w="1347" w:type="dxa"/>
            <w:noWrap/>
            <w:hideMark/>
          </w:tcPr>
          <w:p w:rsidR="003A2379" w:rsidRPr="00AF0C32" w:rsidRDefault="003A2379" w:rsidP="00226234">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Signal</w:t>
            </w:r>
          </w:p>
        </w:tc>
        <w:tc>
          <w:tcPr>
            <w:tcW w:w="1347" w:type="dxa"/>
            <w:noWrap/>
            <w:hideMark/>
          </w:tcPr>
          <w:p w:rsidR="003A2379" w:rsidRPr="00AF0C32" w:rsidRDefault="003A2379" w:rsidP="00226234">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No Signal</w:t>
            </w:r>
          </w:p>
        </w:tc>
        <w:tc>
          <w:tcPr>
            <w:tcW w:w="992" w:type="dxa"/>
            <w:noWrap/>
            <w:hideMark/>
          </w:tcPr>
          <w:p w:rsidR="003A2379" w:rsidRPr="00AF0C32" w:rsidRDefault="003A2379" w:rsidP="00226234">
            <w:pPr>
              <w:jc w:val="left"/>
              <w:cnfStyle w:val="100000000000" w:firstRow="1" w:lastRow="0" w:firstColumn="0" w:lastColumn="0" w:oddVBand="0" w:evenVBand="0" w:oddHBand="0" w:evenHBand="0" w:firstRowFirstColumn="0" w:firstRowLastColumn="0" w:lastRowFirstColumn="0" w:lastRowLastColumn="0"/>
              <w:rPr>
                <w:rFonts w:eastAsia="Times New Roman"/>
                <w:color w:val="000000"/>
              </w:rPr>
            </w:pP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9:30 am – 9:59 am</w:t>
            </w:r>
          </w:p>
        </w:tc>
        <w:tc>
          <w:tcPr>
            <w:tcW w:w="992"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 xml:space="preserve"># </w:t>
            </w:r>
            <w:proofErr w:type="gramStart"/>
            <w:r w:rsidRPr="00AF0C32">
              <w:rPr>
                <w:rFonts w:eastAsia="Times New Roman"/>
                <w:color w:val="000000"/>
              </w:rPr>
              <w:t>of</w:t>
            </w:r>
            <w:proofErr w:type="gramEnd"/>
            <w:r w:rsidRPr="00AF0C32">
              <w:rPr>
                <w:rFonts w:eastAsia="Times New Roman"/>
                <w:color w:val="000000"/>
              </w:rPr>
              <w:t xml:space="preserve"> tickers</w:t>
            </w:r>
          </w:p>
        </w:tc>
        <w:tc>
          <w:tcPr>
            <w:tcW w:w="1347"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 xml:space="preserve">Mean </w:t>
            </w:r>
            <w:proofErr w:type="gramStart"/>
            <w:r w:rsidRPr="00AF0C32">
              <w:rPr>
                <w:rFonts w:eastAsia="Times New Roman"/>
                <w:color w:val="000000"/>
              </w:rPr>
              <w:t>abs(</w:t>
            </w:r>
            <w:proofErr w:type="gramEnd"/>
            <w:r w:rsidRPr="00AF0C32">
              <w:rPr>
                <w:rFonts w:eastAsia="Times New Roman"/>
                <w:color w:val="000000"/>
              </w:rPr>
              <w:t>return)</w:t>
            </w:r>
          </w:p>
        </w:tc>
        <w:tc>
          <w:tcPr>
            <w:tcW w:w="1347"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 xml:space="preserve">Mean </w:t>
            </w:r>
            <w:proofErr w:type="gramStart"/>
            <w:r w:rsidRPr="00AF0C32">
              <w:rPr>
                <w:rFonts w:eastAsia="Times New Roman"/>
                <w:color w:val="000000"/>
              </w:rPr>
              <w:t>abs(</w:t>
            </w:r>
            <w:proofErr w:type="gramEnd"/>
            <w:r w:rsidRPr="00AF0C32">
              <w:rPr>
                <w:rFonts w:eastAsia="Times New Roman"/>
                <w:color w:val="000000"/>
              </w:rPr>
              <w:t>return)</w:t>
            </w:r>
          </w:p>
        </w:tc>
        <w:tc>
          <w:tcPr>
            <w:tcW w:w="992"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proofErr w:type="gramStart"/>
            <w:r w:rsidRPr="00AF0C32">
              <w:rPr>
                <w:rFonts w:eastAsia="Times New Roman"/>
                <w:color w:val="000000"/>
              </w:rPr>
              <w:t>p</w:t>
            </w:r>
            <w:proofErr w:type="gramEnd"/>
            <w:r w:rsidRPr="00AF0C32">
              <w:rPr>
                <w:rFonts w:eastAsia="Times New Roman"/>
                <w:color w:val="000000"/>
              </w:rPr>
              <w:t>-value</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 xml:space="preserve">Consumer Durables &amp; Apparel </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73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2.33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0.0049</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Consumer Services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79</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4</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0.96</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0.0845</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Pharmaceuticals, Biotechnology &amp; Life Sciences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257</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3.52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1.44</w:t>
            </w:r>
          </w:p>
        </w:tc>
        <w:tc>
          <w:tcPr>
            <w:tcW w:w="992" w:type="dxa"/>
            <w:noWrap/>
            <w:hideMark/>
          </w:tcPr>
          <w:p w:rsidR="003A2379" w:rsidRPr="00AF0C32" w:rsidRDefault="003A2379" w:rsidP="00226234">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4.12*10-10</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Semiconductors &amp; Semiconductor Equipment</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70</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2.05</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1.23</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0.0202</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Health Care Equipment &amp; Services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105</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2.13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0.2454</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Capital Goods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122</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2.15</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0.91</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0.0133</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Energy</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154</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1.82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0.95</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0.0729</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Materials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89</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1.33</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0.89</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0.1705</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Software &amp; Services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183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1.47</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1.09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0.0611</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Retailing</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107</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1.42</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0.96</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0.1005</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Real Estate</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54</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4.69</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0.56</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0.1346</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Diversified Financials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93</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1.26</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0.76</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0.294</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Media</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56</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1.67</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0.78</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0.0232</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lastRenderedPageBreak/>
              <w:t>Technology Hardware &amp; Equipment</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87</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1.36</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0.2216</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Banks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62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1.02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0.73</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0.0568</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Food, Beverage &amp; Tobacco</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51</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1.85</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0.63</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0.002</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p>
        </w:tc>
        <w:tc>
          <w:tcPr>
            <w:tcW w:w="992" w:type="dxa"/>
            <w:noWrap/>
            <w:hideMark/>
          </w:tcPr>
          <w:p w:rsidR="003A2379" w:rsidRPr="00AF0C32" w:rsidRDefault="003A2379" w:rsidP="00226234">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47" w:type="dxa"/>
            <w:noWrap/>
            <w:hideMark/>
          </w:tcPr>
          <w:p w:rsidR="003A2379" w:rsidRPr="00AF0C32" w:rsidRDefault="003A2379" w:rsidP="00226234">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47" w:type="dxa"/>
            <w:noWrap/>
            <w:hideMark/>
          </w:tcPr>
          <w:p w:rsidR="003A2379" w:rsidRPr="00AF0C32" w:rsidRDefault="003A2379" w:rsidP="00226234">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92" w:type="dxa"/>
            <w:noWrap/>
            <w:hideMark/>
          </w:tcPr>
          <w:p w:rsidR="003A2379" w:rsidRPr="00AF0C32" w:rsidRDefault="003A2379" w:rsidP="00226234">
            <w:pPr>
              <w:jc w:val="left"/>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11:00 am – 4:00 pm</w:t>
            </w:r>
          </w:p>
        </w:tc>
        <w:tc>
          <w:tcPr>
            <w:tcW w:w="992"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47"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47"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92" w:type="dxa"/>
            <w:noWrap/>
            <w:hideMark/>
          </w:tcPr>
          <w:p w:rsidR="003A2379" w:rsidRPr="00AF0C32" w:rsidRDefault="003A2379" w:rsidP="00226234">
            <w:pPr>
              <w:jc w:val="left"/>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 xml:space="preserve">Consumer Durables &amp; Apparel </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73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1.65</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0.84</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0.0295</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Consumer Services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79</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1.71</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0.96</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0.1433</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Pharmaceuticals, Biotechnology &amp; Life Sciences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257</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2.13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1.49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0.0004</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Semiconductors &amp; Semiconductor Equipment</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70</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1.76</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1.14</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0.0072</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Health Care Equipment &amp; Services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105</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1.45</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0.95</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0.2015</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Capital Goods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122</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1.26</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0.85</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0.1124</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Energy</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154</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1.36</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0.1262</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Materials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89</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1.12</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0.87</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0.2996</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Software &amp; Services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183</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1.28</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1.07</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0.0843</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Retailing</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107</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1.05</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0.87</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0.1821</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Real Estate</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54</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0.79</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0.63</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0.4712</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Diversified Financials</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93</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0.87</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0.73</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0.3614</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Media</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56</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0.91</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0.79</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0.357</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Technology Hardware &amp; Equipment</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87</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1.04</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0.95</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0.6578</w:t>
            </w:r>
          </w:p>
        </w:tc>
      </w:tr>
      <w:tr w:rsidR="003A2379" w:rsidRPr="00AF0C32" w:rsidTr="00226234">
        <w:trPr>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Banks</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62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0.72</w:t>
            </w:r>
          </w:p>
        </w:tc>
        <w:tc>
          <w:tcPr>
            <w:tcW w:w="1347"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0.63</w:t>
            </w:r>
          </w:p>
        </w:tc>
        <w:tc>
          <w:tcPr>
            <w:tcW w:w="992" w:type="dxa"/>
            <w:noWrap/>
            <w:hideMark/>
          </w:tcPr>
          <w:p w:rsidR="003A2379" w:rsidRPr="00AF0C32" w:rsidRDefault="003A2379" w:rsidP="0022623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AF0C32">
              <w:rPr>
                <w:rFonts w:eastAsia="Times New Roman"/>
                <w:color w:val="000000"/>
              </w:rPr>
              <w:t>0.5095</w:t>
            </w:r>
          </w:p>
        </w:tc>
      </w:tr>
      <w:tr w:rsidR="003A2379" w:rsidRPr="00AF0C32" w:rsidTr="002262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6" w:type="dxa"/>
            <w:noWrap/>
            <w:hideMark/>
          </w:tcPr>
          <w:p w:rsidR="003A2379" w:rsidRPr="00AF0C32" w:rsidRDefault="003A2379" w:rsidP="00226234">
            <w:pPr>
              <w:jc w:val="left"/>
              <w:rPr>
                <w:rFonts w:eastAsia="Times New Roman"/>
                <w:color w:val="000000"/>
              </w:rPr>
            </w:pPr>
            <w:r w:rsidRPr="00AF0C32">
              <w:rPr>
                <w:rFonts w:eastAsia="Times New Roman"/>
                <w:color w:val="000000"/>
              </w:rPr>
              <w:t>Food, Beverage &amp; Tobacco</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51</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0.58</w:t>
            </w:r>
          </w:p>
        </w:tc>
        <w:tc>
          <w:tcPr>
            <w:tcW w:w="1347"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0.61</w:t>
            </w:r>
          </w:p>
        </w:tc>
        <w:tc>
          <w:tcPr>
            <w:tcW w:w="992" w:type="dxa"/>
            <w:noWrap/>
            <w:hideMark/>
          </w:tcPr>
          <w:p w:rsidR="003A2379" w:rsidRPr="00AF0C32" w:rsidRDefault="003A2379" w:rsidP="0022623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AF0C32">
              <w:rPr>
                <w:rFonts w:eastAsia="Times New Roman"/>
                <w:color w:val="000000"/>
              </w:rPr>
              <w:t>0.7585</w:t>
            </w:r>
          </w:p>
        </w:tc>
      </w:tr>
    </w:tbl>
    <w:p w:rsidR="003A2379" w:rsidRDefault="003A2379" w:rsidP="003A2379"/>
    <w:p w:rsidR="003A2379" w:rsidRDefault="003A2379" w:rsidP="003A2379">
      <w:r>
        <w:t xml:space="preserve">The sectors whose results are statistically </w:t>
      </w:r>
      <w:commentRangeStart w:id="99"/>
      <w:r>
        <w:t xml:space="preserve">significant </w:t>
      </w:r>
      <w:commentRangeEnd w:id="99"/>
      <w:r>
        <w:rPr>
          <w:rStyle w:val="CommentReference"/>
        </w:rPr>
        <w:commentReference w:id="99"/>
      </w:r>
      <w:r>
        <w:t>were:</w:t>
      </w:r>
    </w:p>
    <w:p w:rsidR="003A2379" w:rsidRDefault="003A2379" w:rsidP="003A2379">
      <w:r>
        <w:t xml:space="preserve"> </w:t>
      </w:r>
    </w:p>
    <w:p w:rsidR="003A2379" w:rsidRDefault="003A2379" w:rsidP="003A2379">
      <w:pPr>
        <w:pStyle w:val="ListParagraph"/>
        <w:numPr>
          <w:ilvl w:val="0"/>
          <w:numId w:val="3"/>
        </w:numPr>
      </w:pPr>
      <w:r>
        <w:t>Consumer Durables &amp; Apparel</w:t>
      </w:r>
    </w:p>
    <w:p w:rsidR="003A2379" w:rsidRDefault="003A2379" w:rsidP="003A2379">
      <w:pPr>
        <w:pStyle w:val="ListParagraph"/>
        <w:numPr>
          <w:ilvl w:val="0"/>
          <w:numId w:val="3"/>
        </w:numPr>
      </w:pPr>
      <w:r>
        <w:t>Pharmaceuticals, Biotechnology &amp; Life Sciences</w:t>
      </w:r>
    </w:p>
    <w:p w:rsidR="003A2379" w:rsidRDefault="003A2379" w:rsidP="003A2379">
      <w:pPr>
        <w:pStyle w:val="ListParagraph"/>
        <w:numPr>
          <w:ilvl w:val="0"/>
          <w:numId w:val="3"/>
        </w:numPr>
      </w:pPr>
      <w:r>
        <w:t>Semiconductors &amp; Semiconductor Equipment</w:t>
      </w:r>
    </w:p>
    <w:p w:rsidR="003A2379" w:rsidRDefault="003A2379" w:rsidP="003A2379"/>
    <w:p w:rsidR="003A2379" w:rsidRDefault="003A2379" w:rsidP="003A2379">
      <w:pPr>
        <w:rPr>
          <w:rFonts w:cs="CMR10"/>
          <w:sz w:val="20"/>
          <w:szCs w:val="20"/>
        </w:rPr>
      </w:pPr>
    </w:p>
    <w:p w:rsidR="003A2379" w:rsidRDefault="003A2379" w:rsidP="003A2379">
      <w:r>
        <w:t>For Notable and Flash -signals, most of the sectors don't have enough data for meaningful analysis</w:t>
      </w:r>
    </w:p>
    <w:p w:rsidR="003A2379" w:rsidRDefault="003A2379" w:rsidP="003A2379"/>
    <w:p w:rsidR="003A2379" w:rsidRPr="00AA281C" w:rsidRDefault="003A2379" w:rsidP="003A2379">
      <w:pPr>
        <w:pStyle w:val="Heading1"/>
      </w:pPr>
      <w:r w:rsidRPr="00AA281C">
        <w:lastRenderedPageBreak/>
        <w:t>Week 3</w:t>
      </w:r>
      <w:commentRangeStart w:id="100"/>
    </w:p>
    <w:p w:rsidR="003A2379" w:rsidRPr="00AA281C" w:rsidRDefault="003A2379" w:rsidP="003A2379">
      <w:pPr>
        <w:pStyle w:val="Heading2"/>
      </w:pPr>
      <w:r w:rsidRPr="00AA281C">
        <w:t>Reversal Strategy</w:t>
      </w:r>
    </w:p>
    <w:commentRangeEnd w:id="100"/>
    <w:p w:rsidR="003A2379" w:rsidRDefault="003A2379" w:rsidP="003A2379">
      <w:r>
        <w:rPr>
          <w:rStyle w:val="CommentReference"/>
        </w:rPr>
        <w:commentReference w:id="100"/>
      </w:r>
      <w:r>
        <w:t xml:space="preserve">Finally, we consider a </w:t>
      </w:r>
      <w:commentRangeStart w:id="102"/>
      <w:r>
        <w:t xml:space="preserve">reversal strategy </w:t>
      </w:r>
      <w:commentRangeEnd w:id="102"/>
      <w:r>
        <w:rPr>
          <w:rStyle w:val="CommentReference"/>
        </w:rPr>
        <w:commentReference w:id="102"/>
      </w:r>
      <w:r>
        <w:t xml:space="preserve">and test whether solely returns based strategy can be improved by taking </w:t>
      </w:r>
      <w:proofErr w:type="spellStart"/>
      <w:r>
        <w:t>Dataminr</w:t>
      </w:r>
      <w:proofErr w:type="spellEnd"/>
      <w:r>
        <w:t xml:space="preserve"> signals into consideration.</w:t>
      </w:r>
    </w:p>
    <w:p w:rsidR="003A2379" w:rsidRDefault="003A2379" w:rsidP="003A2379"/>
    <w:p w:rsidR="003A2379" w:rsidRDefault="003A2379" w:rsidP="003A2379">
      <w:r>
        <w:t xml:space="preserve">In order to have reliable and liquid asset price information and a somewhat uniform tweet signal distribution among the assets we have chosen the stocks in S&amp;P 100 – a broad market index with the most liquid constituents. </w:t>
      </w:r>
    </w:p>
    <w:p w:rsidR="003A2379" w:rsidRDefault="003A2379" w:rsidP="003A2379"/>
    <w:p w:rsidR="003A2379" w:rsidRDefault="003A2379" w:rsidP="003A2379">
      <w:r>
        <w:t xml:space="preserve">We will look into weekly stock returns since </w:t>
      </w:r>
      <w:commentRangeStart w:id="103"/>
      <w:r>
        <w:t xml:space="preserve">our studies </w:t>
      </w:r>
      <w:commentRangeEnd w:id="103"/>
      <w:r>
        <w:rPr>
          <w:rStyle w:val="CommentReference"/>
        </w:rPr>
        <w:commentReference w:id="103"/>
      </w:r>
      <w:r>
        <w:t xml:space="preserve">have shown that stock prices tend to move in weekly cycles based on news releases. Let us calculate weekly returns from </w:t>
      </w:r>
      <w:r w:rsidRPr="00604C98">
        <w:t>2014</w:t>
      </w:r>
      <w:r>
        <w:t>/</w:t>
      </w:r>
      <w:r w:rsidRPr="00604C98">
        <w:t>03</w:t>
      </w:r>
      <w:r>
        <w:t>/</w:t>
      </w:r>
      <w:r w:rsidRPr="00604C98">
        <w:t>14</w:t>
      </w:r>
      <w:r>
        <w:t xml:space="preserve"> till 2014/11/28 and then compute excess returns with respect to the average return for S&amp;P 100 constituents for the corresponding week. We will then look into the stocks that are in the highest quintile based on their excess return and expect their prices to revert back on the following week.</w:t>
      </w:r>
    </w:p>
    <w:p w:rsidR="003A2379" w:rsidRDefault="003A2379" w:rsidP="003A2379"/>
    <w:p w:rsidR="003A2379" w:rsidRDefault="003A2379" w:rsidP="003A2379">
      <w:r>
        <w:t xml:space="preserve">Running such winner reversal portfolio for the time period from </w:t>
      </w:r>
      <w:bookmarkStart w:id="104" w:name="OLE_LINK25"/>
      <w:r w:rsidRPr="00604C98">
        <w:t>2014</w:t>
      </w:r>
      <w:r>
        <w:t>/</w:t>
      </w:r>
      <w:r w:rsidRPr="00604C98">
        <w:t>03</w:t>
      </w:r>
      <w:r>
        <w:t>/</w:t>
      </w:r>
      <w:r w:rsidRPr="00604C98">
        <w:t>14</w:t>
      </w:r>
      <w:r>
        <w:t xml:space="preserve"> till 2014/11/28 </w:t>
      </w:r>
      <w:bookmarkEnd w:id="104"/>
      <w:r>
        <w:t xml:space="preserve">we find that for that period of time its cumulative return is </w:t>
      </w:r>
      <w:r w:rsidRPr="00604C98">
        <w:rPr>
          <w:rFonts w:eastAsia="Times New Roman"/>
          <w:b/>
          <w:bCs/>
          <w:color w:val="000000"/>
          <w:sz w:val="22"/>
          <w:szCs w:val="22"/>
        </w:rPr>
        <w:t>0</w:t>
      </w:r>
      <w:r>
        <w:rPr>
          <w:rFonts w:eastAsia="Times New Roman"/>
          <w:b/>
          <w:bCs/>
          <w:color w:val="000000"/>
          <w:sz w:val="22"/>
          <w:szCs w:val="22"/>
        </w:rPr>
        <w:t>.</w:t>
      </w:r>
      <w:r w:rsidRPr="00604C98">
        <w:rPr>
          <w:rFonts w:eastAsia="Times New Roman"/>
          <w:b/>
          <w:bCs/>
          <w:color w:val="000000"/>
          <w:sz w:val="22"/>
          <w:szCs w:val="22"/>
        </w:rPr>
        <w:t>8524</w:t>
      </w:r>
      <w:r>
        <w:rPr>
          <w:rFonts w:eastAsia="Times New Roman"/>
          <w:b/>
          <w:bCs/>
          <w:color w:val="000000"/>
          <w:sz w:val="22"/>
          <w:szCs w:val="22"/>
        </w:rPr>
        <w:t xml:space="preserve"> %. </w:t>
      </w:r>
      <w:r w:rsidRPr="00604C98">
        <w:t>Since we are supposed to short the winner stock</w:t>
      </w:r>
      <w:r>
        <w:t>s</w:t>
      </w:r>
      <w:r w:rsidRPr="00604C98">
        <w:t xml:space="preserve"> running this strategy will actually sustain small losses</w:t>
      </w:r>
      <w:r>
        <w:t xml:space="preserve"> over the above-mentioned period of time.</w:t>
      </w:r>
    </w:p>
    <w:p w:rsidR="003A2379" w:rsidRDefault="003A2379" w:rsidP="003A2379"/>
    <w:p w:rsidR="003A2379" w:rsidRDefault="003A2379" w:rsidP="003A2379">
      <w:r>
        <w:t xml:space="preserve">Let’s also introduce a statistic based on the tweet signals called EV – event volume. Event volume is simply the sum of the tweet signals count for the past week. </w:t>
      </w:r>
    </w:p>
    <w:p w:rsidR="003A2379" w:rsidRDefault="003A2379" w:rsidP="003A2379"/>
    <w:p w:rsidR="003A2379" w:rsidRDefault="003A2379" w:rsidP="003A2379">
      <w:r>
        <w:t xml:space="preserve">If we add EV and narrow down our selection of stocks to be shorted to those that are in the highest quintile of returns and the highest quintile of event volume for the past week then we get the cumulative return of </w:t>
      </w:r>
      <w:r>
        <w:rPr>
          <w:rFonts w:eastAsia="Times New Roman"/>
          <w:b/>
          <w:bCs/>
          <w:color w:val="000000"/>
          <w:sz w:val="22"/>
          <w:szCs w:val="22"/>
        </w:rPr>
        <w:t>-</w:t>
      </w:r>
      <w:r w:rsidRPr="00604C98">
        <w:rPr>
          <w:rFonts w:eastAsia="Times New Roman"/>
          <w:b/>
          <w:bCs/>
          <w:color w:val="000000"/>
          <w:sz w:val="22"/>
          <w:szCs w:val="22"/>
        </w:rPr>
        <w:t>12</w:t>
      </w:r>
      <w:r>
        <w:rPr>
          <w:rFonts w:eastAsia="Times New Roman"/>
          <w:b/>
          <w:bCs/>
          <w:color w:val="000000"/>
          <w:sz w:val="22"/>
          <w:szCs w:val="22"/>
        </w:rPr>
        <w:t>.</w:t>
      </w:r>
      <w:r w:rsidRPr="00604C98">
        <w:rPr>
          <w:rFonts w:eastAsia="Times New Roman"/>
          <w:b/>
          <w:bCs/>
          <w:color w:val="000000"/>
          <w:sz w:val="22"/>
          <w:szCs w:val="22"/>
        </w:rPr>
        <w:t>419</w:t>
      </w:r>
      <w:r>
        <w:rPr>
          <w:rFonts w:eastAsia="Times New Roman"/>
          <w:b/>
          <w:bCs/>
          <w:color w:val="000000"/>
          <w:sz w:val="22"/>
          <w:szCs w:val="22"/>
        </w:rPr>
        <w:t xml:space="preserve"> % </w:t>
      </w:r>
      <w:r w:rsidRPr="00AA281C">
        <w:t xml:space="preserve">over </w:t>
      </w:r>
      <w:r>
        <w:t xml:space="preserve">time period from </w:t>
      </w:r>
      <w:r w:rsidRPr="00604C98">
        <w:t>2014</w:t>
      </w:r>
      <w:r>
        <w:t>/</w:t>
      </w:r>
      <w:r w:rsidRPr="00604C98">
        <w:t>03</w:t>
      </w:r>
      <w:r>
        <w:t>/</w:t>
      </w:r>
      <w:r w:rsidRPr="00604C98">
        <w:t>14</w:t>
      </w:r>
      <w:r>
        <w:t xml:space="preserve"> till 2014/11/28. This</w:t>
      </w:r>
      <w:r w:rsidRPr="00604C98">
        <w:t xml:space="preserve"> is </w:t>
      </w:r>
      <w:r>
        <w:t xml:space="preserve">a </w:t>
      </w:r>
      <w:r w:rsidRPr="00604C98">
        <w:t>significant</w:t>
      </w:r>
      <w:r>
        <w:t xml:space="preserve"> improvement and in fact presents a good trading opportunity for winner reversal strategy. Therefore taking event volume into account has a strong effect in this case.</w:t>
      </w:r>
    </w:p>
    <w:p w:rsidR="003A2379" w:rsidRDefault="003A2379" w:rsidP="003A2379"/>
    <w:p w:rsidR="003A2379" w:rsidRPr="00740EEE" w:rsidRDefault="003A2379" w:rsidP="003A2379">
      <w:pPr>
        <w:rPr>
          <w:b/>
          <w:bCs/>
          <w:color w:val="943634" w:themeColor="accent2" w:themeShade="BF"/>
          <w:sz w:val="22"/>
          <w:szCs w:val="22"/>
        </w:rPr>
      </w:pPr>
      <w:r>
        <w:t xml:space="preserve">Repeating above procedure for winner stocks portfolio but changing the filter to the lowest event volume quintile stocks get a cumulative return of </w:t>
      </w:r>
      <w:r w:rsidRPr="00AA281C">
        <w:rPr>
          <w:rFonts w:eastAsia="Times New Roman"/>
          <w:b/>
          <w:bCs/>
          <w:color w:val="000000"/>
          <w:sz w:val="22"/>
          <w:szCs w:val="22"/>
        </w:rPr>
        <w:t>-1.907%</w:t>
      </w:r>
      <w:r>
        <w:rPr>
          <w:b/>
          <w:bCs/>
          <w:color w:val="943634" w:themeColor="accent2" w:themeShade="BF"/>
          <w:sz w:val="22"/>
          <w:szCs w:val="22"/>
        </w:rPr>
        <w:t xml:space="preserve"> </w:t>
      </w:r>
      <w:r>
        <w:t>for the strategy. This is still an improvement over solely return based strategy but the result is not nearly as good as for the stocks in the highest event volume quintile.</w:t>
      </w:r>
    </w:p>
    <w:p w:rsidR="003A2379" w:rsidRDefault="003A2379" w:rsidP="003A2379">
      <w:pPr>
        <w:rPr>
          <w:rFonts w:eastAsia="Times New Roman"/>
          <w:b/>
          <w:bCs/>
          <w:color w:val="000000"/>
          <w:sz w:val="22"/>
          <w:szCs w:val="22"/>
        </w:rPr>
      </w:pPr>
    </w:p>
    <w:p w:rsidR="003A2379" w:rsidRDefault="003A2379" w:rsidP="003A2379">
      <w:r w:rsidRPr="00710F0D">
        <w:lastRenderedPageBreak/>
        <w:t xml:space="preserve">Looking into </w:t>
      </w:r>
      <w:r>
        <w:t>a loser stocks portfolio</w:t>
      </w:r>
      <w:r w:rsidRPr="00710F0D">
        <w:t xml:space="preserve">, i.e. the stocks that showed lowest excess returns for the past week and going long those stocks for the coming week produces a return of </w:t>
      </w:r>
      <w:r w:rsidRPr="00710F0D">
        <w:rPr>
          <w:rFonts w:eastAsia="Times New Roman"/>
          <w:b/>
          <w:bCs/>
          <w:color w:val="000000"/>
          <w:sz w:val="22"/>
          <w:szCs w:val="22"/>
        </w:rPr>
        <w:t>9.5382 %</w:t>
      </w:r>
      <w:r w:rsidRPr="00710F0D">
        <w:t xml:space="preserve"> for the same period of time.</w:t>
      </w:r>
      <w:r>
        <w:t xml:space="preserve"> This is actually a good result.</w:t>
      </w:r>
    </w:p>
    <w:p w:rsidR="003A2379" w:rsidRDefault="003A2379" w:rsidP="003A2379"/>
    <w:p w:rsidR="003A2379" w:rsidRDefault="003A2379" w:rsidP="003A2379">
      <w:r>
        <w:t xml:space="preserve">If in addition we require the stocks to be in the lowest event volume quintile (EV=0), then we get a </w:t>
      </w:r>
      <w:r w:rsidRPr="00710F0D">
        <w:rPr>
          <w:rFonts w:eastAsia="Times New Roman"/>
          <w:b/>
          <w:bCs/>
          <w:color w:val="000000"/>
          <w:sz w:val="22"/>
          <w:szCs w:val="22"/>
        </w:rPr>
        <w:t>9</w:t>
      </w:r>
      <w:r>
        <w:rPr>
          <w:rFonts w:eastAsia="Times New Roman"/>
          <w:b/>
          <w:bCs/>
          <w:color w:val="000000"/>
          <w:sz w:val="22"/>
          <w:szCs w:val="22"/>
        </w:rPr>
        <w:t>.</w:t>
      </w:r>
      <w:r w:rsidRPr="00710F0D">
        <w:rPr>
          <w:rFonts w:eastAsia="Times New Roman"/>
          <w:b/>
          <w:bCs/>
          <w:color w:val="000000"/>
          <w:sz w:val="22"/>
          <w:szCs w:val="22"/>
        </w:rPr>
        <w:t>1324</w:t>
      </w:r>
      <w:r>
        <w:rPr>
          <w:rFonts w:eastAsia="Times New Roman"/>
          <w:b/>
          <w:bCs/>
          <w:color w:val="000000"/>
          <w:sz w:val="22"/>
          <w:szCs w:val="22"/>
        </w:rPr>
        <w:t xml:space="preserve"> % </w:t>
      </w:r>
      <w:r w:rsidRPr="00710F0D">
        <w:t>overall return.</w:t>
      </w:r>
      <w:r>
        <w:rPr>
          <w:rFonts w:eastAsia="Times New Roman"/>
          <w:b/>
          <w:bCs/>
          <w:color w:val="000000"/>
          <w:sz w:val="22"/>
          <w:szCs w:val="22"/>
        </w:rPr>
        <w:t xml:space="preserve"> </w:t>
      </w:r>
      <w:r w:rsidRPr="00710F0D">
        <w:t xml:space="preserve">This is actually slightly worse that looking into all the stocks without taking the </w:t>
      </w:r>
      <w:r>
        <w:t xml:space="preserve">tweet </w:t>
      </w:r>
      <w:r w:rsidRPr="00710F0D">
        <w:t>s</w:t>
      </w:r>
      <w:r>
        <w:t>ignals</w:t>
      </w:r>
      <w:r w:rsidRPr="00710F0D">
        <w:t xml:space="preserve"> into consideration.</w:t>
      </w:r>
      <w:r>
        <w:t xml:space="preserve"> We think it may be because there are not enough signals that can produce a meaningful low quintile for the event count.</w:t>
      </w:r>
    </w:p>
    <w:p w:rsidR="003A2379" w:rsidRDefault="003A2379" w:rsidP="003A2379"/>
    <w:p w:rsidR="003A2379" w:rsidRDefault="003A2379" w:rsidP="003A2379">
      <w:pPr>
        <w:rPr>
          <w:rFonts w:eastAsia="Times New Roman"/>
          <w:b/>
          <w:bCs/>
          <w:color w:val="000000"/>
          <w:sz w:val="22"/>
          <w:szCs w:val="22"/>
        </w:rPr>
      </w:pPr>
      <w:r>
        <w:t xml:space="preserve">Looking into losing stocks portfolio with highest event volume we get even worse result – overall return is only </w:t>
      </w:r>
      <w:r w:rsidRPr="00B979A2">
        <w:rPr>
          <w:rFonts w:eastAsia="Times New Roman"/>
          <w:b/>
          <w:bCs/>
          <w:color w:val="000000"/>
          <w:sz w:val="22"/>
          <w:szCs w:val="22"/>
        </w:rPr>
        <w:t>2</w:t>
      </w:r>
      <w:r>
        <w:rPr>
          <w:rFonts w:eastAsia="Times New Roman"/>
          <w:b/>
          <w:bCs/>
          <w:color w:val="000000"/>
          <w:sz w:val="22"/>
          <w:szCs w:val="22"/>
        </w:rPr>
        <w:t>.</w:t>
      </w:r>
      <w:r w:rsidRPr="00B979A2">
        <w:rPr>
          <w:rFonts w:eastAsia="Times New Roman"/>
          <w:b/>
          <w:bCs/>
          <w:color w:val="000000"/>
          <w:sz w:val="22"/>
          <w:szCs w:val="22"/>
        </w:rPr>
        <w:t>5266</w:t>
      </w:r>
      <w:r>
        <w:rPr>
          <w:rFonts w:eastAsia="Times New Roman"/>
          <w:b/>
          <w:bCs/>
          <w:color w:val="000000"/>
          <w:sz w:val="22"/>
          <w:szCs w:val="22"/>
        </w:rPr>
        <w:t xml:space="preserve"> %.</w:t>
      </w:r>
    </w:p>
    <w:p w:rsidR="003A2379" w:rsidRDefault="003A2379" w:rsidP="003A2379">
      <w:pPr>
        <w:rPr>
          <w:rFonts w:eastAsia="Times New Roman"/>
          <w:b/>
          <w:bCs/>
          <w:color w:val="000000"/>
          <w:sz w:val="22"/>
          <w:szCs w:val="22"/>
        </w:rPr>
      </w:pPr>
    </w:p>
    <w:p w:rsidR="003A2379" w:rsidRDefault="003A2379" w:rsidP="003A2379">
      <w:pPr>
        <w:rPr>
          <w:rFonts w:eastAsia="Times New Roman"/>
          <w:b/>
          <w:bCs/>
          <w:color w:val="000000"/>
          <w:sz w:val="22"/>
          <w:szCs w:val="22"/>
        </w:rPr>
      </w:pPr>
      <w:r>
        <w:rPr>
          <w:rFonts w:eastAsia="Times New Roman"/>
          <w:b/>
          <w:bCs/>
          <w:color w:val="000000"/>
          <w:sz w:val="22"/>
          <w:szCs w:val="22"/>
        </w:rPr>
        <w:t>O</w:t>
      </w:r>
      <w:r w:rsidRPr="00B979A2">
        <w:t>ur results are summarized in the following table</w:t>
      </w:r>
    </w:p>
    <w:p w:rsidR="003A2379" w:rsidRDefault="003A2379" w:rsidP="003A2379">
      <w:pPr>
        <w:rPr>
          <w:rFonts w:eastAsia="Times New Roman"/>
          <w:b/>
          <w:bCs/>
          <w:color w:val="000000"/>
          <w:sz w:val="22"/>
          <w:szCs w:val="22"/>
        </w:rPr>
      </w:pPr>
    </w:p>
    <w:p w:rsidR="003A2379" w:rsidRDefault="003A2379" w:rsidP="003A2379">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Reversal strategy returns with and without </w:t>
      </w:r>
      <w:proofErr w:type="spellStart"/>
      <w:r>
        <w:t>Dataminr</w:t>
      </w:r>
      <w:proofErr w:type="spellEnd"/>
      <w:r>
        <w:t xml:space="preserve"> signals</w:t>
      </w:r>
    </w:p>
    <w:tbl>
      <w:tblPr>
        <w:tblStyle w:val="LightShading"/>
        <w:tblW w:w="0" w:type="auto"/>
        <w:tblLook w:val="04A0" w:firstRow="1" w:lastRow="0" w:firstColumn="1" w:lastColumn="0" w:noHBand="0" w:noVBand="1"/>
      </w:tblPr>
      <w:tblGrid>
        <w:gridCol w:w="1679"/>
        <w:gridCol w:w="2382"/>
        <w:gridCol w:w="2397"/>
        <w:gridCol w:w="2398"/>
      </w:tblGrid>
      <w:tr w:rsidR="003A2379" w:rsidTr="0022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2379" w:rsidRDefault="003A2379" w:rsidP="00226234">
            <w:pPr>
              <w:rPr>
                <w:rFonts w:eastAsia="Times New Roman"/>
                <w:b w:val="0"/>
                <w:bCs w:val="0"/>
                <w:color w:val="000000"/>
              </w:rPr>
            </w:pPr>
          </w:p>
        </w:tc>
        <w:tc>
          <w:tcPr>
            <w:tcW w:w="2567" w:type="dxa"/>
          </w:tcPr>
          <w:p w:rsidR="003A2379" w:rsidRDefault="003A2379" w:rsidP="00226234">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rPr>
            </w:pPr>
            <w:r>
              <w:rPr>
                <w:rFonts w:eastAsia="Times New Roman"/>
                <w:b w:val="0"/>
                <w:bCs w:val="0"/>
                <w:color w:val="000000"/>
              </w:rPr>
              <w:t>Only returns</w:t>
            </w:r>
          </w:p>
        </w:tc>
        <w:tc>
          <w:tcPr>
            <w:tcW w:w="2567" w:type="dxa"/>
          </w:tcPr>
          <w:p w:rsidR="003A2379" w:rsidRDefault="003A2379" w:rsidP="00226234">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rPr>
            </w:pPr>
            <w:commentRangeStart w:id="105"/>
            <w:r>
              <w:rPr>
                <w:rFonts w:eastAsia="Times New Roman"/>
                <w:b w:val="0"/>
                <w:bCs w:val="0"/>
                <w:color w:val="000000"/>
              </w:rPr>
              <w:t>Low News</w:t>
            </w:r>
            <w:commentRangeEnd w:id="105"/>
            <w:r>
              <w:rPr>
                <w:rStyle w:val="CommentReference"/>
              </w:rPr>
              <w:commentReference w:id="105"/>
            </w:r>
          </w:p>
        </w:tc>
        <w:tc>
          <w:tcPr>
            <w:tcW w:w="2568" w:type="dxa"/>
          </w:tcPr>
          <w:p w:rsidR="003A2379" w:rsidRDefault="003A2379" w:rsidP="00226234">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rPr>
            </w:pPr>
            <w:r>
              <w:rPr>
                <w:rFonts w:eastAsia="Times New Roman"/>
                <w:b w:val="0"/>
                <w:bCs w:val="0"/>
                <w:color w:val="000000"/>
              </w:rPr>
              <w:t>High News</w:t>
            </w:r>
          </w:p>
        </w:tc>
      </w:tr>
      <w:tr w:rsidR="003A2379" w:rsidTr="0022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rsidR="003A2379" w:rsidRDefault="003A2379" w:rsidP="00226234">
            <w:pPr>
              <w:rPr>
                <w:rFonts w:eastAsia="Times New Roman"/>
                <w:b w:val="0"/>
                <w:bCs w:val="0"/>
                <w:color w:val="000000"/>
              </w:rPr>
            </w:pPr>
            <w:r>
              <w:rPr>
                <w:rFonts w:eastAsia="Times New Roman"/>
                <w:b w:val="0"/>
                <w:bCs w:val="0"/>
                <w:color w:val="000000"/>
              </w:rPr>
              <w:t>Winners</w:t>
            </w:r>
          </w:p>
        </w:tc>
        <w:tc>
          <w:tcPr>
            <w:tcW w:w="2567" w:type="dxa"/>
          </w:tcPr>
          <w:p w:rsidR="003A2379" w:rsidRPr="002055B4" w:rsidRDefault="003A2379" w:rsidP="00226234">
            <w:pPr>
              <w:cnfStyle w:val="000000100000" w:firstRow="0" w:lastRow="0" w:firstColumn="0" w:lastColumn="0" w:oddVBand="0" w:evenVBand="0" w:oddHBand="1" w:evenHBand="0" w:firstRowFirstColumn="0" w:firstRowLastColumn="0" w:lastRowFirstColumn="0" w:lastRowLastColumn="0"/>
              <w:rPr>
                <w:b/>
                <w:bCs/>
                <w:color w:val="E36C0A" w:themeColor="accent6" w:themeShade="BF"/>
              </w:rPr>
            </w:pPr>
            <w:r w:rsidRPr="002055B4">
              <w:rPr>
                <w:b/>
                <w:bCs/>
                <w:color w:val="E36C0A" w:themeColor="accent6" w:themeShade="BF"/>
              </w:rPr>
              <w:t>0.8524 %</w:t>
            </w:r>
          </w:p>
          <w:p w:rsidR="003A2379"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
        </w:tc>
        <w:tc>
          <w:tcPr>
            <w:tcW w:w="2567" w:type="dxa"/>
          </w:tcPr>
          <w:p w:rsidR="003A2379" w:rsidRPr="002055B4" w:rsidRDefault="003A2379" w:rsidP="00226234">
            <w:pPr>
              <w:cnfStyle w:val="000000100000" w:firstRow="0" w:lastRow="0" w:firstColumn="0" w:lastColumn="0" w:oddVBand="0" w:evenVBand="0" w:oddHBand="1" w:evenHBand="0" w:firstRowFirstColumn="0" w:firstRowLastColumn="0" w:lastRowFirstColumn="0" w:lastRowLastColumn="0"/>
              <w:rPr>
                <w:b/>
                <w:bCs/>
                <w:color w:val="943634" w:themeColor="accent2" w:themeShade="BF"/>
              </w:rPr>
            </w:pPr>
            <w:r w:rsidRPr="002055B4">
              <w:rPr>
                <w:b/>
                <w:bCs/>
                <w:color w:val="943634" w:themeColor="accent2" w:themeShade="BF"/>
              </w:rPr>
              <w:t>-1.907%</w:t>
            </w:r>
          </w:p>
          <w:p w:rsidR="003A2379"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
        </w:tc>
        <w:tc>
          <w:tcPr>
            <w:tcW w:w="2568" w:type="dxa"/>
          </w:tcPr>
          <w:p w:rsidR="003A2379" w:rsidRPr="002055B4" w:rsidRDefault="003A2379" w:rsidP="00226234">
            <w:pPr>
              <w:cnfStyle w:val="000000100000" w:firstRow="0" w:lastRow="0" w:firstColumn="0" w:lastColumn="0" w:oddVBand="0" w:evenVBand="0" w:oddHBand="1" w:evenHBand="0" w:firstRowFirstColumn="0" w:firstRowLastColumn="0" w:lastRowFirstColumn="0" w:lastRowLastColumn="0"/>
              <w:rPr>
                <w:b/>
                <w:bCs/>
                <w:color w:val="FF0000"/>
              </w:rPr>
            </w:pPr>
            <w:r w:rsidRPr="002055B4">
              <w:rPr>
                <w:b/>
                <w:bCs/>
                <w:color w:val="FF0000"/>
              </w:rPr>
              <w:t>-12.419%</w:t>
            </w:r>
          </w:p>
          <w:p w:rsidR="003A2379" w:rsidRDefault="003A2379" w:rsidP="00226234">
            <w:pPr>
              <w:cnfStyle w:val="000000100000" w:firstRow="0" w:lastRow="0" w:firstColumn="0" w:lastColumn="0" w:oddVBand="0" w:evenVBand="0" w:oddHBand="1" w:evenHBand="0" w:firstRowFirstColumn="0" w:firstRowLastColumn="0" w:lastRowFirstColumn="0" w:lastRowLastColumn="0"/>
              <w:rPr>
                <w:rFonts w:eastAsia="Times New Roman"/>
                <w:b/>
                <w:bCs/>
                <w:color w:val="000000"/>
              </w:rPr>
            </w:pPr>
          </w:p>
        </w:tc>
      </w:tr>
      <w:tr w:rsidR="003A2379" w:rsidTr="00226234">
        <w:tc>
          <w:tcPr>
            <w:cnfStyle w:val="001000000000" w:firstRow="0" w:lastRow="0" w:firstColumn="1" w:lastColumn="0" w:oddVBand="0" w:evenVBand="0" w:oddHBand="0" w:evenHBand="0" w:firstRowFirstColumn="0" w:firstRowLastColumn="0" w:lastRowFirstColumn="0" w:lastRowLastColumn="0"/>
            <w:tcW w:w="1762" w:type="dxa"/>
          </w:tcPr>
          <w:p w:rsidR="003A2379" w:rsidRDefault="003A2379" w:rsidP="00226234">
            <w:pPr>
              <w:rPr>
                <w:rFonts w:eastAsia="Times New Roman"/>
                <w:b w:val="0"/>
                <w:bCs w:val="0"/>
                <w:color w:val="000000"/>
              </w:rPr>
            </w:pPr>
            <w:r>
              <w:rPr>
                <w:rFonts w:eastAsia="Times New Roman"/>
                <w:b w:val="0"/>
                <w:bCs w:val="0"/>
                <w:color w:val="000000"/>
              </w:rPr>
              <w:t>Losers</w:t>
            </w:r>
          </w:p>
        </w:tc>
        <w:tc>
          <w:tcPr>
            <w:tcW w:w="2567" w:type="dxa"/>
          </w:tcPr>
          <w:p w:rsidR="003A2379" w:rsidRPr="002055B4" w:rsidRDefault="003A2379" w:rsidP="00226234">
            <w:pPr>
              <w:cnfStyle w:val="000000000000" w:firstRow="0" w:lastRow="0" w:firstColumn="0" w:lastColumn="0" w:oddVBand="0" w:evenVBand="0" w:oddHBand="0" w:evenHBand="0" w:firstRowFirstColumn="0" w:firstRowLastColumn="0" w:lastRowFirstColumn="0" w:lastRowLastColumn="0"/>
              <w:rPr>
                <w:b/>
                <w:bCs/>
                <w:color w:val="00B050"/>
              </w:rPr>
            </w:pPr>
            <w:r w:rsidRPr="002055B4">
              <w:rPr>
                <w:b/>
                <w:bCs/>
                <w:color w:val="00B050"/>
              </w:rPr>
              <w:t>9.5382 %</w:t>
            </w:r>
          </w:p>
          <w:p w:rsidR="003A2379"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
        </w:tc>
        <w:tc>
          <w:tcPr>
            <w:tcW w:w="2567" w:type="dxa"/>
          </w:tcPr>
          <w:p w:rsidR="003A2379" w:rsidRPr="002055B4" w:rsidRDefault="003A2379" w:rsidP="00226234">
            <w:pPr>
              <w:cnfStyle w:val="000000000000" w:firstRow="0" w:lastRow="0" w:firstColumn="0" w:lastColumn="0" w:oddVBand="0" w:evenVBand="0" w:oddHBand="0" w:evenHBand="0" w:firstRowFirstColumn="0" w:firstRowLastColumn="0" w:lastRowFirstColumn="0" w:lastRowLastColumn="0"/>
              <w:rPr>
                <w:b/>
                <w:bCs/>
                <w:color w:val="E36C0A" w:themeColor="accent6" w:themeShade="BF"/>
              </w:rPr>
            </w:pPr>
            <w:r w:rsidRPr="002055B4">
              <w:rPr>
                <w:b/>
                <w:bCs/>
                <w:color w:val="E36C0A" w:themeColor="accent6" w:themeShade="BF"/>
              </w:rPr>
              <w:t>9.1324%</w:t>
            </w:r>
          </w:p>
          <w:p w:rsidR="003A2379"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
        </w:tc>
        <w:tc>
          <w:tcPr>
            <w:tcW w:w="2568" w:type="dxa"/>
          </w:tcPr>
          <w:p w:rsidR="003A2379" w:rsidRPr="002055B4" w:rsidRDefault="003A2379" w:rsidP="00226234">
            <w:pPr>
              <w:cnfStyle w:val="000000000000" w:firstRow="0" w:lastRow="0" w:firstColumn="0" w:lastColumn="0" w:oddVBand="0" w:evenVBand="0" w:oddHBand="0" w:evenHBand="0" w:firstRowFirstColumn="0" w:firstRowLastColumn="0" w:lastRowFirstColumn="0" w:lastRowLastColumn="0"/>
              <w:rPr>
                <w:b/>
                <w:bCs/>
                <w:color w:val="E36C0A" w:themeColor="accent6" w:themeShade="BF"/>
              </w:rPr>
            </w:pPr>
            <w:r w:rsidRPr="002055B4">
              <w:rPr>
                <w:b/>
                <w:bCs/>
                <w:color w:val="E36C0A" w:themeColor="accent6" w:themeShade="BF"/>
              </w:rPr>
              <w:t>2.5266%</w:t>
            </w:r>
          </w:p>
          <w:p w:rsidR="003A2379" w:rsidRDefault="003A2379" w:rsidP="00226234">
            <w:pPr>
              <w:cnfStyle w:val="000000000000" w:firstRow="0" w:lastRow="0" w:firstColumn="0" w:lastColumn="0" w:oddVBand="0" w:evenVBand="0" w:oddHBand="0" w:evenHBand="0" w:firstRowFirstColumn="0" w:firstRowLastColumn="0" w:lastRowFirstColumn="0" w:lastRowLastColumn="0"/>
              <w:rPr>
                <w:rFonts w:eastAsia="Times New Roman"/>
                <w:b/>
                <w:bCs/>
                <w:color w:val="000000"/>
              </w:rPr>
            </w:pPr>
          </w:p>
        </w:tc>
      </w:tr>
    </w:tbl>
    <w:p w:rsidR="003A2379" w:rsidRPr="00521CB1" w:rsidRDefault="003A2379" w:rsidP="003A2379"/>
    <w:p w:rsidR="002B7CE9" w:rsidRPr="002B7CE9" w:rsidRDefault="002B7CE9" w:rsidP="002B7CE9"/>
    <w:sectPr w:rsidR="002B7CE9" w:rsidRPr="002B7CE9" w:rsidSect="005516E7">
      <w:headerReference w:type="default" r:id="rId24"/>
      <w:footerReference w:type="default" r:id="rId25"/>
      <w:pgSz w:w="12240" w:h="15840"/>
      <w:pgMar w:top="2790" w:right="1800" w:bottom="1800" w:left="1800" w:header="720" w:footer="259"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immo Soramaki" w:date="2015-03-04T16:04:00Z" w:initials="KS">
    <w:p w:rsidR="003A2379" w:rsidRDefault="003A2379" w:rsidP="003A2379">
      <w:pPr>
        <w:pStyle w:val="CommentText"/>
      </w:pPr>
      <w:r>
        <w:rPr>
          <w:rStyle w:val="CommentReference"/>
        </w:rPr>
        <w:annotationRef/>
      </w:r>
      <w:r>
        <w:t>What is this?</w:t>
      </w:r>
    </w:p>
  </w:comment>
  <w:comment w:id="4" w:author="Kimmo Soramaki" w:date="2015-03-04T16:04:00Z" w:initials="KS">
    <w:p w:rsidR="003A2379" w:rsidRDefault="003A2379" w:rsidP="003A2379">
      <w:pPr>
        <w:pStyle w:val="CommentText"/>
      </w:pPr>
      <w:r>
        <w:rPr>
          <w:rStyle w:val="CommentReference"/>
        </w:rPr>
        <w:annotationRef/>
      </w:r>
      <w:r>
        <w:t>Correct?</w:t>
      </w:r>
    </w:p>
  </w:comment>
  <w:comment w:id="5" w:author="Kimmo Soramaki" w:date="2015-03-04T16:04:00Z" w:initials="KS">
    <w:p w:rsidR="003A2379" w:rsidRDefault="003A2379" w:rsidP="003A2379">
      <w:pPr>
        <w:pStyle w:val="CommentText"/>
      </w:pPr>
      <w:r>
        <w:rPr>
          <w:rStyle w:val="CommentReference"/>
        </w:rPr>
        <w:annotationRef/>
      </w:r>
      <w:r>
        <w:t>Maybe not needed</w:t>
      </w:r>
    </w:p>
  </w:comment>
  <w:comment w:id="8" w:author="Kimmo Soramaki" w:date="2015-03-04T16:04:00Z" w:initials="KS">
    <w:p w:rsidR="003A2379" w:rsidRDefault="003A2379" w:rsidP="003A2379">
      <w:pPr>
        <w:pStyle w:val="CommentText"/>
      </w:pPr>
      <w:r>
        <w:rPr>
          <w:rStyle w:val="CommentReference"/>
        </w:rPr>
        <w:annotationRef/>
      </w:r>
      <w:r>
        <w:t>Saturdays? Holidays?</w:t>
      </w:r>
    </w:p>
  </w:comment>
  <w:comment w:id="9" w:author="Kimmo Soramaki" w:date="2015-03-04T16:04:00Z" w:initials="KS">
    <w:p w:rsidR="003A2379" w:rsidRDefault="003A2379" w:rsidP="003A2379">
      <w:pPr>
        <w:pStyle w:val="CommentText"/>
      </w:pPr>
      <w:r>
        <w:rPr>
          <w:rStyle w:val="CommentReference"/>
        </w:rPr>
        <w:annotationRef/>
      </w:r>
      <w:r>
        <w:t>Alerts or Flashes &amp; Notables&gt;</w:t>
      </w:r>
    </w:p>
  </w:comment>
  <w:comment w:id="20" w:author="Kimmo Soramaki" w:date="2015-03-04T16:04:00Z" w:initials="KS">
    <w:p w:rsidR="003A2379" w:rsidRDefault="003A2379" w:rsidP="003A2379">
      <w:pPr>
        <w:pStyle w:val="CommentText"/>
      </w:pPr>
      <w:r>
        <w:rPr>
          <w:rStyle w:val="CommentReference"/>
        </w:rPr>
        <w:annotationRef/>
      </w:r>
      <w:r>
        <w:t>I don’t understand this</w:t>
      </w:r>
    </w:p>
  </w:comment>
  <w:comment w:id="45" w:author="Kimmo Soramaki" w:date="2015-03-04T16:04:00Z" w:initials="KS">
    <w:p w:rsidR="003A2379" w:rsidRDefault="003A2379" w:rsidP="003A2379">
      <w:pPr>
        <w:pStyle w:val="CommentText"/>
      </w:pPr>
      <w:r>
        <w:rPr>
          <w:rStyle w:val="CommentReference"/>
        </w:rPr>
        <w:annotationRef/>
      </w:r>
      <w:r>
        <w:t>What is this row</w:t>
      </w:r>
    </w:p>
  </w:comment>
  <w:comment w:id="51" w:author="Kimmo Soramaki" w:date="2015-03-04T16:04:00Z" w:initials="KS">
    <w:p w:rsidR="003A2379" w:rsidRDefault="003A2379" w:rsidP="003A2379">
      <w:pPr>
        <w:pStyle w:val="CommentText"/>
      </w:pPr>
      <w:r>
        <w:rPr>
          <w:rStyle w:val="CommentReference"/>
        </w:rPr>
        <w:annotationRef/>
      </w:r>
      <w:r>
        <w:t>Does not look so …</w:t>
      </w:r>
    </w:p>
  </w:comment>
  <w:comment w:id="59" w:author="Kimmo Soramaki" w:date="2015-03-04T16:04:00Z" w:initials="KS">
    <w:p w:rsidR="003A2379" w:rsidRDefault="003A2379" w:rsidP="003A2379">
      <w:pPr>
        <w:pStyle w:val="CommentText"/>
      </w:pPr>
      <w:r>
        <w:rPr>
          <w:rStyle w:val="CommentReference"/>
        </w:rPr>
        <w:annotationRef/>
      </w:r>
      <w:r>
        <w:t>What is the return period here</w:t>
      </w:r>
    </w:p>
  </w:comment>
  <w:comment w:id="65" w:author="Samantha Cook" w:date="2015-03-04T16:04:00Z" w:initials="SC">
    <w:p w:rsidR="003A2379" w:rsidRDefault="003A2379" w:rsidP="003A2379">
      <w:pPr>
        <w:pStyle w:val="CommentText"/>
      </w:pPr>
      <w:r>
        <w:rPr>
          <w:rStyle w:val="CommentReference"/>
        </w:rPr>
        <w:annotationRef/>
      </w:r>
      <w:r>
        <w:t>General comment: for p-values that are not written in scientific notation, round to 4 decimal places</w:t>
      </w:r>
    </w:p>
  </w:comment>
  <w:comment w:id="80" w:author="Kimmo Soramaki" w:date="2015-03-04T16:04:00Z" w:initials="KS">
    <w:p w:rsidR="003A2379" w:rsidRDefault="003A2379" w:rsidP="003A2379">
      <w:pPr>
        <w:pStyle w:val="CommentText"/>
      </w:pPr>
      <w:r>
        <w:rPr>
          <w:rStyle w:val="CommentReference"/>
        </w:rPr>
        <w:annotationRef/>
      </w:r>
      <w:r>
        <w:t>Why are these highlighted</w:t>
      </w:r>
    </w:p>
  </w:comment>
  <w:comment w:id="83" w:author="Kimmo Soramaki" w:date="2015-03-04T16:04:00Z" w:initials="KS">
    <w:p w:rsidR="003A2379" w:rsidRDefault="003A2379" w:rsidP="003A2379">
      <w:pPr>
        <w:pStyle w:val="CommentText"/>
      </w:pPr>
      <w:r>
        <w:rPr>
          <w:rStyle w:val="CommentReference"/>
        </w:rPr>
        <w:annotationRef/>
      </w:r>
      <w:r>
        <w:t>Is this for Alerts data?</w:t>
      </w:r>
    </w:p>
  </w:comment>
  <w:comment w:id="97" w:author="Samantha Cook" w:date="2015-03-04T16:04:00Z" w:initials="SC">
    <w:p w:rsidR="003A2379" w:rsidRDefault="003A2379" w:rsidP="003A2379">
      <w:pPr>
        <w:pStyle w:val="CommentText"/>
      </w:pPr>
      <w:r>
        <w:rPr>
          <w:rStyle w:val="CommentReference"/>
        </w:rPr>
        <w:annotationRef/>
      </w:r>
      <w:r>
        <w:t>Notation: sometimes the paper says “alerts” and other places says “flashes and alerts”.  Should be consistent.</w:t>
      </w:r>
    </w:p>
  </w:comment>
  <w:comment w:id="98" w:author="Kimmo Soramaki" w:date="2015-03-04T16:04:00Z" w:initials="KS">
    <w:p w:rsidR="003A2379" w:rsidRDefault="003A2379" w:rsidP="003A2379">
      <w:pPr>
        <w:pStyle w:val="CommentText"/>
      </w:pPr>
      <w:r>
        <w:rPr>
          <w:rStyle w:val="CommentReference"/>
        </w:rPr>
        <w:annotationRef/>
      </w:r>
      <w:r>
        <w:t>Missing legend for color</w:t>
      </w:r>
    </w:p>
  </w:comment>
  <w:comment w:id="99" w:author="Kimmo Soramaki" w:date="2015-03-04T16:04:00Z" w:initials="KS">
    <w:p w:rsidR="003A2379" w:rsidRDefault="003A2379" w:rsidP="003A2379">
      <w:pPr>
        <w:pStyle w:val="CommentText"/>
      </w:pPr>
      <w:r>
        <w:rPr>
          <w:rStyle w:val="CommentReference"/>
        </w:rPr>
        <w:annotationRef/>
      </w:r>
      <w:r>
        <w:t>At what level?</w:t>
      </w:r>
    </w:p>
  </w:comment>
  <w:comment w:id="100" w:author="Samantha Cook" w:date="2015-03-04T16:04:00Z" w:initials="SC">
    <w:p w:rsidR="003A2379" w:rsidRDefault="003A2379" w:rsidP="003A2379">
      <w:pPr>
        <w:pStyle w:val="CommentText"/>
      </w:pPr>
      <w:r>
        <w:rPr>
          <w:rStyle w:val="CommentReference"/>
        </w:rPr>
        <w:annotationRef/>
      </w:r>
      <w:r>
        <w:t>Maybe it’s my lack of finance knowledge, I find this whole section hard to follow and would recommend adding more background and explanation. At minimum, include an intro sentence or two.  “</w:t>
      </w:r>
      <w:bookmarkStart w:id="101" w:name="OLE_LINK4"/>
      <w:r>
        <w:t>Finally, we consider a reversal strategy whose goal is</w:t>
      </w:r>
      <w:bookmarkEnd w:id="101"/>
      <w:r>
        <w:t>…”</w:t>
      </w:r>
    </w:p>
  </w:comment>
  <w:comment w:id="102" w:author="Kimmo Soramaki" w:date="2015-03-04T16:04:00Z" w:initials="KS">
    <w:p w:rsidR="003A2379" w:rsidRDefault="003A2379" w:rsidP="003A2379">
      <w:pPr>
        <w:pStyle w:val="CommentText"/>
      </w:pPr>
      <w:r>
        <w:rPr>
          <w:rStyle w:val="CommentReference"/>
        </w:rPr>
        <w:annotationRef/>
      </w:r>
      <w:r>
        <w:t>Who invented this?</w:t>
      </w:r>
    </w:p>
  </w:comment>
  <w:comment w:id="103" w:author="Kimmo Soramaki" w:date="2015-03-04T16:04:00Z" w:initials="KS">
    <w:p w:rsidR="003A2379" w:rsidRDefault="003A2379" w:rsidP="003A2379">
      <w:pPr>
        <w:pStyle w:val="CommentText"/>
      </w:pPr>
      <w:r>
        <w:rPr>
          <w:rStyle w:val="CommentReference"/>
        </w:rPr>
        <w:annotationRef/>
      </w:r>
      <w:r>
        <w:t>Really?</w:t>
      </w:r>
    </w:p>
  </w:comment>
  <w:comment w:id="105" w:author="Kimmo Soramaki" w:date="2015-03-04T16:04:00Z" w:initials="KS">
    <w:p w:rsidR="003A2379" w:rsidRDefault="003A2379" w:rsidP="003A2379">
      <w:pPr>
        <w:pStyle w:val="CommentText"/>
      </w:pPr>
      <w:r>
        <w:rPr>
          <w:rStyle w:val="CommentReference"/>
        </w:rPr>
        <w:annotationRef/>
      </w:r>
      <w:r>
        <w:t>What does this mean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379" w:rsidRDefault="003A2379" w:rsidP="00C87B29">
      <w:r>
        <w:separator/>
      </w:r>
    </w:p>
  </w:endnote>
  <w:endnote w:type="continuationSeparator" w:id="0">
    <w:p w:rsidR="003A2379" w:rsidRDefault="003A2379" w:rsidP="00C8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92" w:rsidRPr="009B44D3" w:rsidRDefault="002B7CE9" w:rsidP="005516E7">
    <w:pPr>
      <w:pStyle w:val="footertagline"/>
      <w:ind w:left="-1080"/>
    </w:pPr>
    <w:r>
      <w:rPr>
        <w:noProof/>
      </w:rPr>
      <mc:AlternateContent>
        <mc:Choice Requires="wps">
          <w:drawing>
            <wp:anchor distT="4294967295" distB="4294967295" distL="114299" distR="114299" simplePos="0" relativeHeight="251658240" behindDoc="0" locked="0" layoutInCell="1" allowOverlap="1">
              <wp:simplePos x="0" y="0"/>
              <wp:positionH relativeFrom="column">
                <wp:posOffset>-1</wp:posOffset>
              </wp:positionH>
              <wp:positionV relativeFrom="paragraph">
                <wp:posOffset>-41911</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114299emu;mso-wrap-distance-top:-1emu;mso-wrap-distance-right:114299emu;mso-wrap-distance-bottom:-1emu;mso-position-horizontal:absolute;mso-position-horizontal-relative:text;mso-position-vertical:absolute;mso-position-vertical-relative:text;mso-width-percent:0;mso-height-percent:0;mso-width-relative:page;mso-height-relative:page" from="0,-3.25pt" to="0,-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8/AUCAAASBAAADgAAAGRycy9lMm9Eb2MueG1srFPBbtswDL0P2D8Iui9Os2YIjDgFliC7FFuw&#10;dNiZkWVbmCwJlBInfz9STrN2vQ27CCb59PQeSS8fzr0VJ43ReFfJu8lUCu2Ur41rK/njafthIUVM&#10;4Gqw3ulKXnSUD6v375ZDKPXMd97WGgWRuFgOoZJdSqEsiqg63UOc+KAdFRuPPSQKsS1qhIHYe1vM&#10;ptNPxeCxDuiVjpGym7EoV5m/abRK35om6iRsJUlbyifm88BnsVpC2SKEzqirDPgHFT0YR4/eqDaQ&#10;QBzRvKHqjUIffZMmyveFbxqjdPZAbu6mf7nZdxB09kLNieHWpvj/aNXX0w6FqSs5l8JBTyPaJwTT&#10;dkmsvXPUQI9izn0aQiwJvnY7ZKfq7Pbh0atfkWrFqyIHMYywc4M9w8mqOOe+X2591+ck1JhUz9kC&#10;yucrAWP6on0v+KOS1jhuBpRweoyJH4XyGcJp57fG2jxQ68RQydn8fkozV0B71VhI9NkHchpdKwXY&#10;lhZWJcyU0VtT83Umitge1hbFCWhp7reLu88b9k/PvYLx2xuI3YjLpSvMOqbRef1IKgf+mDTuu3oQ&#10;B3vE70AySBzLqw2bo10eA9pNlp0j9OmnSV1eA27aG3EZN+bBhg5GKR8XfPuqePSS1d805OiFvDy9&#10;cWA8uoOvLzvk+xzR4mX89SfhzX4ZZ9SfX3n1GwAA//8DAFBLAwQUAAYACAAAACEA9dGTVNgAAAAD&#10;AQAADwAAAGRycy9kb3ducmV2LnhtbEyPQUvDQBCF74L/YRnBW7ux0CIxm1ILPYgXG4V4nGbHbDA7&#10;G7LbNvbXO+JBjx9veO+bYj35Xp1ojF1gA3fzDBRxE2zHrYG3193sHlRMyBb7wGTgiyKsy+urAnMb&#10;zrynU5VaJSUcczTgUhpyrWPjyGOch4FYso8wekyCY6vtiGcp971eZNlKe+xYFhwOtHXUfFZHb2Bf&#10;t4uat9HVl8fnHb4vN9Xl6cWY25tp8wAq0ZT+juFHX9ShFKdDOLKNqjcgjyQDs9USlKRCh1/SZaH/&#10;u5ffAAAA//8DAFBLAQItABQABgAIAAAAIQDkmcPA+wAAAOEBAAATAAAAAAAAAAAAAAAAAAAAAABb&#10;Q29udGVudF9UeXBlc10ueG1sUEsBAi0AFAAGAAgAAAAhACOyauHXAAAAlAEAAAsAAAAAAAAAAAAA&#10;AAAALAEAAF9yZWxzLy5yZWxzUEsBAi0AFAAGAAgAAAAhAFEmvPwFAgAAEgQAAA4AAAAAAAAAAAAA&#10;AAAALAIAAGRycy9lMm9Eb2MueG1sUEsBAi0AFAAGAAgAAAAhAPXRk1TYAAAAAwEAAA8AAAAAAAAA&#10;AAAAAAAAXQQAAGRycy9kb3ducmV2LnhtbFBLBQYAAAAABAAEAPMAAABiBQAAAAA=&#10;" strokecolor="#4f81bd" strokeweight="2pt">
              <v:shadow on="t" opacity="24903f" mv:blur="40000f" origin=",.5" offset="0,20000emu"/>
              <o:lock v:ext="edit" shapetype="f"/>
            </v:line>
          </w:pict>
        </mc:Fallback>
      </mc:AlternateContent>
    </w:r>
    <w:proofErr w:type="gramStart"/>
    <w:r w:rsidR="00363292" w:rsidRPr="009B44D3">
      <w:rPr>
        <w:b/>
        <w:color w:val="FF3D00"/>
      </w:rPr>
      <w:t>fna.fi</w:t>
    </w:r>
    <w:proofErr w:type="gramEnd"/>
    <w:r w:rsidR="00363292" w:rsidRPr="009B44D3">
      <w:t xml:space="preserve">   </w:t>
    </w:r>
    <w:r w:rsidR="00363292" w:rsidRPr="005E2127">
      <w:rPr>
        <w:color w:val="BFBFBF"/>
      </w:rPr>
      <w:t>|</w:t>
    </w:r>
    <w:r w:rsidR="00363292" w:rsidRPr="009B44D3">
      <w:t xml:space="preserve">   </w:t>
    </w:r>
    <w:r>
      <w:rPr>
        <w:color w:val="324761"/>
      </w:rPr>
      <w:t>Mapping Financial Networks</w:t>
    </w:r>
    <w:r w:rsidR="00363292" w:rsidRPr="009B44D3">
      <w:t xml:space="preserve">   </w:t>
    </w:r>
    <w:r w:rsidR="00363292" w:rsidRPr="005E2127">
      <w:rPr>
        <w:color w:val="BFBFBF"/>
      </w:rPr>
      <w:t>|</w:t>
    </w:r>
    <w:r w:rsidR="00363292" w:rsidRPr="009B44D3">
      <w:t xml:space="preserve">   </w:t>
    </w:r>
    <w:r w:rsidR="00363292" w:rsidRPr="005516E7">
      <w:rPr>
        <w:rStyle w:val="footerinfo"/>
      </w:rPr>
      <w:softHyphen/>
      <w:t>London</w:t>
    </w:r>
    <w:r w:rsidR="005516E7">
      <w:rPr>
        <w:rStyle w:val="footerinfo"/>
      </w:rPr>
      <w:t xml:space="preserve">  </w:t>
    </w:r>
    <w:r w:rsidR="00363292" w:rsidRPr="005516E7">
      <w:rPr>
        <w:rStyle w:val="footerinfo"/>
      </w:rPr>
      <w:t xml:space="preserve">  New York </w:t>
    </w:r>
    <w:r w:rsidR="005516E7">
      <w:rPr>
        <w:rStyle w:val="footerinfo"/>
      </w:rPr>
      <w:t xml:space="preserve"> </w:t>
    </w:r>
    <w:r w:rsidR="00363292" w:rsidRPr="005516E7">
      <w:rPr>
        <w:rStyle w:val="footerinfo"/>
      </w:rPr>
      <w:t xml:space="preserve"> </w:t>
    </w:r>
    <w:r w:rsidR="005516E7">
      <w:rPr>
        <w:rStyle w:val="footerinfo"/>
      </w:rPr>
      <w:t xml:space="preserve"> </w:t>
    </w:r>
    <w:r w:rsidR="00363292" w:rsidRPr="005516E7">
      <w:rPr>
        <w:rStyle w:val="footerinfo"/>
      </w:rPr>
      <w:t>Barcelona</w:t>
    </w:r>
    <w:r w:rsidR="00363292" w:rsidRPr="005516E7">
      <w:rPr>
        <w:rStyle w:val="footertaglineChar"/>
      </w:rPr>
      <w:t xml:space="preserve">   </w:t>
    </w:r>
    <w:r w:rsidR="00363292" w:rsidRPr="005E2127">
      <w:rPr>
        <w:color w:val="BFBFBF"/>
      </w:rPr>
      <w:t>|</w:t>
    </w:r>
    <w:r w:rsidR="00363292" w:rsidRPr="009B44D3">
      <w:t xml:space="preserve">   </w:t>
    </w:r>
    <w:r w:rsidR="00363292" w:rsidRPr="005516E7">
      <w:rPr>
        <w:rStyle w:val="footertwitterChar"/>
      </w:rPr>
      <w:t>@</w:t>
    </w:r>
    <w:proofErr w:type="spellStart"/>
    <w:r w:rsidR="00363292" w:rsidRPr="005516E7">
      <w:rPr>
        <w:rStyle w:val="footertwitterChar"/>
      </w:rPr>
      <w:t>fnalab</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379" w:rsidRDefault="003A2379" w:rsidP="00C87B29">
      <w:r>
        <w:separator/>
      </w:r>
    </w:p>
  </w:footnote>
  <w:footnote w:type="continuationSeparator" w:id="0">
    <w:p w:rsidR="003A2379" w:rsidRDefault="003A2379" w:rsidP="00C87B29">
      <w:r>
        <w:continuationSeparator/>
      </w:r>
    </w:p>
  </w:footnote>
  <w:footnote w:id="1">
    <w:p w:rsidR="003A2379" w:rsidRDefault="003A2379" w:rsidP="003A2379">
      <w:pPr>
        <w:autoSpaceDE w:val="0"/>
        <w:autoSpaceDN w:val="0"/>
        <w:adjustRightInd w:val="0"/>
        <w:rPr>
          <w:rFonts w:cs="CMR10"/>
          <w:sz w:val="20"/>
          <w:szCs w:val="20"/>
        </w:rPr>
      </w:pPr>
      <w:r>
        <w:rPr>
          <w:rStyle w:val="FootnoteReference"/>
        </w:rPr>
        <w:footnoteRef/>
      </w:r>
      <w:r>
        <w:t xml:space="preserve"> </w:t>
      </w:r>
      <w:r w:rsidRPr="00241B9E">
        <w:rPr>
          <w:rFonts w:cs="CMR10"/>
          <w:sz w:val="20"/>
          <w:szCs w:val="20"/>
        </w:rPr>
        <w:t>These tweets in the date/time column were:</w:t>
      </w:r>
    </w:p>
    <w:p w:rsidR="003A2379" w:rsidRDefault="003A2379" w:rsidP="003A2379">
      <w:pPr>
        <w:autoSpaceDE w:val="0"/>
        <w:autoSpaceDN w:val="0"/>
        <w:adjustRightInd w:val="0"/>
        <w:rPr>
          <w:rFonts w:cs="CMSY10"/>
          <w:sz w:val="20"/>
          <w:szCs w:val="20"/>
        </w:rPr>
      </w:pPr>
      <w:r>
        <w:rPr>
          <w:rFonts w:cs="CMR10"/>
          <w:sz w:val="20"/>
          <w:szCs w:val="20"/>
        </w:rPr>
        <w:t xml:space="preserve">{Preclinical Programs </w:t>
      </w:r>
      <w:r w:rsidRPr="00C336D2">
        <w:rPr>
          <w:rStyle w:val="Hyperlink"/>
          <w:sz w:val="20"/>
          <w:szCs w:val="20"/>
        </w:rPr>
        <w:t>http://t.co/s2HPShcedCg</w:t>
      </w:r>
      <w:r>
        <w:rPr>
          <w:rFonts w:cs="CMSY10"/>
          <w:sz w:val="20"/>
          <w:szCs w:val="20"/>
        </w:rPr>
        <w:t>}</w:t>
      </w:r>
      <w:r w:rsidRPr="00241B9E">
        <w:rPr>
          <w:rFonts w:cs="CMR10"/>
          <w:sz w:val="20"/>
          <w:szCs w:val="20"/>
        </w:rPr>
        <w:t xml:space="preserve">, </w:t>
      </w:r>
    </w:p>
    <w:p w:rsidR="003A2379" w:rsidRDefault="003A2379" w:rsidP="003A2379">
      <w:pPr>
        <w:autoSpaceDE w:val="0"/>
        <w:autoSpaceDN w:val="0"/>
        <w:adjustRightInd w:val="0"/>
        <w:rPr>
          <w:rFonts w:cs="CMR10"/>
          <w:sz w:val="20"/>
          <w:szCs w:val="20"/>
        </w:rPr>
      </w:pPr>
      <w:r>
        <w:rPr>
          <w:rFonts w:cs="CMR10"/>
          <w:sz w:val="20"/>
          <w:szCs w:val="20"/>
        </w:rPr>
        <w:t>{</w:t>
      </w:r>
      <w:proofErr w:type="spellStart"/>
      <w:r w:rsidRPr="00241B9E">
        <w:rPr>
          <w:rFonts w:cs="CMR10"/>
          <w:sz w:val="20"/>
          <w:szCs w:val="20"/>
        </w:rPr>
        <w:t>Iclusig</w:t>
      </w:r>
      <w:proofErr w:type="spellEnd"/>
      <w:r w:rsidRPr="00241B9E">
        <w:rPr>
          <w:rFonts w:cs="CMR10"/>
          <w:sz w:val="20"/>
          <w:szCs w:val="20"/>
        </w:rPr>
        <w:t xml:space="preserve"> $14.5M belo</w:t>
      </w:r>
      <w:r>
        <w:rPr>
          <w:rFonts w:cs="CMR10"/>
          <w:sz w:val="20"/>
          <w:szCs w:val="20"/>
        </w:rPr>
        <w:t xml:space="preserve">w con of $16M consensus and our </w:t>
      </w:r>
      <w:r w:rsidRPr="00241B9E">
        <w:rPr>
          <w:rFonts w:cs="CMR10"/>
          <w:sz w:val="20"/>
          <w:szCs w:val="20"/>
        </w:rPr>
        <w:t xml:space="preserve">lower $15M estimate. </w:t>
      </w:r>
      <w:hyperlink r:id="rId1" w:history="1">
        <w:r w:rsidRPr="00F5651A">
          <w:rPr>
            <w:rStyle w:val="Hyperlink"/>
            <w:rFonts w:cs="CMR10"/>
            <w:sz w:val="20"/>
            <w:szCs w:val="20"/>
          </w:rPr>
          <w:t>http://t.co/z0MnNwlzri</w:t>
        </w:r>
        <w:r w:rsidRPr="00F5651A">
          <w:rPr>
            <w:rStyle w:val="Hyperlink"/>
            <w:rFonts w:cs="CMSY10"/>
            <w:sz w:val="20"/>
            <w:szCs w:val="20"/>
          </w:rPr>
          <w:t>g</w:t>
        </w:r>
      </w:hyperlink>
      <w:r>
        <w:rPr>
          <w:rFonts w:cs="CMR10"/>
          <w:sz w:val="20"/>
          <w:szCs w:val="20"/>
        </w:rPr>
        <w:t>}</w:t>
      </w:r>
      <w:r w:rsidRPr="00241B9E">
        <w:rPr>
          <w:rFonts w:cs="CMR10"/>
          <w:sz w:val="20"/>
          <w:szCs w:val="20"/>
        </w:rPr>
        <w:t xml:space="preserve">, </w:t>
      </w:r>
    </w:p>
    <w:p w:rsidR="003A2379" w:rsidRPr="00241B9E" w:rsidRDefault="003A2379" w:rsidP="003A2379">
      <w:pPr>
        <w:autoSpaceDE w:val="0"/>
        <w:autoSpaceDN w:val="0"/>
        <w:adjustRightInd w:val="0"/>
        <w:rPr>
          <w:rFonts w:cs="CMR10"/>
          <w:sz w:val="20"/>
          <w:szCs w:val="20"/>
        </w:rPr>
      </w:pPr>
      <w:r>
        <w:rPr>
          <w:rFonts w:cs="CMR10"/>
          <w:sz w:val="20"/>
          <w:szCs w:val="20"/>
        </w:rPr>
        <w:t xml:space="preserve">{RAISING PRICE TARGET TO $111 </w:t>
      </w:r>
      <w:r w:rsidRPr="00241B9E">
        <w:rPr>
          <w:rFonts w:cs="CMR10"/>
          <w:sz w:val="20"/>
          <w:szCs w:val="20"/>
        </w:rPr>
        <w:t xml:space="preserve">ON POSITIVE AG-120 DATA </w:t>
      </w:r>
      <w:r w:rsidRPr="00C336D2">
        <w:rPr>
          <w:rStyle w:val="Hyperlink"/>
          <w:sz w:val="20"/>
          <w:szCs w:val="20"/>
        </w:rPr>
        <w:t>http://t.co/BAaE5ky6FU</w:t>
      </w:r>
      <w:r w:rsidRPr="00241B9E">
        <w:rPr>
          <w:rFonts w:cs="CMR10"/>
          <w:sz w:val="20"/>
          <w:szCs w:val="20"/>
        </w:rPr>
        <w:t xml:space="preserve">, Five </w:t>
      </w:r>
      <w:proofErr w:type="spellStart"/>
      <w:r w:rsidRPr="00241B9E">
        <w:rPr>
          <w:rFonts w:cs="CMR10"/>
          <w:sz w:val="20"/>
          <w:szCs w:val="20"/>
        </w:rPr>
        <w:t>Incrementals</w:t>
      </w:r>
      <w:proofErr w:type="spellEnd"/>
      <w:r w:rsidRPr="00241B9E">
        <w:rPr>
          <w:rFonts w:cs="CMR10"/>
          <w:sz w:val="20"/>
          <w:szCs w:val="20"/>
        </w:rPr>
        <w:t xml:space="preserve"> From CS</w:t>
      </w:r>
    </w:p>
    <w:p w:rsidR="003A2379" w:rsidRDefault="003A2379" w:rsidP="003A2379">
      <w:pPr>
        <w:autoSpaceDE w:val="0"/>
        <w:autoSpaceDN w:val="0"/>
        <w:adjustRightInd w:val="0"/>
        <w:rPr>
          <w:rFonts w:cs="CMR10"/>
          <w:sz w:val="20"/>
          <w:szCs w:val="20"/>
        </w:rPr>
      </w:pPr>
      <w:proofErr w:type="spellStart"/>
      <w:r w:rsidRPr="00241B9E">
        <w:rPr>
          <w:rFonts w:cs="CMR10"/>
          <w:sz w:val="20"/>
          <w:szCs w:val="20"/>
        </w:rPr>
        <w:t>Healthcare</w:t>
      </w:r>
      <w:r w:rsidRPr="00241B9E">
        <w:rPr>
          <w:rFonts w:cs="CMSY10"/>
          <w:sz w:val="20"/>
          <w:szCs w:val="20"/>
        </w:rPr>
        <w:t>g</w:t>
      </w:r>
      <w:proofErr w:type="spellEnd"/>
      <w:r>
        <w:rPr>
          <w:rFonts w:cs="CMSY10"/>
          <w:sz w:val="20"/>
          <w:szCs w:val="20"/>
        </w:rPr>
        <w:t>}</w:t>
      </w:r>
      <w:r w:rsidRPr="00241B9E">
        <w:rPr>
          <w:rFonts w:cs="CMR10"/>
          <w:sz w:val="20"/>
          <w:szCs w:val="20"/>
        </w:rPr>
        <w:t xml:space="preserve">, </w:t>
      </w:r>
    </w:p>
    <w:p w:rsidR="003A2379" w:rsidRDefault="003A2379" w:rsidP="003A2379">
      <w:pPr>
        <w:autoSpaceDE w:val="0"/>
        <w:autoSpaceDN w:val="0"/>
        <w:adjustRightInd w:val="0"/>
        <w:rPr>
          <w:rFonts w:cs="CMSY10"/>
          <w:sz w:val="20"/>
          <w:szCs w:val="20"/>
        </w:rPr>
      </w:pPr>
      <w:r>
        <w:rPr>
          <w:rFonts w:cs="CMR10"/>
          <w:sz w:val="20"/>
          <w:szCs w:val="20"/>
        </w:rPr>
        <w:t>{</w:t>
      </w:r>
      <w:r w:rsidRPr="00241B9E">
        <w:rPr>
          <w:rFonts w:cs="CMR10"/>
          <w:sz w:val="20"/>
          <w:szCs w:val="20"/>
        </w:rPr>
        <w:t xml:space="preserve">Conference </w:t>
      </w:r>
      <w:r w:rsidRPr="00C336D2">
        <w:rPr>
          <w:rStyle w:val="Hyperlink"/>
          <w:sz w:val="20"/>
          <w:szCs w:val="20"/>
        </w:rPr>
        <w:t>http://t.co/meBzD93aUq</w:t>
      </w:r>
      <w:r w:rsidRPr="00C336D2">
        <w:rPr>
          <w:rStyle w:val="Hyperlink"/>
          <w:rFonts w:cs="CMR10"/>
          <w:sz w:val="20"/>
          <w:szCs w:val="20"/>
        </w:rPr>
        <w:t>g}</w:t>
      </w:r>
      <w:r w:rsidRPr="00C336D2">
        <w:rPr>
          <w:rStyle w:val="Hyperlink"/>
          <w:sz w:val="20"/>
          <w:szCs w:val="20"/>
        </w:rPr>
        <w:t>,</w:t>
      </w:r>
      <w:r w:rsidRPr="00C336D2">
        <w:rPr>
          <w:rFonts w:cs="CMR10"/>
          <w:sz w:val="20"/>
          <w:szCs w:val="20"/>
        </w:rPr>
        <w:t xml:space="preserve"> </w:t>
      </w:r>
    </w:p>
    <w:p w:rsidR="003A2379" w:rsidRDefault="003A2379" w:rsidP="003A2379">
      <w:pPr>
        <w:autoSpaceDE w:val="0"/>
        <w:autoSpaceDN w:val="0"/>
        <w:adjustRightInd w:val="0"/>
        <w:rPr>
          <w:rFonts w:cs="CMSY10"/>
          <w:sz w:val="20"/>
          <w:szCs w:val="20"/>
        </w:rPr>
      </w:pPr>
      <w:r>
        <w:rPr>
          <w:rFonts w:cs="CMR10"/>
          <w:sz w:val="20"/>
          <w:szCs w:val="20"/>
        </w:rPr>
        <w:t>{</w:t>
      </w:r>
      <w:proofErr w:type="spellStart"/>
      <w:r>
        <w:rPr>
          <w:rFonts w:cs="CMR10"/>
          <w:sz w:val="20"/>
          <w:szCs w:val="20"/>
        </w:rPr>
        <w:t>Technicals</w:t>
      </w:r>
      <w:proofErr w:type="spellEnd"/>
      <w:r>
        <w:rPr>
          <w:rFonts w:cs="CMR10"/>
          <w:sz w:val="20"/>
          <w:szCs w:val="20"/>
        </w:rPr>
        <w:t xml:space="preserve"> Imply Near Floor - </w:t>
      </w:r>
      <w:r w:rsidRPr="00241B9E">
        <w:rPr>
          <w:rFonts w:cs="CMR10"/>
          <w:sz w:val="20"/>
          <w:szCs w:val="20"/>
        </w:rPr>
        <w:t xml:space="preserve">Fundamentals Still Attractive </w:t>
      </w:r>
      <w:hyperlink r:id="rId2" w:history="1">
        <w:r w:rsidRPr="00C336D2">
          <w:rPr>
            <w:rStyle w:val="Hyperlink"/>
            <w:sz w:val="20"/>
            <w:szCs w:val="20"/>
          </w:rPr>
          <w:t>http://t.co/8A3bK9Ay8t</w:t>
        </w:r>
        <w:r w:rsidRPr="00C336D2">
          <w:rPr>
            <w:rStyle w:val="Hyperlink"/>
            <w:rFonts w:cs="CMR10"/>
            <w:sz w:val="20"/>
            <w:szCs w:val="20"/>
          </w:rPr>
          <w:t>g</w:t>
        </w:r>
      </w:hyperlink>
      <w:r>
        <w:rPr>
          <w:rFonts w:cs="CMSY10"/>
          <w:sz w:val="20"/>
          <w:szCs w:val="20"/>
        </w:rPr>
        <w:t>}</w:t>
      </w:r>
      <w:r>
        <w:rPr>
          <w:rFonts w:cs="CMR10"/>
          <w:sz w:val="20"/>
          <w:szCs w:val="20"/>
        </w:rPr>
        <w:t>,</w:t>
      </w:r>
    </w:p>
    <w:p w:rsidR="003A2379" w:rsidRPr="00241B9E" w:rsidRDefault="003A2379" w:rsidP="003A2379">
      <w:pPr>
        <w:autoSpaceDE w:val="0"/>
        <w:autoSpaceDN w:val="0"/>
        <w:adjustRightInd w:val="0"/>
        <w:rPr>
          <w:rFonts w:cs="CMR10"/>
          <w:sz w:val="20"/>
          <w:szCs w:val="20"/>
        </w:rPr>
      </w:pPr>
      <w:r>
        <w:rPr>
          <w:rFonts w:cs="CMR10"/>
          <w:sz w:val="20"/>
          <w:szCs w:val="20"/>
        </w:rPr>
        <w:t xml:space="preserve">{We arrive at our $11 </w:t>
      </w:r>
      <w:proofErr w:type="spellStart"/>
      <w:r>
        <w:rPr>
          <w:rFonts w:cs="CMR10"/>
          <w:sz w:val="20"/>
          <w:szCs w:val="20"/>
        </w:rPr>
        <w:t>pt</w:t>
      </w:r>
      <w:proofErr w:type="spellEnd"/>
      <w:r>
        <w:rPr>
          <w:rFonts w:cs="CMR10"/>
          <w:sz w:val="20"/>
          <w:szCs w:val="20"/>
        </w:rPr>
        <w:t xml:space="preserve"> </w:t>
      </w:r>
      <w:r w:rsidRPr="00241B9E">
        <w:rPr>
          <w:rFonts w:cs="CMR10"/>
          <w:sz w:val="20"/>
          <w:szCs w:val="20"/>
        </w:rPr>
        <w:t>applying a 20x multiple to our 2022E EPS estimate of $2.70 and discounting at 30%</w:t>
      </w:r>
    </w:p>
    <w:bookmarkStart w:id="6" w:name="OLE_LINK7"/>
    <w:bookmarkStart w:id="7" w:name="OLE_LINK8"/>
    <w:p w:rsidR="003A2379" w:rsidRPr="00241B9E" w:rsidRDefault="003A2379" w:rsidP="003A2379">
      <w:pPr>
        <w:rPr>
          <w:rFonts w:cs="CMR10"/>
          <w:sz w:val="20"/>
          <w:szCs w:val="20"/>
        </w:rPr>
      </w:pPr>
      <w:r w:rsidRPr="00241B9E">
        <w:rPr>
          <w:rFonts w:cs="CMR10"/>
          <w:sz w:val="20"/>
          <w:szCs w:val="20"/>
        </w:rPr>
        <w:fldChar w:fldCharType="begin"/>
      </w:r>
      <w:r w:rsidRPr="00241B9E">
        <w:rPr>
          <w:rFonts w:cs="CMR10"/>
          <w:sz w:val="20"/>
          <w:szCs w:val="20"/>
        </w:rPr>
        <w:instrText xml:space="preserve"> HYPERLINK "http://t.co/UmH7BKmVj8</w:instrText>
      </w:r>
      <w:r w:rsidRPr="00241B9E">
        <w:rPr>
          <w:rFonts w:cs="CMSY10"/>
          <w:sz w:val="20"/>
          <w:szCs w:val="20"/>
        </w:rPr>
        <w:instrText>g</w:instrText>
      </w:r>
      <w:r w:rsidRPr="00241B9E">
        <w:rPr>
          <w:rFonts w:cs="CMR10"/>
          <w:sz w:val="20"/>
          <w:szCs w:val="20"/>
        </w:rPr>
        <w:instrText xml:space="preserve">" </w:instrText>
      </w:r>
      <w:r w:rsidRPr="00241B9E">
        <w:rPr>
          <w:rFonts w:cs="CMR10"/>
          <w:sz w:val="20"/>
          <w:szCs w:val="20"/>
        </w:rPr>
        <w:fldChar w:fldCharType="separate"/>
      </w:r>
      <w:r w:rsidRPr="00241B9E">
        <w:rPr>
          <w:rStyle w:val="Hyperlink"/>
          <w:rFonts w:cs="CMR10"/>
          <w:sz w:val="20"/>
          <w:szCs w:val="20"/>
        </w:rPr>
        <w:t>http://t.co/UmH7BKmVj8</w:t>
      </w:r>
      <w:r w:rsidRPr="00241B9E">
        <w:rPr>
          <w:rStyle w:val="Hyperlink"/>
          <w:rFonts w:cs="CMSY10"/>
          <w:sz w:val="20"/>
          <w:szCs w:val="20"/>
        </w:rPr>
        <w:t>g</w:t>
      </w:r>
      <w:r w:rsidRPr="00241B9E">
        <w:rPr>
          <w:rFonts w:cs="CMR10"/>
          <w:sz w:val="20"/>
          <w:szCs w:val="20"/>
        </w:rPr>
        <w:fldChar w:fldCharType="end"/>
      </w:r>
      <w:bookmarkEnd w:id="6"/>
      <w:bookmarkEnd w:id="7"/>
      <w:proofErr w:type="gramStart"/>
      <w:r>
        <w:rPr>
          <w:rFonts w:cs="CMR10"/>
          <w:sz w:val="20"/>
          <w:szCs w:val="20"/>
        </w:rPr>
        <w:t xml:space="preserve"> }</w:t>
      </w:r>
      <w:proofErr w:type="gramEnd"/>
      <w:r w:rsidRPr="00241B9E">
        <w:rPr>
          <w:rFonts w:cs="CMR10"/>
          <w:sz w:val="20"/>
          <w:szCs w:val="20"/>
        </w:rPr>
        <w:t>.</w:t>
      </w:r>
    </w:p>
    <w:p w:rsidR="003A2379" w:rsidRDefault="003A2379" w:rsidP="003A2379">
      <w:pPr>
        <w:autoSpaceDE w:val="0"/>
        <w:autoSpaceDN w:val="0"/>
        <w:adjustRightInd w:val="0"/>
        <w:rPr>
          <w:rFonts w:cs="CMR10"/>
          <w:sz w:val="20"/>
          <w:szCs w:val="20"/>
        </w:rPr>
      </w:pPr>
    </w:p>
    <w:p w:rsidR="003A2379" w:rsidRDefault="003A2379" w:rsidP="003A2379">
      <w:pPr>
        <w:pStyle w:val="FootnoteText"/>
      </w:pPr>
    </w:p>
  </w:footnote>
  <w:footnote w:id="2">
    <w:p w:rsidR="003A2379" w:rsidRPr="00241B9E" w:rsidRDefault="003A2379" w:rsidP="003A2379">
      <w:pPr>
        <w:autoSpaceDE w:val="0"/>
        <w:autoSpaceDN w:val="0"/>
        <w:adjustRightInd w:val="0"/>
        <w:rPr>
          <w:rFonts w:cs="CMR10"/>
          <w:sz w:val="20"/>
          <w:szCs w:val="20"/>
        </w:rPr>
      </w:pPr>
      <w:r>
        <w:rPr>
          <w:rStyle w:val="FootnoteReference"/>
        </w:rPr>
        <w:footnoteRef/>
      </w:r>
      <w:r>
        <w:t xml:space="preserve"> </w:t>
      </w:r>
      <w:r w:rsidRPr="00241B9E">
        <w:rPr>
          <w:rFonts w:cs="CMR10"/>
          <w:sz w:val="20"/>
          <w:szCs w:val="20"/>
        </w:rPr>
        <w:t xml:space="preserve">These tickers are </w:t>
      </w:r>
      <w:proofErr w:type="spellStart"/>
      <w:r w:rsidRPr="00241B9E">
        <w:rPr>
          <w:rFonts w:cs="CMR10"/>
          <w:sz w:val="20"/>
          <w:szCs w:val="20"/>
        </w:rPr>
        <w:t>brkb</w:t>
      </w:r>
      <w:proofErr w:type="spellEnd"/>
      <w:r w:rsidRPr="00241B9E">
        <w:rPr>
          <w:rFonts w:cs="CMR10"/>
          <w:sz w:val="20"/>
          <w:szCs w:val="20"/>
        </w:rPr>
        <w:t xml:space="preserve">, </w:t>
      </w:r>
      <w:proofErr w:type="spellStart"/>
      <w:r w:rsidRPr="00241B9E">
        <w:rPr>
          <w:rFonts w:cs="CMR10"/>
          <w:sz w:val="20"/>
          <w:szCs w:val="20"/>
        </w:rPr>
        <w:t>wpo</w:t>
      </w:r>
      <w:proofErr w:type="spellEnd"/>
      <w:r w:rsidRPr="00241B9E">
        <w:rPr>
          <w:rFonts w:cs="CMR10"/>
          <w:sz w:val="20"/>
          <w:szCs w:val="20"/>
        </w:rPr>
        <w:t xml:space="preserve">, </w:t>
      </w:r>
      <w:proofErr w:type="spellStart"/>
      <w:r w:rsidRPr="00241B9E">
        <w:rPr>
          <w:rFonts w:cs="CMR10"/>
          <w:sz w:val="20"/>
          <w:szCs w:val="20"/>
        </w:rPr>
        <w:t>nyx</w:t>
      </w:r>
      <w:proofErr w:type="spellEnd"/>
      <w:r w:rsidRPr="00241B9E">
        <w:rPr>
          <w:rFonts w:cs="CMR10"/>
          <w:sz w:val="20"/>
          <w:szCs w:val="20"/>
        </w:rPr>
        <w:t xml:space="preserve">, </w:t>
      </w:r>
      <w:proofErr w:type="spellStart"/>
      <w:r w:rsidRPr="00241B9E">
        <w:rPr>
          <w:rFonts w:cs="CMR10"/>
          <w:sz w:val="20"/>
          <w:szCs w:val="20"/>
        </w:rPr>
        <w:t>pbra</w:t>
      </w:r>
      <w:proofErr w:type="spellEnd"/>
      <w:r w:rsidRPr="00241B9E">
        <w:rPr>
          <w:rFonts w:cs="CMR10"/>
          <w:sz w:val="20"/>
          <w:szCs w:val="20"/>
        </w:rPr>
        <w:t xml:space="preserve">, </w:t>
      </w:r>
      <w:proofErr w:type="spellStart"/>
      <w:r w:rsidRPr="00241B9E">
        <w:rPr>
          <w:rFonts w:cs="CMR10"/>
          <w:sz w:val="20"/>
          <w:szCs w:val="20"/>
        </w:rPr>
        <w:t>gnk</w:t>
      </w:r>
      <w:proofErr w:type="spellEnd"/>
      <w:r w:rsidRPr="00241B9E">
        <w:rPr>
          <w:rFonts w:cs="CMR10"/>
          <w:sz w:val="20"/>
          <w:szCs w:val="20"/>
        </w:rPr>
        <w:t xml:space="preserve">, </w:t>
      </w:r>
      <w:proofErr w:type="spellStart"/>
      <w:r w:rsidRPr="00241B9E">
        <w:rPr>
          <w:rFonts w:cs="CMR10"/>
          <w:sz w:val="20"/>
          <w:szCs w:val="20"/>
        </w:rPr>
        <w:t>peugy</w:t>
      </w:r>
      <w:proofErr w:type="spellEnd"/>
      <w:r w:rsidRPr="00241B9E">
        <w:rPr>
          <w:rFonts w:cs="CMR10"/>
          <w:sz w:val="20"/>
          <w:szCs w:val="20"/>
        </w:rPr>
        <w:t xml:space="preserve">, pc, </w:t>
      </w:r>
      <w:proofErr w:type="spellStart"/>
      <w:r w:rsidRPr="00241B9E">
        <w:rPr>
          <w:rFonts w:cs="CMR10"/>
          <w:sz w:val="20"/>
          <w:szCs w:val="20"/>
        </w:rPr>
        <w:t>si</w:t>
      </w:r>
      <w:proofErr w:type="spellEnd"/>
      <w:r w:rsidRPr="00241B9E">
        <w:rPr>
          <w:rFonts w:cs="CMR10"/>
          <w:sz w:val="20"/>
          <w:szCs w:val="20"/>
        </w:rPr>
        <w:t xml:space="preserve">, </w:t>
      </w:r>
      <w:proofErr w:type="spellStart"/>
      <w:r w:rsidRPr="00241B9E">
        <w:rPr>
          <w:rFonts w:cs="CMR10"/>
          <w:sz w:val="20"/>
          <w:szCs w:val="20"/>
        </w:rPr>
        <w:t>ubs</w:t>
      </w:r>
      <w:proofErr w:type="spellEnd"/>
      <w:r w:rsidRPr="00241B9E">
        <w:rPr>
          <w:rFonts w:cs="CMR10"/>
          <w:sz w:val="20"/>
          <w:szCs w:val="20"/>
        </w:rPr>
        <w:t xml:space="preserve">, </w:t>
      </w:r>
      <w:proofErr w:type="spellStart"/>
      <w:r w:rsidRPr="00241B9E">
        <w:rPr>
          <w:rFonts w:cs="CMR10"/>
          <w:sz w:val="20"/>
          <w:szCs w:val="20"/>
        </w:rPr>
        <w:t>rdsa</w:t>
      </w:r>
      <w:proofErr w:type="spellEnd"/>
      <w:r w:rsidRPr="00241B9E">
        <w:rPr>
          <w:rFonts w:cs="CMR10"/>
          <w:sz w:val="20"/>
          <w:szCs w:val="20"/>
        </w:rPr>
        <w:t xml:space="preserve">, </w:t>
      </w:r>
      <w:proofErr w:type="spellStart"/>
      <w:r w:rsidRPr="00241B9E">
        <w:rPr>
          <w:rFonts w:cs="CMR10"/>
          <w:sz w:val="20"/>
          <w:szCs w:val="20"/>
        </w:rPr>
        <w:t>bnjaf</w:t>
      </w:r>
      <w:proofErr w:type="spellEnd"/>
      <w:r w:rsidRPr="00241B9E">
        <w:rPr>
          <w:rFonts w:cs="CMR10"/>
          <w:sz w:val="20"/>
          <w:szCs w:val="20"/>
        </w:rPr>
        <w:t xml:space="preserve">, </w:t>
      </w:r>
      <w:proofErr w:type="spellStart"/>
      <w:r w:rsidRPr="00241B9E">
        <w:rPr>
          <w:rFonts w:cs="CMR10"/>
          <w:sz w:val="20"/>
          <w:szCs w:val="20"/>
        </w:rPr>
        <w:t>jrcc</w:t>
      </w:r>
      <w:proofErr w:type="spellEnd"/>
      <w:r w:rsidRPr="00241B9E">
        <w:rPr>
          <w:rFonts w:cs="CMR10"/>
          <w:sz w:val="20"/>
          <w:szCs w:val="20"/>
        </w:rPr>
        <w:t xml:space="preserve">, </w:t>
      </w:r>
      <w:proofErr w:type="spellStart"/>
      <w:r w:rsidRPr="00241B9E">
        <w:rPr>
          <w:rFonts w:cs="CMR10"/>
          <w:sz w:val="20"/>
          <w:szCs w:val="20"/>
        </w:rPr>
        <w:t>pcxcq</w:t>
      </w:r>
      <w:proofErr w:type="spellEnd"/>
      <w:r w:rsidRPr="00241B9E">
        <w:rPr>
          <w:rFonts w:cs="CMR10"/>
          <w:sz w:val="20"/>
          <w:szCs w:val="20"/>
        </w:rPr>
        <w:t>,</w:t>
      </w:r>
      <w:r>
        <w:rPr>
          <w:rFonts w:cs="CMR10"/>
          <w:sz w:val="20"/>
          <w:szCs w:val="20"/>
        </w:rPr>
        <w:t xml:space="preserve"> </w:t>
      </w:r>
      <w:proofErr w:type="spellStart"/>
      <w:r w:rsidRPr="00241B9E">
        <w:rPr>
          <w:rFonts w:cs="CMR10"/>
          <w:sz w:val="20"/>
          <w:szCs w:val="20"/>
        </w:rPr>
        <w:t>vrus</w:t>
      </w:r>
      <w:proofErr w:type="spellEnd"/>
      <w:r w:rsidRPr="00241B9E">
        <w:rPr>
          <w:rFonts w:cs="CMR10"/>
          <w:sz w:val="20"/>
          <w:szCs w:val="20"/>
        </w:rPr>
        <w:t xml:space="preserve">, </w:t>
      </w:r>
      <w:proofErr w:type="spellStart"/>
      <w:r w:rsidRPr="00241B9E">
        <w:rPr>
          <w:rFonts w:cs="CMR10"/>
          <w:sz w:val="20"/>
          <w:szCs w:val="20"/>
        </w:rPr>
        <w:t>rnftf</w:t>
      </w:r>
      <w:proofErr w:type="spellEnd"/>
      <w:r w:rsidRPr="00241B9E">
        <w:rPr>
          <w:rFonts w:cs="CMR10"/>
          <w:sz w:val="20"/>
          <w:szCs w:val="20"/>
        </w:rPr>
        <w:t xml:space="preserve">, </w:t>
      </w:r>
      <w:proofErr w:type="spellStart"/>
      <w:r w:rsidRPr="00241B9E">
        <w:rPr>
          <w:rFonts w:cs="CMR10"/>
          <w:sz w:val="20"/>
          <w:szCs w:val="20"/>
        </w:rPr>
        <w:t>barc</w:t>
      </w:r>
      <w:proofErr w:type="spellEnd"/>
      <w:r w:rsidRPr="00241B9E">
        <w:rPr>
          <w:rFonts w:cs="CMR10"/>
          <w:sz w:val="20"/>
          <w:szCs w:val="20"/>
        </w:rPr>
        <w:t xml:space="preserve">, </w:t>
      </w:r>
      <w:proofErr w:type="spellStart"/>
      <w:r w:rsidRPr="00241B9E">
        <w:rPr>
          <w:rFonts w:cs="CMR10"/>
          <w:sz w:val="20"/>
          <w:szCs w:val="20"/>
        </w:rPr>
        <w:t>bcspra</w:t>
      </w:r>
      <w:proofErr w:type="spellEnd"/>
      <w:r w:rsidRPr="00241B9E">
        <w:rPr>
          <w:rFonts w:cs="CMR10"/>
          <w:sz w:val="20"/>
          <w:szCs w:val="20"/>
        </w:rPr>
        <w:t xml:space="preserve">, </w:t>
      </w:r>
      <w:proofErr w:type="spellStart"/>
      <w:r w:rsidRPr="00241B9E">
        <w:rPr>
          <w:rFonts w:cs="CMR10"/>
          <w:sz w:val="20"/>
          <w:szCs w:val="20"/>
        </w:rPr>
        <w:t>brka</w:t>
      </w:r>
      <w:proofErr w:type="spellEnd"/>
      <w:r w:rsidRPr="00241B9E">
        <w:rPr>
          <w:rFonts w:cs="CMR10"/>
          <w:sz w:val="20"/>
          <w:szCs w:val="20"/>
        </w:rPr>
        <w:t xml:space="preserve">, </w:t>
      </w:r>
      <w:proofErr w:type="spellStart"/>
      <w:r w:rsidRPr="00241B9E">
        <w:rPr>
          <w:rFonts w:cs="CMR10"/>
          <w:sz w:val="20"/>
          <w:szCs w:val="20"/>
        </w:rPr>
        <w:t>alo</w:t>
      </w:r>
      <w:proofErr w:type="spellEnd"/>
      <w:r w:rsidRPr="00241B9E">
        <w:rPr>
          <w:rFonts w:cs="CMR10"/>
          <w:sz w:val="20"/>
          <w:szCs w:val="20"/>
        </w:rPr>
        <w:t xml:space="preserve">, </w:t>
      </w:r>
      <w:proofErr w:type="spellStart"/>
      <w:r w:rsidRPr="00241B9E">
        <w:rPr>
          <w:rFonts w:cs="CMR10"/>
          <w:sz w:val="20"/>
          <w:szCs w:val="20"/>
        </w:rPr>
        <w:t>rr</w:t>
      </w:r>
      <w:proofErr w:type="spellEnd"/>
      <w:r w:rsidRPr="00241B9E">
        <w:rPr>
          <w:rFonts w:cs="CMR10"/>
          <w:sz w:val="20"/>
          <w:szCs w:val="20"/>
        </w:rPr>
        <w:t xml:space="preserve">, </w:t>
      </w:r>
      <w:proofErr w:type="spellStart"/>
      <w:r w:rsidRPr="00241B9E">
        <w:rPr>
          <w:rFonts w:cs="CMR10"/>
          <w:sz w:val="20"/>
          <w:szCs w:val="20"/>
        </w:rPr>
        <w:t>spm</w:t>
      </w:r>
      <w:proofErr w:type="spellEnd"/>
      <w:r w:rsidRPr="00241B9E">
        <w:rPr>
          <w:rFonts w:cs="CMR10"/>
          <w:sz w:val="20"/>
          <w:szCs w:val="20"/>
        </w:rPr>
        <w:t xml:space="preserve">, </w:t>
      </w:r>
      <w:proofErr w:type="spellStart"/>
      <w:r w:rsidRPr="00241B9E">
        <w:rPr>
          <w:rFonts w:cs="CMR10"/>
          <w:sz w:val="20"/>
          <w:szCs w:val="20"/>
        </w:rPr>
        <w:t>rmg</w:t>
      </w:r>
      <w:proofErr w:type="spellEnd"/>
      <w:r w:rsidRPr="00241B9E">
        <w:rPr>
          <w:rFonts w:cs="CMR10"/>
          <w:sz w:val="20"/>
          <w:szCs w:val="20"/>
        </w:rPr>
        <w:t xml:space="preserve">, </w:t>
      </w:r>
      <w:proofErr w:type="spellStart"/>
      <w:r w:rsidRPr="00241B9E">
        <w:rPr>
          <w:rFonts w:cs="CMR10"/>
          <w:sz w:val="20"/>
          <w:szCs w:val="20"/>
        </w:rPr>
        <w:t>nvtk</w:t>
      </w:r>
      <w:proofErr w:type="spellEnd"/>
      <w:r w:rsidRPr="00241B9E">
        <w:rPr>
          <w:rFonts w:cs="CMR10"/>
          <w:sz w:val="20"/>
          <w:szCs w:val="20"/>
        </w:rPr>
        <w:t xml:space="preserve">, </w:t>
      </w:r>
      <w:proofErr w:type="spellStart"/>
      <w:r w:rsidRPr="00241B9E">
        <w:rPr>
          <w:rFonts w:cs="CMR10"/>
          <w:sz w:val="20"/>
          <w:szCs w:val="20"/>
        </w:rPr>
        <w:t>sber</w:t>
      </w:r>
      <w:proofErr w:type="spellEnd"/>
      <w:r w:rsidRPr="00241B9E">
        <w:rPr>
          <w:rFonts w:cs="CMR10"/>
          <w:sz w:val="20"/>
          <w:szCs w:val="20"/>
        </w:rPr>
        <w:t xml:space="preserve">, </w:t>
      </w:r>
      <w:proofErr w:type="spellStart"/>
      <w:r w:rsidRPr="00241B9E">
        <w:rPr>
          <w:rFonts w:cs="CMR10"/>
          <w:sz w:val="20"/>
          <w:szCs w:val="20"/>
        </w:rPr>
        <w:t>rb</w:t>
      </w:r>
      <w:proofErr w:type="spellEnd"/>
      <w:r w:rsidRPr="00241B9E">
        <w:rPr>
          <w:rFonts w:cs="CMR10"/>
          <w:sz w:val="20"/>
          <w:szCs w:val="20"/>
        </w:rPr>
        <w:t xml:space="preserve">, </w:t>
      </w:r>
      <w:proofErr w:type="spellStart"/>
      <w:r w:rsidRPr="00241B9E">
        <w:rPr>
          <w:rFonts w:cs="CMR10"/>
          <w:sz w:val="20"/>
          <w:szCs w:val="20"/>
        </w:rPr>
        <w:t>medaa</w:t>
      </w:r>
      <w:proofErr w:type="spellEnd"/>
      <w:r w:rsidRPr="00241B9E">
        <w:rPr>
          <w:rFonts w:cs="CMR10"/>
          <w:sz w:val="20"/>
          <w:szCs w:val="20"/>
        </w:rPr>
        <w:t xml:space="preserve">, </w:t>
      </w:r>
      <w:proofErr w:type="spellStart"/>
      <w:r w:rsidRPr="00241B9E">
        <w:rPr>
          <w:rFonts w:cs="CMR10"/>
          <w:sz w:val="20"/>
          <w:szCs w:val="20"/>
        </w:rPr>
        <w:t>novob</w:t>
      </w:r>
      <w:proofErr w:type="spellEnd"/>
      <w:r w:rsidRPr="00241B9E">
        <w:rPr>
          <w:rFonts w:cs="CMR10"/>
          <w:sz w:val="20"/>
          <w:szCs w:val="20"/>
        </w:rPr>
        <w:t>, X7955,</w:t>
      </w:r>
      <w:r>
        <w:rPr>
          <w:rFonts w:cs="CMR10"/>
          <w:sz w:val="20"/>
          <w:szCs w:val="20"/>
        </w:rPr>
        <w:t xml:space="preserve"> </w:t>
      </w:r>
      <w:r w:rsidRPr="00241B9E">
        <w:rPr>
          <w:rFonts w:cs="CMR10"/>
          <w:sz w:val="20"/>
          <w:szCs w:val="20"/>
        </w:rPr>
        <w:t xml:space="preserve">X7013, X6, X400, X0, X830, X5, X930, </w:t>
      </w:r>
      <w:proofErr w:type="spellStart"/>
      <w:r w:rsidRPr="00241B9E">
        <w:rPr>
          <w:rFonts w:cs="CMR10"/>
          <w:sz w:val="20"/>
          <w:szCs w:val="20"/>
        </w:rPr>
        <w:t>hsba</w:t>
      </w:r>
      <w:proofErr w:type="spellEnd"/>
      <w:r w:rsidRPr="00241B9E">
        <w:rPr>
          <w:rFonts w:cs="CMR10"/>
          <w:sz w:val="20"/>
          <w:szCs w:val="20"/>
        </w:rPr>
        <w:t xml:space="preserve">, </w:t>
      </w:r>
      <w:proofErr w:type="spellStart"/>
      <w:r w:rsidRPr="00241B9E">
        <w:rPr>
          <w:rFonts w:cs="CMR10"/>
          <w:sz w:val="20"/>
          <w:szCs w:val="20"/>
        </w:rPr>
        <w:t>husiprz</w:t>
      </w:r>
      <w:proofErr w:type="spellEnd"/>
      <w:r w:rsidRPr="00241B9E">
        <w:rPr>
          <w:rFonts w:cs="CMR10"/>
          <w:sz w:val="20"/>
          <w:szCs w:val="20"/>
        </w:rPr>
        <w:t xml:space="preserve">, bb, X830.1, X6400, X5930, </w:t>
      </w:r>
      <w:proofErr w:type="spellStart"/>
      <w:r w:rsidRPr="00241B9E">
        <w:rPr>
          <w:rFonts w:cs="CMR10"/>
          <w:sz w:val="20"/>
          <w:szCs w:val="20"/>
        </w:rPr>
        <w:t>gazp</w:t>
      </w:r>
      <w:proofErr w:type="spellEnd"/>
      <w:r w:rsidRPr="00241B9E">
        <w:rPr>
          <w:rFonts w:cs="CMR10"/>
          <w:sz w:val="20"/>
          <w:szCs w:val="20"/>
        </w:rPr>
        <w:t>,</w:t>
      </w:r>
      <w:r>
        <w:rPr>
          <w:rFonts w:cs="CMR10"/>
          <w:sz w:val="20"/>
          <w:szCs w:val="20"/>
        </w:rPr>
        <w:t xml:space="preserve"> </w:t>
      </w:r>
      <w:proofErr w:type="spellStart"/>
      <w:r w:rsidRPr="00241B9E">
        <w:rPr>
          <w:rFonts w:cs="CMR10"/>
          <w:sz w:val="20"/>
          <w:szCs w:val="20"/>
        </w:rPr>
        <w:t>gercl</w:t>
      </w:r>
      <w:proofErr w:type="spellEnd"/>
      <w:r w:rsidRPr="00241B9E">
        <w:rPr>
          <w:rFonts w:cs="CMR10"/>
          <w:sz w:val="20"/>
          <w:szCs w:val="20"/>
        </w:rPr>
        <w:t xml:space="preserve">, </w:t>
      </w:r>
      <w:proofErr w:type="spellStart"/>
      <w:r w:rsidRPr="00241B9E">
        <w:rPr>
          <w:rFonts w:cs="CMR10"/>
          <w:sz w:val="20"/>
          <w:szCs w:val="20"/>
        </w:rPr>
        <w:t>jwa</w:t>
      </w:r>
      <w:proofErr w:type="spellEnd"/>
      <w:r w:rsidRPr="00241B9E">
        <w:rPr>
          <w:rFonts w:cs="CMR10"/>
          <w:sz w:val="20"/>
          <w:szCs w:val="20"/>
        </w:rPr>
        <w:t xml:space="preserve">, </w:t>
      </w:r>
      <w:proofErr w:type="spellStart"/>
      <w:r w:rsidRPr="00241B9E">
        <w:rPr>
          <w:rFonts w:cs="CMR10"/>
          <w:sz w:val="20"/>
          <w:szCs w:val="20"/>
        </w:rPr>
        <w:t>rrs</w:t>
      </w:r>
      <w:proofErr w:type="spellEnd"/>
      <w:r w:rsidRPr="00241B9E">
        <w:rPr>
          <w:rFonts w:cs="CMR10"/>
          <w:sz w:val="20"/>
          <w:szCs w:val="20"/>
        </w:rPr>
        <w:t xml:space="preserve">, </w:t>
      </w:r>
      <w:proofErr w:type="spellStart"/>
      <w:r w:rsidRPr="00241B9E">
        <w:rPr>
          <w:rFonts w:cs="CMR10"/>
          <w:sz w:val="20"/>
          <w:szCs w:val="20"/>
        </w:rPr>
        <w:t>kfn</w:t>
      </w:r>
      <w:proofErr w:type="spellEnd"/>
      <w:r w:rsidRPr="00241B9E">
        <w:rPr>
          <w:rFonts w:cs="CMR10"/>
          <w:sz w:val="20"/>
          <w:szCs w:val="20"/>
        </w:rPr>
        <w:t xml:space="preserve">, </w:t>
      </w:r>
      <w:proofErr w:type="spellStart"/>
      <w:r w:rsidRPr="00241B9E">
        <w:rPr>
          <w:rFonts w:cs="CMR10"/>
          <w:sz w:val="20"/>
          <w:szCs w:val="20"/>
        </w:rPr>
        <w:t>dmp</w:t>
      </w:r>
      <w:proofErr w:type="spellEnd"/>
      <w:r w:rsidRPr="00241B9E">
        <w:rPr>
          <w:rFonts w:cs="CMR10"/>
          <w:sz w:val="20"/>
          <w:szCs w:val="20"/>
        </w:rPr>
        <w:t xml:space="preserve">, </w:t>
      </w:r>
      <w:proofErr w:type="spellStart"/>
      <w:r w:rsidRPr="00241B9E">
        <w:rPr>
          <w:rFonts w:cs="CMR10"/>
          <w:sz w:val="20"/>
          <w:szCs w:val="20"/>
        </w:rPr>
        <w:t>bacprz</w:t>
      </w:r>
      <w:proofErr w:type="spellEnd"/>
      <w:r w:rsidRPr="00241B9E">
        <w:rPr>
          <w:rFonts w:cs="CMR10"/>
          <w:sz w:val="20"/>
          <w:szCs w:val="20"/>
        </w:rPr>
        <w:t xml:space="preserve">, </w:t>
      </w:r>
      <w:proofErr w:type="spellStart"/>
      <w:r w:rsidRPr="00241B9E">
        <w:rPr>
          <w:rFonts w:cs="CMR10"/>
          <w:sz w:val="20"/>
          <w:szCs w:val="20"/>
        </w:rPr>
        <w:t>hubb</w:t>
      </w:r>
      <w:proofErr w:type="spellEnd"/>
      <w:r w:rsidRPr="00241B9E">
        <w:rPr>
          <w:rFonts w:cs="CMR10"/>
          <w:sz w:val="20"/>
          <w:szCs w:val="20"/>
        </w:rPr>
        <w:t xml:space="preserve">, </w:t>
      </w:r>
      <w:proofErr w:type="spellStart"/>
      <w:r w:rsidRPr="00241B9E">
        <w:rPr>
          <w:rFonts w:cs="CMR10"/>
          <w:sz w:val="20"/>
          <w:szCs w:val="20"/>
        </w:rPr>
        <w:t>gwp</w:t>
      </w:r>
      <w:proofErr w:type="spellEnd"/>
      <w:r w:rsidRPr="00241B9E">
        <w:rPr>
          <w:rFonts w:cs="CMR10"/>
          <w:sz w:val="20"/>
          <w:szCs w:val="20"/>
        </w:rPr>
        <w:t xml:space="preserve">, </w:t>
      </w:r>
      <w:proofErr w:type="spellStart"/>
      <w:r w:rsidRPr="00241B9E">
        <w:rPr>
          <w:rFonts w:cs="CMR10"/>
          <w:sz w:val="20"/>
          <w:szCs w:val="20"/>
        </w:rPr>
        <w:t>rbgpy</w:t>
      </w:r>
      <w:proofErr w:type="spellEnd"/>
      <w:r w:rsidRPr="00241B9E">
        <w:rPr>
          <w:rFonts w:cs="CMR10"/>
          <w:sz w:val="20"/>
          <w:szCs w:val="20"/>
        </w:rPr>
        <w:t xml:space="preserve">, </w:t>
      </w:r>
      <w:proofErr w:type="spellStart"/>
      <w:r w:rsidRPr="00241B9E">
        <w:rPr>
          <w:rFonts w:cs="CMR10"/>
          <w:sz w:val="20"/>
          <w:szCs w:val="20"/>
        </w:rPr>
        <w:t>hsfcprb</w:t>
      </w:r>
      <w:proofErr w:type="spellEnd"/>
      <w:r w:rsidRPr="00241B9E">
        <w:rPr>
          <w:rFonts w:cs="CMR10"/>
          <w:sz w:val="20"/>
          <w:szCs w:val="20"/>
        </w:rPr>
        <w:t xml:space="preserve">, </w:t>
      </w:r>
      <w:proofErr w:type="spellStart"/>
      <w:r w:rsidRPr="00241B9E">
        <w:rPr>
          <w:rFonts w:cs="CMR10"/>
          <w:sz w:val="20"/>
          <w:szCs w:val="20"/>
        </w:rPr>
        <w:t>fcea</w:t>
      </w:r>
      <w:proofErr w:type="spellEnd"/>
      <w:r w:rsidRPr="00241B9E">
        <w:rPr>
          <w:rFonts w:cs="CMR10"/>
          <w:sz w:val="20"/>
          <w:szCs w:val="20"/>
        </w:rPr>
        <w:t xml:space="preserve">, </w:t>
      </w:r>
      <w:proofErr w:type="spellStart"/>
      <w:r w:rsidRPr="00241B9E">
        <w:rPr>
          <w:rFonts w:cs="CMR10"/>
          <w:sz w:val="20"/>
          <w:szCs w:val="20"/>
        </w:rPr>
        <w:t>evkif</w:t>
      </w:r>
      <w:proofErr w:type="spellEnd"/>
      <w:r w:rsidRPr="00241B9E">
        <w:rPr>
          <w:rFonts w:cs="CMR10"/>
          <w:sz w:val="20"/>
          <w:szCs w:val="20"/>
        </w:rPr>
        <w:t xml:space="preserve">, and </w:t>
      </w:r>
      <w:proofErr w:type="spellStart"/>
      <w:r w:rsidRPr="00241B9E">
        <w:rPr>
          <w:rFonts w:cs="CMR10"/>
          <w:sz w:val="20"/>
          <w:szCs w:val="20"/>
        </w:rPr>
        <w:t>bbplk</w:t>
      </w:r>
      <w:proofErr w:type="spellEnd"/>
      <w:r w:rsidRPr="00241B9E">
        <w:rPr>
          <w:rFonts w:cs="CMR10"/>
          <w:sz w:val="20"/>
          <w:szCs w:val="20"/>
        </w:rPr>
        <w:t>.</w:t>
      </w:r>
    </w:p>
    <w:p w:rsidR="003A2379" w:rsidRPr="00241B9E" w:rsidRDefault="003A2379" w:rsidP="003A2379">
      <w:pPr>
        <w:autoSpaceDE w:val="0"/>
        <w:autoSpaceDN w:val="0"/>
        <w:adjustRightInd w:val="0"/>
        <w:rPr>
          <w:rFonts w:cs="CMR10"/>
          <w:sz w:val="20"/>
          <w:szCs w:val="20"/>
        </w:rPr>
      </w:pPr>
    </w:p>
    <w:p w:rsidR="003A2379" w:rsidRDefault="003A2379" w:rsidP="003A237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92" w:rsidRDefault="002B7CE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323850</wp:posOffset>
              </wp:positionV>
              <wp:extent cx="2514600" cy="9144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914400"/>
                      </a:xfrm>
                      <a:prstGeom prst="rect">
                        <a:avLst/>
                      </a:prstGeom>
                      <a:noFill/>
                      <a:ln>
                        <a:noFill/>
                      </a:ln>
                      <a:effectLst/>
                      <a:extLst>
                        <a:ext uri="{C572A759-6A51-4108-AA02-DFA0A04FC94B}">
                          <ma14:wrappingTextBoxFlag xmlns:ma14="http://schemas.microsoft.com/office/mac/drawingml/2011/main"/>
                        </a:ext>
                      </a:extLst>
                    </wps:spPr>
                    <wps:txbx>
                      <w:txbxContent>
                        <w:p w:rsidR="00363292" w:rsidRDefault="00363292" w:rsidP="00363292">
                          <w:pPr>
                            <w:pStyle w:val="date"/>
                          </w:pPr>
                          <w:r>
                            <w:fldChar w:fldCharType="begin"/>
                          </w:r>
                          <w:r>
                            <w:instrText xml:space="preserve"> TIME \@ "d MMMM yyyy" </w:instrText>
                          </w:r>
                          <w:r>
                            <w:fldChar w:fldCharType="separate"/>
                          </w:r>
                          <w:r w:rsidR="003A2379">
                            <w:rPr>
                              <w:noProof/>
                            </w:rPr>
                            <w:t>4 March 2015</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252pt;margin-top:25.5pt;width:19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HAiYgCAAAkBQAADgAAAGRycy9lMm9Eb2MueG1srFRdT9swFH2ftP9g+b0kqVIKESkKRZ0mVYAE&#10;E8+u67TR4o/ZLgmb9t937LRQ2B6maS/Oje/x9b3nnuuLy1625ElY12hV0uwkpUQorteN2pT0y8Ni&#10;dEaJ80ytWauVKOmzcPRy9vHDRWcKMdZb3a6FJQiiXNGZkm69N0WSOL4VkrkTbYSCs9ZWMo9fu0nW&#10;lnWILttknKanSaft2ljNhXPYvR6cdBbj17Xg/raunfCkLSly83G1cV2FNZldsGJjmdk2fJ8G+4cs&#10;JGsULn0Jdc08Izvb/BZKNtxqp2t/wrVMdF03XMQaUE2WvqvmfsuMiLWAHGdeaHL/Lyy/ebqzpFmX&#10;dEqJYhItehC9J1e6J9PATmdcAdC9Acz32EaXY6XOLDX/6gBJjjDDAQd0YKOvrQxf1ElwEA14fiE9&#10;3MKxOZ5k+WkKF4fvPMtz2CHo62ljnf8ktCTBKKlFU2MG7Gnp/AA9QMJlSi+atsU+K1r1ZgMxhx0R&#10;lTGcZgUygRmQIafYtR/zyXRcTSfno9Nqko3yLD0bVVU6Hl0vqrRK88X8PL/6iSwky/Kig34M1BeY&#10;A0OLlm32vQruv2uWZPyNtLMsiaIa6kPgSMkh1Uj5wHIg3/erHsBgrvT6Ga2yepC6M3zRgLYlc/6O&#10;WWgbTGNe/S2WutVdSfXeomSr7fc/7Qc8qoCXklBrSd23HbOCkvazghhj1zBc8ScHc7jDHntWxx61&#10;k3ONcczwMhgezYD37cGsrZaPGOsq3AoXUxx3l9QfzLkfJhjPAhdVFUEYJ8P8Ut0bflBoEMVD/8is&#10;2SvHg74bfZgqVrwT0IAdFFPtvK6bqK5XVvdSxyjGZuyfjTDrx/8R9fq4zX4BAAD//wMAUEsDBBQA&#10;BgAIAAAAIQC95Mro3QAAAAoBAAAPAAAAZHJzL2Rvd25yZXYueG1sTI/BTsMwEETvSPyDtZW4UbuI&#10;IhriVAipAiEupP0AN3bjKPHaiu0k8PUsJzjtrHY0+6bcL25gkxlj51HCZi2AGWy87rCVcDoebh+B&#10;xaRQq8GjkfBlIuyr66tSFdrP+GmmOrWMQjAWSoJNKRScx8Yap+LaB4N0u/jRqUTr2HI9qpnC3cDv&#10;hHjgTnVIH6wK5sWapq+zk3DIr29u+uY5vNfNjDb0+fTRS3mzWp6fgCWzpD8z/OITOlTEdPYZdWSD&#10;hK24py6JxIYmGXZCkDiTc7cVwKuS/69Q/QAAAP//AwBQSwECLQAUAAYACAAAACEA5JnDwPsAAADh&#10;AQAAEwAAAAAAAAAAAAAAAAAAAAAAW0NvbnRlbnRfVHlwZXNdLnhtbFBLAQItABQABgAIAAAAIQAj&#10;smrh1wAAAJQBAAALAAAAAAAAAAAAAAAAACwBAABfcmVscy8ucmVsc1BLAQItABQABgAIAAAAIQBe&#10;UcCJiAIAACQFAAAOAAAAAAAAAAAAAAAAACwCAABkcnMvZTJvRG9jLnhtbFBLAQItABQABgAIAAAA&#10;IQC95Mro3QAAAAoBAAAPAAAAAAAAAAAAAAAAAOAEAABkcnMvZG93bnJldi54bWxQSwUGAAAAAAQA&#10;BADzAAAA6gUAAAAA&#10;" filled="f" stroked="f">
              <v:path arrowok="t"/>
              <v:textbox>
                <w:txbxContent>
                  <w:p w:rsidR="00363292" w:rsidRDefault="00363292" w:rsidP="00363292">
                    <w:pPr>
                      <w:pStyle w:val="date"/>
                    </w:pPr>
                    <w:r>
                      <w:fldChar w:fldCharType="begin"/>
                    </w:r>
                    <w:r>
                      <w:instrText xml:space="preserve"> TIME \@ "d MMMM yyyy" </w:instrText>
                    </w:r>
                    <w:r>
                      <w:fldChar w:fldCharType="separate"/>
                    </w:r>
                    <w:r w:rsidR="003A2379">
                      <w:rPr>
                        <w:noProof/>
                      </w:rPr>
                      <w:t>4 March 2015</w:t>
                    </w:r>
                    <w:r>
                      <w:fldChar w:fldCharType="end"/>
                    </w:r>
                  </w:p>
                </w:txbxContent>
              </v:textbox>
            </v:shape>
          </w:pict>
        </mc:Fallback>
      </mc:AlternateContent>
    </w:r>
    <w:r>
      <w:rPr>
        <w:noProof/>
      </w:rPr>
      <w:drawing>
        <wp:anchor distT="0" distB="0" distL="114300" distR="114300" simplePos="0" relativeHeight="251656192" behindDoc="0" locked="0" layoutInCell="1" allowOverlap="1">
          <wp:simplePos x="0" y="0"/>
          <wp:positionH relativeFrom="margin">
            <wp:posOffset>-685165</wp:posOffset>
          </wp:positionH>
          <wp:positionV relativeFrom="margin">
            <wp:posOffset>-1000125</wp:posOffset>
          </wp:positionV>
          <wp:extent cx="914400" cy="679450"/>
          <wp:effectExtent l="0" t="0" r="0" b="635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margin">
            <wp:posOffset>-591820</wp:posOffset>
          </wp:positionH>
          <wp:positionV relativeFrom="margin">
            <wp:posOffset>-1370965</wp:posOffset>
          </wp:positionV>
          <wp:extent cx="782320" cy="309880"/>
          <wp:effectExtent l="0" t="0" r="508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2320" cy="309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4D9"/>
    <w:multiLevelType w:val="hybridMultilevel"/>
    <w:tmpl w:val="6E2C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93514"/>
    <w:multiLevelType w:val="hybridMultilevel"/>
    <w:tmpl w:val="D992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D00EF"/>
    <w:multiLevelType w:val="hybridMultilevel"/>
    <w:tmpl w:val="006A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025FF"/>
    <w:multiLevelType w:val="hybridMultilevel"/>
    <w:tmpl w:val="5BE24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79"/>
    <w:rsid w:val="00006C7C"/>
    <w:rsid w:val="002A30CF"/>
    <w:rsid w:val="002B7CE9"/>
    <w:rsid w:val="002C6044"/>
    <w:rsid w:val="00363292"/>
    <w:rsid w:val="003A2379"/>
    <w:rsid w:val="003E0ED6"/>
    <w:rsid w:val="005516E7"/>
    <w:rsid w:val="00562402"/>
    <w:rsid w:val="005E2127"/>
    <w:rsid w:val="006560D9"/>
    <w:rsid w:val="008E4405"/>
    <w:rsid w:val="009B44D3"/>
    <w:rsid w:val="00A83652"/>
    <w:rsid w:val="00C37D07"/>
    <w:rsid w:val="00C87B29"/>
    <w:rsid w:val="00CE0C8E"/>
    <w:rsid w:val="00D77510"/>
    <w:rsid w:val="00DA6678"/>
    <w:rsid w:val="00EA27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79"/>
    <w:pPr>
      <w:jc w:val="both"/>
    </w:pPr>
    <w:rPr>
      <w:rFonts w:ascii="Calibri" w:eastAsiaTheme="minorHAnsi" w:hAnsi="Calibri"/>
      <w:sz w:val="24"/>
      <w:szCs w:val="24"/>
    </w:rPr>
  </w:style>
  <w:style w:type="paragraph" w:styleId="Heading1">
    <w:name w:val="heading 1"/>
    <w:basedOn w:val="Normal"/>
    <w:next w:val="Normal"/>
    <w:link w:val="Heading1Char"/>
    <w:uiPriority w:val="9"/>
    <w:qFormat/>
    <w:rsid w:val="002B7CE9"/>
    <w:pPr>
      <w:keepNext/>
      <w:spacing w:before="240" w:after="60"/>
      <w:outlineLvl w:val="0"/>
    </w:pPr>
    <w:rPr>
      <w:rFonts w:asciiTheme="majorHAnsi" w:eastAsiaTheme="majorEastAsia" w:hAnsiTheme="majorHAnsi" w:cstheme="majorBidi"/>
      <w:caps/>
      <w:kern w:val="32"/>
      <w:sz w:val="28"/>
      <w:szCs w:val="32"/>
    </w:rPr>
  </w:style>
  <w:style w:type="paragraph" w:styleId="Heading2">
    <w:name w:val="heading 2"/>
    <w:basedOn w:val="Normal"/>
    <w:next w:val="Normal"/>
    <w:link w:val="Heading2Char"/>
    <w:uiPriority w:val="9"/>
    <w:unhideWhenUsed/>
    <w:qFormat/>
    <w:rsid w:val="002B7CE9"/>
    <w:pPr>
      <w:keepNext/>
      <w:spacing w:before="240" w:after="60"/>
      <w:outlineLvl w:val="1"/>
    </w:pPr>
    <w:rPr>
      <w:rFonts w:asciiTheme="majorHAnsi" w:eastAsiaTheme="majorEastAsia" w:hAnsiTheme="majorHAnsi" w:cstheme="majorBidi"/>
      <w:bCs/>
      <w:iCs/>
      <w:sz w:val="28"/>
      <w:szCs w:val="28"/>
    </w:rPr>
  </w:style>
  <w:style w:type="paragraph" w:styleId="Heading3">
    <w:name w:val="heading 3"/>
    <w:basedOn w:val="Normal"/>
    <w:next w:val="Normal"/>
    <w:link w:val="Heading3Char"/>
    <w:uiPriority w:val="9"/>
    <w:unhideWhenUsed/>
    <w:qFormat/>
    <w:rsid w:val="003A2379"/>
    <w:pPr>
      <w:keepNext/>
      <w:keepLines/>
      <w:spacing w:before="360" w:after="240"/>
      <w:outlineLvl w:val="2"/>
    </w:pPr>
    <w:rPr>
      <w:rFonts w:asciiTheme="minorHAnsi" w:eastAsiaTheme="majorEastAsia" w:hAnsiTheme="minorHAnsi"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B29"/>
    <w:pPr>
      <w:tabs>
        <w:tab w:val="center" w:pos="4320"/>
        <w:tab w:val="right" w:pos="8640"/>
      </w:tabs>
    </w:pPr>
  </w:style>
  <w:style w:type="character" w:customStyle="1" w:styleId="HeaderChar">
    <w:name w:val="Header Char"/>
    <w:link w:val="Header"/>
    <w:uiPriority w:val="99"/>
    <w:rsid w:val="00C87B29"/>
    <w:rPr>
      <w:rFonts w:ascii="Calibri" w:hAnsi="Calibri"/>
    </w:rPr>
  </w:style>
  <w:style w:type="paragraph" w:styleId="Footer">
    <w:name w:val="footer"/>
    <w:basedOn w:val="Normal"/>
    <w:link w:val="FooterChar"/>
    <w:uiPriority w:val="99"/>
    <w:unhideWhenUsed/>
    <w:rsid w:val="00C87B29"/>
    <w:pPr>
      <w:tabs>
        <w:tab w:val="center" w:pos="4320"/>
        <w:tab w:val="right" w:pos="8640"/>
      </w:tabs>
    </w:pPr>
  </w:style>
  <w:style w:type="character" w:customStyle="1" w:styleId="FooterChar">
    <w:name w:val="Footer Char"/>
    <w:link w:val="Footer"/>
    <w:uiPriority w:val="99"/>
    <w:rsid w:val="00C87B29"/>
    <w:rPr>
      <w:rFonts w:ascii="Calibri" w:hAnsi="Calibri"/>
    </w:rPr>
  </w:style>
  <w:style w:type="paragraph" w:styleId="BalloonText">
    <w:name w:val="Balloon Text"/>
    <w:basedOn w:val="Normal"/>
    <w:link w:val="BalloonTextChar"/>
    <w:uiPriority w:val="99"/>
    <w:semiHidden/>
    <w:unhideWhenUsed/>
    <w:rsid w:val="00C87B29"/>
    <w:rPr>
      <w:rFonts w:ascii="Lucida Grande" w:hAnsi="Lucida Grande" w:cs="Lucida Grande"/>
      <w:sz w:val="18"/>
      <w:szCs w:val="18"/>
    </w:rPr>
  </w:style>
  <w:style w:type="character" w:customStyle="1" w:styleId="BalloonTextChar">
    <w:name w:val="Balloon Text Char"/>
    <w:link w:val="BalloonText"/>
    <w:uiPriority w:val="99"/>
    <w:semiHidden/>
    <w:rsid w:val="00C87B29"/>
    <w:rPr>
      <w:rFonts w:ascii="Lucida Grande" w:hAnsi="Lucida Grande" w:cs="Lucida Grande"/>
      <w:sz w:val="18"/>
      <w:szCs w:val="18"/>
    </w:rPr>
  </w:style>
  <w:style w:type="paragraph" w:customStyle="1" w:styleId="date">
    <w:name w:val="date"/>
    <w:basedOn w:val="Normal"/>
    <w:qFormat/>
    <w:rsid w:val="00363292"/>
    <w:pPr>
      <w:jc w:val="right"/>
    </w:pPr>
    <w:rPr>
      <w:b/>
      <w:bCs/>
      <w:caps/>
      <w:spacing w:val="20"/>
      <w:sz w:val="18"/>
      <w:szCs w:val="18"/>
    </w:rPr>
  </w:style>
  <w:style w:type="paragraph" w:customStyle="1" w:styleId="footertagline">
    <w:name w:val="footer tagline"/>
    <w:basedOn w:val="Footer"/>
    <w:link w:val="footertaglineChar"/>
    <w:qFormat/>
    <w:rsid w:val="005516E7"/>
    <w:pPr>
      <w:ind w:left="-720"/>
    </w:pPr>
    <w:rPr>
      <w:spacing w:val="-5"/>
      <w:szCs w:val="18"/>
    </w:rPr>
  </w:style>
  <w:style w:type="character" w:customStyle="1" w:styleId="footertaglineChar">
    <w:name w:val="footer tagline Char"/>
    <w:link w:val="footertagline"/>
    <w:rsid w:val="005516E7"/>
    <w:rPr>
      <w:rFonts w:ascii="Calibri" w:hAnsi="Calibri"/>
      <w:spacing w:val="-5"/>
      <w:sz w:val="22"/>
      <w:szCs w:val="18"/>
    </w:rPr>
  </w:style>
  <w:style w:type="character" w:customStyle="1" w:styleId="footerinfo">
    <w:name w:val="footer info"/>
    <w:link w:val="footerinfoPara"/>
    <w:uiPriority w:val="1"/>
    <w:qFormat/>
    <w:rsid w:val="005516E7"/>
    <w:rPr>
      <w:rFonts w:ascii="Calibri" w:hAnsi="Calibri"/>
      <w:b/>
      <w:bCs/>
      <w:caps/>
      <w:smallCaps w:val="0"/>
      <w:spacing w:val="20"/>
      <w:sz w:val="18"/>
      <w:szCs w:val="18"/>
    </w:rPr>
  </w:style>
  <w:style w:type="paragraph" w:customStyle="1" w:styleId="footerinfoPara">
    <w:name w:val="footer info Para"/>
    <w:basedOn w:val="footertagline"/>
    <w:link w:val="footerinfo"/>
    <w:uiPriority w:val="1"/>
    <w:rsid w:val="005516E7"/>
    <w:rPr>
      <w:b/>
      <w:bCs/>
      <w:caps/>
      <w:spacing w:val="20"/>
      <w:sz w:val="18"/>
    </w:rPr>
  </w:style>
  <w:style w:type="paragraph" w:customStyle="1" w:styleId="footertwitter">
    <w:name w:val="footer twitter"/>
    <w:basedOn w:val="footertagline"/>
    <w:link w:val="footertwitterChar"/>
    <w:qFormat/>
    <w:rsid w:val="005516E7"/>
    <w:rPr>
      <w:spacing w:val="0"/>
      <w:sz w:val="18"/>
    </w:rPr>
  </w:style>
  <w:style w:type="character" w:customStyle="1" w:styleId="footertwitterChar">
    <w:name w:val="footer twitter Char"/>
    <w:link w:val="footertwitter"/>
    <w:rsid w:val="005516E7"/>
    <w:rPr>
      <w:rFonts w:ascii="Calibri" w:hAnsi="Calibri"/>
      <w:spacing w:val="-5"/>
      <w:sz w:val="18"/>
      <w:szCs w:val="18"/>
    </w:rPr>
  </w:style>
  <w:style w:type="paragraph" w:styleId="BodyText">
    <w:name w:val="Body Text"/>
    <w:basedOn w:val="Normal"/>
    <w:link w:val="BodyTextChar"/>
    <w:rsid w:val="00EA2777"/>
    <w:pPr>
      <w:spacing w:after="240"/>
    </w:pPr>
    <w:rPr>
      <w:rFonts w:eastAsia="Times New Roman"/>
    </w:rPr>
  </w:style>
  <w:style w:type="character" w:customStyle="1" w:styleId="BodyTextChar">
    <w:name w:val="Body Text Char"/>
    <w:link w:val="BodyText"/>
    <w:rsid w:val="00EA2777"/>
    <w:rPr>
      <w:rFonts w:ascii="Calibri" w:eastAsia="Times New Roman" w:hAnsi="Calibri" w:cs="Times New Roman"/>
      <w:sz w:val="22"/>
    </w:rPr>
  </w:style>
  <w:style w:type="paragraph" w:styleId="Closing">
    <w:name w:val="Closing"/>
    <w:basedOn w:val="Normal"/>
    <w:link w:val="ClosingChar"/>
    <w:rsid w:val="00D77510"/>
    <w:pPr>
      <w:spacing w:before="300" w:after="480" w:line="288" w:lineRule="auto"/>
    </w:pPr>
    <w:rPr>
      <w:rFonts w:ascii="Cambria" w:eastAsia="Times New Roman" w:hAnsi="Cambria"/>
      <w:sz w:val="18"/>
    </w:rPr>
  </w:style>
  <w:style w:type="character" w:customStyle="1" w:styleId="ClosingChar">
    <w:name w:val="Closing Char"/>
    <w:link w:val="Closing"/>
    <w:rsid w:val="00D77510"/>
    <w:rPr>
      <w:rFonts w:eastAsia="Times New Roman" w:cs="Times New Roman"/>
      <w:sz w:val="18"/>
    </w:rPr>
  </w:style>
  <w:style w:type="paragraph" w:customStyle="1" w:styleId="Name">
    <w:name w:val="Name"/>
    <w:basedOn w:val="Normal"/>
    <w:qFormat/>
    <w:rsid w:val="00D77510"/>
    <w:pPr>
      <w:contextualSpacing/>
    </w:pPr>
    <w:rPr>
      <w:rFonts w:ascii="Cambria" w:eastAsia="Times New Roman" w:hAnsi="Cambria"/>
      <w:b/>
      <w:spacing w:val="2"/>
      <w:sz w:val="18"/>
    </w:rPr>
  </w:style>
  <w:style w:type="paragraph" w:customStyle="1" w:styleId="Address">
    <w:name w:val="Address"/>
    <w:basedOn w:val="Name"/>
    <w:rsid w:val="00D77510"/>
    <w:pPr>
      <w:spacing w:after="200"/>
    </w:pPr>
    <w:rPr>
      <w:b w:val="0"/>
      <w:spacing w:val="0"/>
    </w:rPr>
  </w:style>
  <w:style w:type="paragraph" w:customStyle="1" w:styleId="Name-Italics">
    <w:name w:val="Name - Italics"/>
    <w:basedOn w:val="Name"/>
    <w:qFormat/>
    <w:rsid w:val="00D77510"/>
    <w:rPr>
      <w:b w:val="0"/>
      <w:i/>
      <w:spacing w:val="0"/>
    </w:rPr>
  </w:style>
  <w:style w:type="paragraph" w:customStyle="1" w:styleId="ProposalDate">
    <w:name w:val="Proposal Date"/>
    <w:basedOn w:val="BodyText"/>
    <w:rsid w:val="00D77510"/>
    <w:pPr>
      <w:spacing w:before="600"/>
    </w:pPr>
  </w:style>
  <w:style w:type="paragraph" w:customStyle="1" w:styleId="Author">
    <w:name w:val="Author"/>
    <w:basedOn w:val="Normal"/>
    <w:qFormat/>
    <w:rsid w:val="002B7CE9"/>
    <w:pPr>
      <w:spacing w:before="300" w:after="40"/>
      <w:outlineLvl w:val="0"/>
    </w:pPr>
    <w:rPr>
      <w:rFonts w:eastAsia="Times New Roman"/>
      <w:b/>
      <w:bCs/>
      <w:caps/>
      <w:spacing w:val="28"/>
    </w:rPr>
  </w:style>
  <w:style w:type="character" w:customStyle="1" w:styleId="Heading1Char">
    <w:name w:val="Heading 1 Char"/>
    <w:basedOn w:val="DefaultParagraphFont"/>
    <w:link w:val="Heading1"/>
    <w:uiPriority w:val="9"/>
    <w:rsid w:val="002B7CE9"/>
    <w:rPr>
      <w:rFonts w:asciiTheme="majorHAnsi" w:eastAsiaTheme="majorEastAsia" w:hAnsiTheme="majorHAnsi" w:cstheme="majorBidi"/>
      <w:caps/>
      <w:kern w:val="32"/>
      <w:sz w:val="28"/>
      <w:szCs w:val="32"/>
    </w:rPr>
  </w:style>
  <w:style w:type="character" w:customStyle="1" w:styleId="Heading2Char">
    <w:name w:val="Heading 2 Char"/>
    <w:basedOn w:val="DefaultParagraphFont"/>
    <w:link w:val="Heading2"/>
    <w:uiPriority w:val="9"/>
    <w:rsid w:val="002B7CE9"/>
    <w:rPr>
      <w:rFonts w:asciiTheme="majorHAnsi" w:eastAsiaTheme="majorEastAsia" w:hAnsiTheme="majorHAnsi" w:cstheme="majorBidi"/>
      <w:bCs/>
      <w:iCs/>
      <w:sz w:val="28"/>
      <w:szCs w:val="28"/>
    </w:rPr>
  </w:style>
  <w:style w:type="paragraph" w:styleId="Title">
    <w:name w:val="Title"/>
    <w:basedOn w:val="Normal"/>
    <w:next w:val="Normal"/>
    <w:link w:val="TitleChar"/>
    <w:uiPriority w:val="10"/>
    <w:qFormat/>
    <w:rsid w:val="002B7CE9"/>
    <w:pPr>
      <w:pBdr>
        <w:bottom w:val="single" w:sz="4" w:space="1" w:color="auto"/>
      </w:pBdr>
      <w:spacing w:before="240" w:after="480"/>
      <w:jc w:val="left"/>
      <w:outlineLvl w:val="0"/>
    </w:pPr>
    <w:rPr>
      <w:rFonts w:asciiTheme="majorHAnsi" w:eastAsiaTheme="majorEastAsia" w:hAnsiTheme="majorHAnsi" w:cstheme="majorBidi"/>
      <w:bCs/>
      <w:caps/>
      <w:kern w:val="28"/>
      <w:sz w:val="40"/>
      <w:szCs w:val="32"/>
    </w:rPr>
  </w:style>
  <w:style w:type="character" w:customStyle="1" w:styleId="TitleChar">
    <w:name w:val="Title Char"/>
    <w:basedOn w:val="DefaultParagraphFont"/>
    <w:link w:val="Title"/>
    <w:uiPriority w:val="10"/>
    <w:rsid w:val="002B7CE9"/>
    <w:rPr>
      <w:rFonts w:asciiTheme="majorHAnsi" w:eastAsiaTheme="majorEastAsia" w:hAnsiTheme="majorHAnsi" w:cstheme="majorBidi"/>
      <w:bCs/>
      <w:caps/>
      <w:kern w:val="28"/>
      <w:sz w:val="40"/>
      <w:szCs w:val="32"/>
    </w:rPr>
  </w:style>
  <w:style w:type="character" w:customStyle="1" w:styleId="Heading3Char">
    <w:name w:val="Heading 3 Char"/>
    <w:basedOn w:val="DefaultParagraphFont"/>
    <w:link w:val="Heading3"/>
    <w:uiPriority w:val="9"/>
    <w:rsid w:val="003A2379"/>
    <w:rPr>
      <w:rFonts w:asciiTheme="minorHAnsi" w:eastAsiaTheme="majorEastAsia" w:hAnsiTheme="minorHAnsi" w:cstheme="majorBidi"/>
      <w:bCs/>
      <w:sz w:val="24"/>
      <w:szCs w:val="24"/>
      <w:u w:val="single"/>
    </w:rPr>
  </w:style>
  <w:style w:type="character" w:styleId="Hyperlink">
    <w:name w:val="Hyperlink"/>
    <w:basedOn w:val="DefaultParagraphFont"/>
    <w:uiPriority w:val="99"/>
    <w:unhideWhenUsed/>
    <w:rsid w:val="003A2379"/>
    <w:rPr>
      <w:color w:val="0000FF" w:themeColor="hyperlink"/>
      <w:u w:val="single"/>
    </w:rPr>
  </w:style>
  <w:style w:type="character" w:styleId="FollowedHyperlink">
    <w:name w:val="FollowedHyperlink"/>
    <w:basedOn w:val="DefaultParagraphFont"/>
    <w:uiPriority w:val="99"/>
    <w:semiHidden/>
    <w:unhideWhenUsed/>
    <w:rsid w:val="003A2379"/>
    <w:rPr>
      <w:color w:val="800080" w:themeColor="followedHyperlink"/>
      <w:u w:val="single"/>
    </w:rPr>
  </w:style>
  <w:style w:type="paragraph" w:styleId="FootnoteText">
    <w:name w:val="footnote text"/>
    <w:basedOn w:val="Normal"/>
    <w:link w:val="FootnoteTextChar"/>
    <w:uiPriority w:val="99"/>
    <w:unhideWhenUsed/>
    <w:rsid w:val="003A2379"/>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3A237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3A2379"/>
    <w:rPr>
      <w:vertAlign w:val="superscript"/>
    </w:rPr>
  </w:style>
  <w:style w:type="table" w:styleId="TableGrid">
    <w:name w:val="Table Grid"/>
    <w:basedOn w:val="TableNormal"/>
    <w:uiPriority w:val="39"/>
    <w:rsid w:val="003A237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A2379"/>
    <w:rPr>
      <w:sz w:val="18"/>
      <w:szCs w:val="18"/>
    </w:rPr>
  </w:style>
  <w:style w:type="paragraph" w:styleId="CommentText">
    <w:name w:val="annotation text"/>
    <w:basedOn w:val="Normal"/>
    <w:link w:val="CommentTextChar"/>
    <w:uiPriority w:val="99"/>
    <w:semiHidden/>
    <w:unhideWhenUsed/>
    <w:rsid w:val="003A2379"/>
  </w:style>
  <w:style w:type="character" w:customStyle="1" w:styleId="CommentTextChar">
    <w:name w:val="Comment Text Char"/>
    <w:basedOn w:val="DefaultParagraphFont"/>
    <w:link w:val="CommentText"/>
    <w:uiPriority w:val="99"/>
    <w:semiHidden/>
    <w:rsid w:val="003A2379"/>
    <w:rPr>
      <w:rFonts w:ascii="Calibri" w:eastAsiaTheme="minorHAnsi" w:hAnsi="Calibri"/>
      <w:sz w:val="24"/>
      <w:szCs w:val="24"/>
    </w:rPr>
  </w:style>
  <w:style w:type="paragraph" w:styleId="CommentSubject">
    <w:name w:val="annotation subject"/>
    <w:basedOn w:val="CommentText"/>
    <w:next w:val="CommentText"/>
    <w:link w:val="CommentSubjectChar"/>
    <w:uiPriority w:val="99"/>
    <w:semiHidden/>
    <w:unhideWhenUsed/>
    <w:rsid w:val="003A2379"/>
    <w:rPr>
      <w:b/>
      <w:bCs/>
      <w:sz w:val="20"/>
      <w:szCs w:val="20"/>
    </w:rPr>
  </w:style>
  <w:style w:type="character" w:customStyle="1" w:styleId="CommentSubjectChar">
    <w:name w:val="Comment Subject Char"/>
    <w:basedOn w:val="CommentTextChar"/>
    <w:link w:val="CommentSubject"/>
    <w:uiPriority w:val="99"/>
    <w:semiHidden/>
    <w:rsid w:val="003A2379"/>
    <w:rPr>
      <w:rFonts w:ascii="Calibri" w:eastAsiaTheme="minorHAnsi" w:hAnsi="Calibri"/>
      <w:b/>
      <w:bCs/>
      <w:sz w:val="24"/>
      <w:szCs w:val="24"/>
    </w:rPr>
  </w:style>
  <w:style w:type="paragraph" w:styleId="ListParagraph">
    <w:name w:val="List Paragraph"/>
    <w:basedOn w:val="Normal"/>
    <w:uiPriority w:val="34"/>
    <w:qFormat/>
    <w:rsid w:val="003A2379"/>
    <w:pPr>
      <w:ind w:left="720"/>
      <w:contextualSpacing/>
    </w:pPr>
  </w:style>
  <w:style w:type="paragraph" w:styleId="Revision">
    <w:name w:val="Revision"/>
    <w:hidden/>
    <w:uiPriority w:val="99"/>
    <w:semiHidden/>
    <w:rsid w:val="003A2379"/>
    <w:rPr>
      <w:rFonts w:ascii="Times New Roman" w:eastAsiaTheme="minorHAnsi" w:hAnsi="Times New Roman"/>
      <w:sz w:val="24"/>
      <w:szCs w:val="24"/>
    </w:rPr>
  </w:style>
  <w:style w:type="paragraph" w:styleId="Caption">
    <w:name w:val="caption"/>
    <w:basedOn w:val="Normal"/>
    <w:next w:val="Normal"/>
    <w:uiPriority w:val="35"/>
    <w:unhideWhenUsed/>
    <w:qFormat/>
    <w:rsid w:val="003A2379"/>
    <w:pPr>
      <w:spacing w:after="200"/>
    </w:pPr>
    <w:rPr>
      <w:b/>
      <w:bCs/>
      <w:szCs w:val="18"/>
    </w:rPr>
  </w:style>
  <w:style w:type="character" w:styleId="PageNumber">
    <w:name w:val="page number"/>
    <w:basedOn w:val="DefaultParagraphFont"/>
    <w:uiPriority w:val="99"/>
    <w:semiHidden/>
    <w:unhideWhenUsed/>
    <w:rsid w:val="003A2379"/>
  </w:style>
  <w:style w:type="table" w:styleId="LightShading-Accent3">
    <w:name w:val="Light Shading Accent 3"/>
    <w:basedOn w:val="TableNormal"/>
    <w:uiPriority w:val="60"/>
    <w:rsid w:val="003A2379"/>
    <w:rPr>
      <w:rFonts w:asciiTheme="minorHAnsi" w:eastAsiaTheme="minorHAnsi"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A237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79"/>
    <w:pPr>
      <w:jc w:val="both"/>
    </w:pPr>
    <w:rPr>
      <w:rFonts w:ascii="Calibri" w:eastAsiaTheme="minorHAnsi" w:hAnsi="Calibri"/>
      <w:sz w:val="24"/>
      <w:szCs w:val="24"/>
    </w:rPr>
  </w:style>
  <w:style w:type="paragraph" w:styleId="Heading1">
    <w:name w:val="heading 1"/>
    <w:basedOn w:val="Normal"/>
    <w:next w:val="Normal"/>
    <w:link w:val="Heading1Char"/>
    <w:uiPriority w:val="9"/>
    <w:qFormat/>
    <w:rsid w:val="002B7CE9"/>
    <w:pPr>
      <w:keepNext/>
      <w:spacing w:before="240" w:after="60"/>
      <w:outlineLvl w:val="0"/>
    </w:pPr>
    <w:rPr>
      <w:rFonts w:asciiTheme="majorHAnsi" w:eastAsiaTheme="majorEastAsia" w:hAnsiTheme="majorHAnsi" w:cstheme="majorBidi"/>
      <w:caps/>
      <w:kern w:val="32"/>
      <w:sz w:val="28"/>
      <w:szCs w:val="32"/>
    </w:rPr>
  </w:style>
  <w:style w:type="paragraph" w:styleId="Heading2">
    <w:name w:val="heading 2"/>
    <w:basedOn w:val="Normal"/>
    <w:next w:val="Normal"/>
    <w:link w:val="Heading2Char"/>
    <w:uiPriority w:val="9"/>
    <w:unhideWhenUsed/>
    <w:qFormat/>
    <w:rsid w:val="002B7CE9"/>
    <w:pPr>
      <w:keepNext/>
      <w:spacing w:before="240" w:after="60"/>
      <w:outlineLvl w:val="1"/>
    </w:pPr>
    <w:rPr>
      <w:rFonts w:asciiTheme="majorHAnsi" w:eastAsiaTheme="majorEastAsia" w:hAnsiTheme="majorHAnsi" w:cstheme="majorBidi"/>
      <w:bCs/>
      <w:iCs/>
      <w:sz w:val="28"/>
      <w:szCs w:val="28"/>
    </w:rPr>
  </w:style>
  <w:style w:type="paragraph" w:styleId="Heading3">
    <w:name w:val="heading 3"/>
    <w:basedOn w:val="Normal"/>
    <w:next w:val="Normal"/>
    <w:link w:val="Heading3Char"/>
    <w:uiPriority w:val="9"/>
    <w:unhideWhenUsed/>
    <w:qFormat/>
    <w:rsid w:val="003A2379"/>
    <w:pPr>
      <w:keepNext/>
      <w:keepLines/>
      <w:spacing w:before="360" w:after="240"/>
      <w:outlineLvl w:val="2"/>
    </w:pPr>
    <w:rPr>
      <w:rFonts w:asciiTheme="minorHAnsi" w:eastAsiaTheme="majorEastAsia" w:hAnsiTheme="minorHAnsi"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B29"/>
    <w:pPr>
      <w:tabs>
        <w:tab w:val="center" w:pos="4320"/>
        <w:tab w:val="right" w:pos="8640"/>
      </w:tabs>
    </w:pPr>
  </w:style>
  <w:style w:type="character" w:customStyle="1" w:styleId="HeaderChar">
    <w:name w:val="Header Char"/>
    <w:link w:val="Header"/>
    <w:uiPriority w:val="99"/>
    <w:rsid w:val="00C87B29"/>
    <w:rPr>
      <w:rFonts w:ascii="Calibri" w:hAnsi="Calibri"/>
    </w:rPr>
  </w:style>
  <w:style w:type="paragraph" w:styleId="Footer">
    <w:name w:val="footer"/>
    <w:basedOn w:val="Normal"/>
    <w:link w:val="FooterChar"/>
    <w:uiPriority w:val="99"/>
    <w:unhideWhenUsed/>
    <w:rsid w:val="00C87B29"/>
    <w:pPr>
      <w:tabs>
        <w:tab w:val="center" w:pos="4320"/>
        <w:tab w:val="right" w:pos="8640"/>
      </w:tabs>
    </w:pPr>
  </w:style>
  <w:style w:type="character" w:customStyle="1" w:styleId="FooterChar">
    <w:name w:val="Footer Char"/>
    <w:link w:val="Footer"/>
    <w:uiPriority w:val="99"/>
    <w:rsid w:val="00C87B29"/>
    <w:rPr>
      <w:rFonts w:ascii="Calibri" w:hAnsi="Calibri"/>
    </w:rPr>
  </w:style>
  <w:style w:type="paragraph" w:styleId="BalloonText">
    <w:name w:val="Balloon Text"/>
    <w:basedOn w:val="Normal"/>
    <w:link w:val="BalloonTextChar"/>
    <w:uiPriority w:val="99"/>
    <w:semiHidden/>
    <w:unhideWhenUsed/>
    <w:rsid w:val="00C87B29"/>
    <w:rPr>
      <w:rFonts w:ascii="Lucida Grande" w:hAnsi="Lucida Grande" w:cs="Lucida Grande"/>
      <w:sz w:val="18"/>
      <w:szCs w:val="18"/>
    </w:rPr>
  </w:style>
  <w:style w:type="character" w:customStyle="1" w:styleId="BalloonTextChar">
    <w:name w:val="Balloon Text Char"/>
    <w:link w:val="BalloonText"/>
    <w:uiPriority w:val="99"/>
    <w:semiHidden/>
    <w:rsid w:val="00C87B29"/>
    <w:rPr>
      <w:rFonts w:ascii="Lucida Grande" w:hAnsi="Lucida Grande" w:cs="Lucida Grande"/>
      <w:sz w:val="18"/>
      <w:szCs w:val="18"/>
    </w:rPr>
  </w:style>
  <w:style w:type="paragraph" w:customStyle="1" w:styleId="date">
    <w:name w:val="date"/>
    <w:basedOn w:val="Normal"/>
    <w:qFormat/>
    <w:rsid w:val="00363292"/>
    <w:pPr>
      <w:jc w:val="right"/>
    </w:pPr>
    <w:rPr>
      <w:b/>
      <w:bCs/>
      <w:caps/>
      <w:spacing w:val="20"/>
      <w:sz w:val="18"/>
      <w:szCs w:val="18"/>
    </w:rPr>
  </w:style>
  <w:style w:type="paragraph" w:customStyle="1" w:styleId="footertagline">
    <w:name w:val="footer tagline"/>
    <w:basedOn w:val="Footer"/>
    <w:link w:val="footertaglineChar"/>
    <w:qFormat/>
    <w:rsid w:val="005516E7"/>
    <w:pPr>
      <w:ind w:left="-720"/>
    </w:pPr>
    <w:rPr>
      <w:spacing w:val="-5"/>
      <w:szCs w:val="18"/>
    </w:rPr>
  </w:style>
  <w:style w:type="character" w:customStyle="1" w:styleId="footertaglineChar">
    <w:name w:val="footer tagline Char"/>
    <w:link w:val="footertagline"/>
    <w:rsid w:val="005516E7"/>
    <w:rPr>
      <w:rFonts w:ascii="Calibri" w:hAnsi="Calibri"/>
      <w:spacing w:val="-5"/>
      <w:sz w:val="22"/>
      <w:szCs w:val="18"/>
    </w:rPr>
  </w:style>
  <w:style w:type="character" w:customStyle="1" w:styleId="footerinfo">
    <w:name w:val="footer info"/>
    <w:link w:val="footerinfoPara"/>
    <w:uiPriority w:val="1"/>
    <w:qFormat/>
    <w:rsid w:val="005516E7"/>
    <w:rPr>
      <w:rFonts w:ascii="Calibri" w:hAnsi="Calibri"/>
      <w:b/>
      <w:bCs/>
      <w:caps/>
      <w:smallCaps w:val="0"/>
      <w:spacing w:val="20"/>
      <w:sz w:val="18"/>
      <w:szCs w:val="18"/>
    </w:rPr>
  </w:style>
  <w:style w:type="paragraph" w:customStyle="1" w:styleId="footerinfoPara">
    <w:name w:val="footer info Para"/>
    <w:basedOn w:val="footertagline"/>
    <w:link w:val="footerinfo"/>
    <w:uiPriority w:val="1"/>
    <w:rsid w:val="005516E7"/>
    <w:rPr>
      <w:b/>
      <w:bCs/>
      <w:caps/>
      <w:spacing w:val="20"/>
      <w:sz w:val="18"/>
    </w:rPr>
  </w:style>
  <w:style w:type="paragraph" w:customStyle="1" w:styleId="footertwitter">
    <w:name w:val="footer twitter"/>
    <w:basedOn w:val="footertagline"/>
    <w:link w:val="footertwitterChar"/>
    <w:qFormat/>
    <w:rsid w:val="005516E7"/>
    <w:rPr>
      <w:spacing w:val="0"/>
      <w:sz w:val="18"/>
    </w:rPr>
  </w:style>
  <w:style w:type="character" w:customStyle="1" w:styleId="footertwitterChar">
    <w:name w:val="footer twitter Char"/>
    <w:link w:val="footertwitter"/>
    <w:rsid w:val="005516E7"/>
    <w:rPr>
      <w:rFonts w:ascii="Calibri" w:hAnsi="Calibri"/>
      <w:spacing w:val="-5"/>
      <w:sz w:val="18"/>
      <w:szCs w:val="18"/>
    </w:rPr>
  </w:style>
  <w:style w:type="paragraph" w:styleId="BodyText">
    <w:name w:val="Body Text"/>
    <w:basedOn w:val="Normal"/>
    <w:link w:val="BodyTextChar"/>
    <w:rsid w:val="00EA2777"/>
    <w:pPr>
      <w:spacing w:after="240"/>
    </w:pPr>
    <w:rPr>
      <w:rFonts w:eastAsia="Times New Roman"/>
    </w:rPr>
  </w:style>
  <w:style w:type="character" w:customStyle="1" w:styleId="BodyTextChar">
    <w:name w:val="Body Text Char"/>
    <w:link w:val="BodyText"/>
    <w:rsid w:val="00EA2777"/>
    <w:rPr>
      <w:rFonts w:ascii="Calibri" w:eastAsia="Times New Roman" w:hAnsi="Calibri" w:cs="Times New Roman"/>
      <w:sz w:val="22"/>
    </w:rPr>
  </w:style>
  <w:style w:type="paragraph" w:styleId="Closing">
    <w:name w:val="Closing"/>
    <w:basedOn w:val="Normal"/>
    <w:link w:val="ClosingChar"/>
    <w:rsid w:val="00D77510"/>
    <w:pPr>
      <w:spacing w:before="300" w:after="480" w:line="288" w:lineRule="auto"/>
    </w:pPr>
    <w:rPr>
      <w:rFonts w:ascii="Cambria" w:eastAsia="Times New Roman" w:hAnsi="Cambria"/>
      <w:sz w:val="18"/>
    </w:rPr>
  </w:style>
  <w:style w:type="character" w:customStyle="1" w:styleId="ClosingChar">
    <w:name w:val="Closing Char"/>
    <w:link w:val="Closing"/>
    <w:rsid w:val="00D77510"/>
    <w:rPr>
      <w:rFonts w:eastAsia="Times New Roman" w:cs="Times New Roman"/>
      <w:sz w:val="18"/>
    </w:rPr>
  </w:style>
  <w:style w:type="paragraph" w:customStyle="1" w:styleId="Name">
    <w:name w:val="Name"/>
    <w:basedOn w:val="Normal"/>
    <w:qFormat/>
    <w:rsid w:val="00D77510"/>
    <w:pPr>
      <w:contextualSpacing/>
    </w:pPr>
    <w:rPr>
      <w:rFonts w:ascii="Cambria" w:eastAsia="Times New Roman" w:hAnsi="Cambria"/>
      <w:b/>
      <w:spacing w:val="2"/>
      <w:sz w:val="18"/>
    </w:rPr>
  </w:style>
  <w:style w:type="paragraph" w:customStyle="1" w:styleId="Address">
    <w:name w:val="Address"/>
    <w:basedOn w:val="Name"/>
    <w:rsid w:val="00D77510"/>
    <w:pPr>
      <w:spacing w:after="200"/>
    </w:pPr>
    <w:rPr>
      <w:b w:val="0"/>
      <w:spacing w:val="0"/>
    </w:rPr>
  </w:style>
  <w:style w:type="paragraph" w:customStyle="1" w:styleId="Name-Italics">
    <w:name w:val="Name - Italics"/>
    <w:basedOn w:val="Name"/>
    <w:qFormat/>
    <w:rsid w:val="00D77510"/>
    <w:rPr>
      <w:b w:val="0"/>
      <w:i/>
      <w:spacing w:val="0"/>
    </w:rPr>
  </w:style>
  <w:style w:type="paragraph" w:customStyle="1" w:styleId="ProposalDate">
    <w:name w:val="Proposal Date"/>
    <w:basedOn w:val="BodyText"/>
    <w:rsid w:val="00D77510"/>
    <w:pPr>
      <w:spacing w:before="600"/>
    </w:pPr>
  </w:style>
  <w:style w:type="paragraph" w:customStyle="1" w:styleId="Author">
    <w:name w:val="Author"/>
    <w:basedOn w:val="Normal"/>
    <w:qFormat/>
    <w:rsid w:val="002B7CE9"/>
    <w:pPr>
      <w:spacing w:before="300" w:after="40"/>
      <w:outlineLvl w:val="0"/>
    </w:pPr>
    <w:rPr>
      <w:rFonts w:eastAsia="Times New Roman"/>
      <w:b/>
      <w:bCs/>
      <w:caps/>
      <w:spacing w:val="28"/>
    </w:rPr>
  </w:style>
  <w:style w:type="character" w:customStyle="1" w:styleId="Heading1Char">
    <w:name w:val="Heading 1 Char"/>
    <w:basedOn w:val="DefaultParagraphFont"/>
    <w:link w:val="Heading1"/>
    <w:uiPriority w:val="9"/>
    <w:rsid w:val="002B7CE9"/>
    <w:rPr>
      <w:rFonts w:asciiTheme="majorHAnsi" w:eastAsiaTheme="majorEastAsia" w:hAnsiTheme="majorHAnsi" w:cstheme="majorBidi"/>
      <w:caps/>
      <w:kern w:val="32"/>
      <w:sz w:val="28"/>
      <w:szCs w:val="32"/>
    </w:rPr>
  </w:style>
  <w:style w:type="character" w:customStyle="1" w:styleId="Heading2Char">
    <w:name w:val="Heading 2 Char"/>
    <w:basedOn w:val="DefaultParagraphFont"/>
    <w:link w:val="Heading2"/>
    <w:uiPriority w:val="9"/>
    <w:rsid w:val="002B7CE9"/>
    <w:rPr>
      <w:rFonts w:asciiTheme="majorHAnsi" w:eastAsiaTheme="majorEastAsia" w:hAnsiTheme="majorHAnsi" w:cstheme="majorBidi"/>
      <w:bCs/>
      <w:iCs/>
      <w:sz w:val="28"/>
      <w:szCs w:val="28"/>
    </w:rPr>
  </w:style>
  <w:style w:type="paragraph" w:styleId="Title">
    <w:name w:val="Title"/>
    <w:basedOn w:val="Normal"/>
    <w:next w:val="Normal"/>
    <w:link w:val="TitleChar"/>
    <w:uiPriority w:val="10"/>
    <w:qFormat/>
    <w:rsid w:val="002B7CE9"/>
    <w:pPr>
      <w:pBdr>
        <w:bottom w:val="single" w:sz="4" w:space="1" w:color="auto"/>
      </w:pBdr>
      <w:spacing w:before="240" w:after="480"/>
      <w:jc w:val="left"/>
      <w:outlineLvl w:val="0"/>
    </w:pPr>
    <w:rPr>
      <w:rFonts w:asciiTheme="majorHAnsi" w:eastAsiaTheme="majorEastAsia" w:hAnsiTheme="majorHAnsi" w:cstheme="majorBidi"/>
      <w:bCs/>
      <w:caps/>
      <w:kern w:val="28"/>
      <w:sz w:val="40"/>
      <w:szCs w:val="32"/>
    </w:rPr>
  </w:style>
  <w:style w:type="character" w:customStyle="1" w:styleId="TitleChar">
    <w:name w:val="Title Char"/>
    <w:basedOn w:val="DefaultParagraphFont"/>
    <w:link w:val="Title"/>
    <w:uiPriority w:val="10"/>
    <w:rsid w:val="002B7CE9"/>
    <w:rPr>
      <w:rFonts w:asciiTheme="majorHAnsi" w:eastAsiaTheme="majorEastAsia" w:hAnsiTheme="majorHAnsi" w:cstheme="majorBidi"/>
      <w:bCs/>
      <w:caps/>
      <w:kern w:val="28"/>
      <w:sz w:val="40"/>
      <w:szCs w:val="32"/>
    </w:rPr>
  </w:style>
  <w:style w:type="character" w:customStyle="1" w:styleId="Heading3Char">
    <w:name w:val="Heading 3 Char"/>
    <w:basedOn w:val="DefaultParagraphFont"/>
    <w:link w:val="Heading3"/>
    <w:uiPriority w:val="9"/>
    <w:rsid w:val="003A2379"/>
    <w:rPr>
      <w:rFonts w:asciiTheme="minorHAnsi" w:eastAsiaTheme="majorEastAsia" w:hAnsiTheme="minorHAnsi" w:cstheme="majorBidi"/>
      <w:bCs/>
      <w:sz w:val="24"/>
      <w:szCs w:val="24"/>
      <w:u w:val="single"/>
    </w:rPr>
  </w:style>
  <w:style w:type="character" w:styleId="Hyperlink">
    <w:name w:val="Hyperlink"/>
    <w:basedOn w:val="DefaultParagraphFont"/>
    <w:uiPriority w:val="99"/>
    <w:unhideWhenUsed/>
    <w:rsid w:val="003A2379"/>
    <w:rPr>
      <w:color w:val="0000FF" w:themeColor="hyperlink"/>
      <w:u w:val="single"/>
    </w:rPr>
  </w:style>
  <w:style w:type="character" w:styleId="FollowedHyperlink">
    <w:name w:val="FollowedHyperlink"/>
    <w:basedOn w:val="DefaultParagraphFont"/>
    <w:uiPriority w:val="99"/>
    <w:semiHidden/>
    <w:unhideWhenUsed/>
    <w:rsid w:val="003A2379"/>
    <w:rPr>
      <w:color w:val="800080" w:themeColor="followedHyperlink"/>
      <w:u w:val="single"/>
    </w:rPr>
  </w:style>
  <w:style w:type="paragraph" w:styleId="FootnoteText">
    <w:name w:val="footnote text"/>
    <w:basedOn w:val="Normal"/>
    <w:link w:val="FootnoteTextChar"/>
    <w:uiPriority w:val="99"/>
    <w:unhideWhenUsed/>
    <w:rsid w:val="003A2379"/>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3A2379"/>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3A2379"/>
    <w:rPr>
      <w:vertAlign w:val="superscript"/>
    </w:rPr>
  </w:style>
  <w:style w:type="table" w:styleId="TableGrid">
    <w:name w:val="Table Grid"/>
    <w:basedOn w:val="TableNormal"/>
    <w:uiPriority w:val="39"/>
    <w:rsid w:val="003A237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A2379"/>
    <w:rPr>
      <w:sz w:val="18"/>
      <w:szCs w:val="18"/>
    </w:rPr>
  </w:style>
  <w:style w:type="paragraph" w:styleId="CommentText">
    <w:name w:val="annotation text"/>
    <w:basedOn w:val="Normal"/>
    <w:link w:val="CommentTextChar"/>
    <w:uiPriority w:val="99"/>
    <w:semiHidden/>
    <w:unhideWhenUsed/>
    <w:rsid w:val="003A2379"/>
  </w:style>
  <w:style w:type="character" w:customStyle="1" w:styleId="CommentTextChar">
    <w:name w:val="Comment Text Char"/>
    <w:basedOn w:val="DefaultParagraphFont"/>
    <w:link w:val="CommentText"/>
    <w:uiPriority w:val="99"/>
    <w:semiHidden/>
    <w:rsid w:val="003A2379"/>
    <w:rPr>
      <w:rFonts w:ascii="Calibri" w:eastAsiaTheme="minorHAnsi" w:hAnsi="Calibri"/>
      <w:sz w:val="24"/>
      <w:szCs w:val="24"/>
    </w:rPr>
  </w:style>
  <w:style w:type="paragraph" w:styleId="CommentSubject">
    <w:name w:val="annotation subject"/>
    <w:basedOn w:val="CommentText"/>
    <w:next w:val="CommentText"/>
    <w:link w:val="CommentSubjectChar"/>
    <w:uiPriority w:val="99"/>
    <w:semiHidden/>
    <w:unhideWhenUsed/>
    <w:rsid w:val="003A2379"/>
    <w:rPr>
      <w:b/>
      <w:bCs/>
      <w:sz w:val="20"/>
      <w:szCs w:val="20"/>
    </w:rPr>
  </w:style>
  <w:style w:type="character" w:customStyle="1" w:styleId="CommentSubjectChar">
    <w:name w:val="Comment Subject Char"/>
    <w:basedOn w:val="CommentTextChar"/>
    <w:link w:val="CommentSubject"/>
    <w:uiPriority w:val="99"/>
    <w:semiHidden/>
    <w:rsid w:val="003A2379"/>
    <w:rPr>
      <w:rFonts w:ascii="Calibri" w:eastAsiaTheme="minorHAnsi" w:hAnsi="Calibri"/>
      <w:b/>
      <w:bCs/>
      <w:sz w:val="24"/>
      <w:szCs w:val="24"/>
    </w:rPr>
  </w:style>
  <w:style w:type="paragraph" w:styleId="ListParagraph">
    <w:name w:val="List Paragraph"/>
    <w:basedOn w:val="Normal"/>
    <w:uiPriority w:val="34"/>
    <w:qFormat/>
    <w:rsid w:val="003A2379"/>
    <w:pPr>
      <w:ind w:left="720"/>
      <w:contextualSpacing/>
    </w:pPr>
  </w:style>
  <w:style w:type="paragraph" w:styleId="Revision">
    <w:name w:val="Revision"/>
    <w:hidden/>
    <w:uiPriority w:val="99"/>
    <w:semiHidden/>
    <w:rsid w:val="003A2379"/>
    <w:rPr>
      <w:rFonts w:ascii="Times New Roman" w:eastAsiaTheme="minorHAnsi" w:hAnsi="Times New Roman"/>
      <w:sz w:val="24"/>
      <w:szCs w:val="24"/>
    </w:rPr>
  </w:style>
  <w:style w:type="paragraph" w:styleId="Caption">
    <w:name w:val="caption"/>
    <w:basedOn w:val="Normal"/>
    <w:next w:val="Normal"/>
    <w:uiPriority w:val="35"/>
    <w:unhideWhenUsed/>
    <w:qFormat/>
    <w:rsid w:val="003A2379"/>
    <w:pPr>
      <w:spacing w:after="200"/>
    </w:pPr>
    <w:rPr>
      <w:b/>
      <w:bCs/>
      <w:szCs w:val="18"/>
    </w:rPr>
  </w:style>
  <w:style w:type="character" w:styleId="PageNumber">
    <w:name w:val="page number"/>
    <w:basedOn w:val="DefaultParagraphFont"/>
    <w:uiPriority w:val="99"/>
    <w:semiHidden/>
    <w:unhideWhenUsed/>
    <w:rsid w:val="003A2379"/>
  </w:style>
  <w:style w:type="table" w:styleId="LightShading-Accent3">
    <w:name w:val="Light Shading Accent 3"/>
    <w:basedOn w:val="TableNormal"/>
    <w:uiPriority w:val="60"/>
    <w:rsid w:val="003A2379"/>
    <w:rPr>
      <w:rFonts w:asciiTheme="minorHAnsi" w:eastAsiaTheme="minorHAnsi"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A237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2379"/>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79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co/z0MnNwlzrig" TargetMode="External"/><Relationship Id="rId2" Type="http://schemas.openxmlformats.org/officeDocument/2006/relationships/hyperlink" Target="http://t.co/8A3bK9Ay8t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mmo:Google%20Drive:FNA%20Branding:Stationary:whitepaper.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t>
            </a:r>
            <a:r>
              <a:rPr lang="en-US"/>
              <a:t>Abs Return</a:t>
            </a:r>
          </a:p>
        </c:rich>
      </c:tx>
      <c:layout/>
      <c:overlay val="0"/>
      <c:spPr>
        <a:noFill/>
        <a:ln>
          <a:noFill/>
        </a:ln>
        <a:effectLst/>
      </c:spPr>
    </c:title>
    <c:autoTitleDeleted val="0"/>
    <c:plotArea>
      <c:layout/>
      <c:barChart>
        <c:barDir val="col"/>
        <c:grouping val="clustered"/>
        <c:varyColors val="0"/>
        <c:ser>
          <c:idx val="0"/>
          <c:order val="0"/>
          <c:tx>
            <c:v>High Activity</c:v>
          </c:tx>
          <c:spPr>
            <a:solidFill>
              <a:schemeClr val="accent2"/>
            </a:solidFill>
            <a:ln>
              <a:solidFill>
                <a:schemeClr val="accent2"/>
              </a:solidFill>
            </a:ln>
            <a:effectLst/>
          </c:spPr>
          <c:invertIfNegative val="0"/>
          <c:cat>
            <c:strRef>
              <c:f>Sheet1!$A$2:$A$3</c:f>
              <c:strCache>
                <c:ptCount val="2"/>
                <c:pt idx="0">
                  <c:v>signals/no signals</c:v>
                </c:pt>
                <c:pt idx="1">
                  <c:v>90th percentile</c:v>
                </c:pt>
              </c:strCache>
            </c:strRef>
          </c:cat>
          <c:val>
            <c:numRef>
              <c:f>Sheet1!$B$2:$B$5</c:f>
              <c:numCache>
                <c:formatCode>General</c:formatCode>
                <c:ptCount val="4"/>
                <c:pt idx="0">
                  <c:v>3.0</c:v>
                </c:pt>
                <c:pt idx="1">
                  <c:v>3.6</c:v>
                </c:pt>
              </c:numCache>
            </c:numRef>
          </c:val>
        </c:ser>
        <c:ser>
          <c:idx val="1"/>
          <c:order val="1"/>
          <c:tx>
            <c:v>Low Activity</c:v>
          </c:tx>
          <c:spPr>
            <a:solidFill>
              <a:schemeClr val="accent5"/>
            </a:solidFill>
            <a:ln>
              <a:solidFill>
                <a:schemeClr val="accent5"/>
              </a:solidFill>
            </a:ln>
            <a:effectLst/>
          </c:spPr>
          <c:invertIfNegative val="0"/>
          <c:cat>
            <c:strRef>
              <c:f>Sheet1!$A$2:$A$3</c:f>
              <c:strCache>
                <c:ptCount val="2"/>
                <c:pt idx="0">
                  <c:v>signals/no signals</c:v>
                </c:pt>
                <c:pt idx="1">
                  <c:v>90th percentile</c:v>
                </c:pt>
              </c:strCache>
            </c:strRef>
          </c:cat>
          <c:val>
            <c:numRef>
              <c:f>Sheet1!$C$2:$C$5</c:f>
              <c:numCache>
                <c:formatCode>General</c:formatCode>
                <c:ptCount val="4"/>
                <c:pt idx="0">
                  <c:v>1.6</c:v>
                </c:pt>
                <c:pt idx="1">
                  <c:v>1.6</c:v>
                </c:pt>
              </c:numCache>
            </c:numRef>
          </c:val>
        </c:ser>
        <c:dLbls>
          <c:showLegendKey val="0"/>
          <c:showVal val="0"/>
          <c:showCatName val="0"/>
          <c:showSerName val="0"/>
          <c:showPercent val="0"/>
          <c:showBubbleSize val="0"/>
        </c:dLbls>
        <c:gapWidth val="219"/>
        <c:overlap val="-27"/>
        <c:axId val="-2087858600"/>
        <c:axId val="-2083205304"/>
      </c:barChart>
      <c:catAx>
        <c:axId val="-208785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05304"/>
        <c:crosses val="autoZero"/>
        <c:auto val="1"/>
        <c:lblAlgn val="ctr"/>
        <c:lblOffset val="100"/>
        <c:noMultiLvlLbl val="0"/>
      </c:catAx>
      <c:valAx>
        <c:axId val="-2083205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8586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Sheet1!#REF!</c:f>
              <c:strCache>
                <c:ptCount val="1"/>
                <c:pt idx="0">
                  <c:v>#REF!</c:v>
                </c:pt>
              </c:strCache>
            </c:strRef>
          </c:tx>
          <c:spPr>
            <a:ln w="31750" cap="rnd">
              <a:solidFill>
                <a:schemeClr val="accent2"/>
              </a:solidFill>
              <a:round/>
            </a:ln>
            <a:effectLst/>
          </c:spPr>
          <c:marker>
            <c:symbol val="circle"/>
            <c:size val="17"/>
            <c:spPr>
              <a:solidFill>
                <a:schemeClr val="accent2"/>
              </a:solidFill>
              <a:ln>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Sheet1!$B$2:$B$6</c:f>
              <c:numCache>
                <c:formatCode>General</c:formatCode>
                <c:ptCount val="5"/>
                <c:pt idx="0">
                  <c:v>2.1</c:v>
                </c:pt>
                <c:pt idx="1">
                  <c:v>2.0</c:v>
                </c:pt>
                <c:pt idx="2">
                  <c:v>4.0</c:v>
                </c:pt>
                <c:pt idx="3">
                  <c:v>5.0</c:v>
                </c:pt>
              </c:numCache>
            </c:numRef>
          </c:val>
          <c:smooth val="0"/>
        </c:ser>
        <c:ser>
          <c:idx val="1"/>
          <c:order val="1"/>
          <c:tx>
            <c:strRef>
              <c:f>Sheet1!#REF!</c:f>
              <c:strCache>
                <c:ptCount val="1"/>
                <c:pt idx="0">
                  <c:v>#REF!</c:v>
                </c:pt>
              </c:strCache>
            </c:strRef>
          </c:tx>
          <c:spPr>
            <a:ln w="31750" cap="rnd">
              <a:solidFill>
                <a:schemeClr val="accent1"/>
              </a:solidFill>
              <a:round/>
            </a:ln>
            <a:effectLst/>
          </c:spPr>
          <c:marker>
            <c:symbol val="circle"/>
            <c:size val="17"/>
            <c:spPr>
              <a:solidFill>
                <a:schemeClr val="accent2"/>
              </a:solidFill>
              <a:ln>
                <a:solidFill>
                  <a:schemeClr val="accent1"/>
                </a:solidFill>
              </a:ln>
              <a:effectLst/>
            </c:spPr>
          </c:marker>
          <c:dLbls>
            <c:spPr>
              <a:solidFill>
                <a:schemeClr val="accent1"/>
              </a:solidFill>
              <a:ln>
                <a:solidFill>
                  <a:schemeClr val="accent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Sheet1!$C$2:$C$6</c:f>
              <c:numCache>
                <c:formatCode>General</c:formatCode>
                <c:ptCount val="5"/>
                <c:pt idx="0">
                  <c:v>1.2</c:v>
                </c:pt>
                <c:pt idx="1">
                  <c:v>1.1</c:v>
                </c:pt>
                <c:pt idx="2">
                  <c:v>2.4</c:v>
                </c:pt>
                <c:pt idx="3">
                  <c:v>3.4</c:v>
                </c:pt>
              </c:numCache>
            </c:numRef>
          </c:val>
          <c:smooth val="0"/>
        </c:ser>
        <c:ser>
          <c:idx val="2"/>
          <c:order val="2"/>
          <c:tx>
            <c:strRef>
              <c:f>Sheet1!$D$1</c:f>
              <c:strCache>
                <c:ptCount val="1"/>
                <c:pt idx="0">
                  <c:v>Column1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Sheet1!$D$2:$D$6</c:f>
              <c:numCache>
                <c:formatCode>General</c:formatCode>
                <c:ptCount val="5"/>
              </c:numCache>
            </c:numRef>
          </c:val>
          <c:smooth val="0"/>
        </c:ser>
        <c:dLbls>
          <c:showLegendKey val="0"/>
          <c:showVal val="1"/>
          <c:showCatName val="0"/>
          <c:showSerName val="0"/>
          <c:showPercent val="0"/>
          <c:showBubbleSize val="0"/>
        </c:dLbls>
        <c:marker val="1"/>
        <c:smooth val="0"/>
        <c:axId val="-2085177672"/>
        <c:axId val="-2073889752"/>
      </c:lineChart>
      <c:catAx>
        <c:axId val="-20851776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Days Lagged</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73889752"/>
        <c:crosses val="autoZero"/>
        <c:auto val="1"/>
        <c:lblAlgn val="ctr"/>
        <c:lblOffset val="100"/>
        <c:noMultiLvlLbl val="0"/>
      </c:catAx>
      <c:valAx>
        <c:axId val="-20738897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Abs Returns</a:t>
                </a:r>
              </a:p>
            </c:rich>
          </c:tx>
          <c:layout/>
          <c:overlay val="0"/>
          <c:spPr>
            <a:noFill/>
            <a:ln>
              <a:noFill/>
            </a:ln>
            <a:effectLst/>
          </c:spPr>
        </c:title>
        <c:numFmt formatCode="General" sourceLinked="1"/>
        <c:majorTickMark val="none"/>
        <c:minorTickMark val="none"/>
        <c:tickLblPos val="none"/>
        <c:crossAx val="-208517767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High Activity (post signal)</c:v>
                </c:pt>
              </c:strCache>
            </c:strRef>
          </c:tx>
          <c:spPr>
            <a:solidFill>
              <a:schemeClr val="accent2"/>
            </a:solidFill>
            <a:ln>
              <a:noFill/>
            </a:ln>
            <a:effectLst/>
          </c:spPr>
          <c:invertIfNegative val="0"/>
          <c:cat>
            <c:strRef>
              <c:f>Sheet1!$A$2:$A$5</c:f>
              <c:strCache>
                <c:ptCount val="4"/>
                <c:pt idx="0">
                  <c:v>High Activity (post signal)</c:v>
                </c:pt>
                <c:pt idx="1">
                  <c:v>Low Activity (post signal)</c:v>
                </c:pt>
                <c:pt idx="2">
                  <c:v>High Activity (pre signal)</c:v>
                </c:pt>
                <c:pt idx="3">
                  <c:v>Low Activity (pre signal)</c:v>
                </c:pt>
              </c:strCache>
            </c:strRef>
          </c:cat>
          <c:val>
            <c:numRef>
              <c:f>Sheet1!$C$2:$C$5</c:f>
              <c:numCache>
                <c:formatCode>General</c:formatCode>
                <c:ptCount val="4"/>
                <c:pt idx="0">
                  <c:v>3.38</c:v>
                </c:pt>
                <c:pt idx="1">
                  <c:v>1.39</c:v>
                </c:pt>
                <c:pt idx="2">
                  <c:v>2.41</c:v>
                </c:pt>
                <c:pt idx="3">
                  <c:v>1.42</c:v>
                </c:pt>
              </c:numCache>
            </c:numRef>
          </c:val>
        </c:ser>
        <c:ser>
          <c:idx val="1"/>
          <c:order val="1"/>
          <c:tx>
            <c:strRef>
              <c:f>Sheet1!$A$3</c:f>
              <c:strCache>
                <c:ptCount val="1"/>
                <c:pt idx="0">
                  <c:v>Low Activity (post signal)</c:v>
                </c:pt>
              </c:strCache>
            </c:strRef>
          </c:tx>
          <c:spPr>
            <a:solidFill>
              <a:srgbClr val="0070C0"/>
            </a:solidFill>
            <a:ln>
              <a:noFill/>
            </a:ln>
            <a:effectLst/>
          </c:spPr>
          <c:invertIfNegative val="0"/>
          <c:cat>
            <c:strRef>
              <c:f>Sheet1!$A$2:$A$5</c:f>
              <c:strCache>
                <c:ptCount val="4"/>
                <c:pt idx="0">
                  <c:v>High Activity (post signal)</c:v>
                </c:pt>
                <c:pt idx="1">
                  <c:v>Low Activity (post signal)</c:v>
                </c:pt>
                <c:pt idx="2">
                  <c:v>High Activity (pre signal)</c:v>
                </c:pt>
                <c:pt idx="3">
                  <c:v>Low Activity (pre signal)</c:v>
                </c:pt>
              </c:strCache>
            </c:strRef>
          </c:cat>
          <c:val>
            <c:numRef>
              <c:f>Sheet1!$B$2:$B$5</c:f>
              <c:numCache>
                <c:formatCode>General</c:formatCode>
                <c:ptCount val="4"/>
                <c:pt idx="0">
                  <c:v>1.11</c:v>
                </c:pt>
                <c:pt idx="1">
                  <c:v>0.65</c:v>
                </c:pt>
                <c:pt idx="2">
                  <c:v>3.38</c:v>
                </c:pt>
                <c:pt idx="3">
                  <c:v>1.42</c:v>
                </c:pt>
              </c:numCache>
            </c:numRef>
          </c:val>
        </c:ser>
        <c:dLbls>
          <c:showLegendKey val="0"/>
          <c:showVal val="0"/>
          <c:showCatName val="0"/>
          <c:showSerName val="0"/>
          <c:showPercent val="0"/>
          <c:showBubbleSize val="0"/>
        </c:dLbls>
        <c:gapWidth val="219"/>
        <c:overlap val="-27"/>
        <c:axId val="-2087749560"/>
        <c:axId val="-2087746040"/>
      </c:barChart>
      <c:catAx>
        <c:axId val="-2087749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46040"/>
        <c:crosses val="autoZero"/>
        <c:auto val="1"/>
        <c:lblAlgn val="ctr"/>
        <c:lblOffset val="100"/>
        <c:noMultiLvlLbl val="0"/>
      </c:catAx>
      <c:valAx>
        <c:axId val="-2087746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74956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High Activity (pre signal)</c:v>
                </c:pt>
              </c:strCache>
            </c:strRef>
          </c:tx>
          <c:spPr>
            <a:solidFill>
              <a:schemeClr val="accent2"/>
            </a:solidFill>
            <a:ln>
              <a:noFill/>
            </a:ln>
            <a:effectLst/>
          </c:spPr>
          <c:invertIfNegative val="0"/>
          <c:cat>
            <c:strRef>
              <c:f>Sheet1!$A$2:$A$5</c:f>
              <c:strCache>
                <c:ptCount val="4"/>
                <c:pt idx="0">
                  <c:v>High Activity (pre signal)</c:v>
                </c:pt>
                <c:pt idx="1">
                  <c:v>Low Activity (pre signal)</c:v>
                </c:pt>
                <c:pt idx="2">
                  <c:v>High Activity (post signal)</c:v>
                </c:pt>
                <c:pt idx="3">
                  <c:v>Low Activity (post signal)</c:v>
                </c:pt>
              </c:strCache>
            </c:strRef>
          </c:cat>
          <c:val>
            <c:numRef>
              <c:f>Sheet1!$C$2:$C$5</c:f>
              <c:numCache>
                <c:formatCode>General</c:formatCode>
                <c:ptCount val="4"/>
                <c:pt idx="0">
                  <c:v>3.349999999999999</c:v>
                </c:pt>
                <c:pt idx="1">
                  <c:v>1.61</c:v>
                </c:pt>
                <c:pt idx="2">
                  <c:v>3.34</c:v>
                </c:pt>
                <c:pt idx="3">
                  <c:v>1.64</c:v>
                </c:pt>
              </c:numCache>
            </c:numRef>
          </c:val>
        </c:ser>
        <c:ser>
          <c:idx val="1"/>
          <c:order val="1"/>
          <c:tx>
            <c:strRef>
              <c:f>Sheet1!$A$3</c:f>
              <c:strCache>
                <c:ptCount val="1"/>
                <c:pt idx="0">
                  <c:v>Low Activity (pre signal)</c:v>
                </c:pt>
              </c:strCache>
            </c:strRef>
          </c:tx>
          <c:spPr>
            <a:solidFill>
              <a:srgbClr val="0070C0"/>
            </a:solidFill>
            <a:ln>
              <a:noFill/>
            </a:ln>
            <a:effectLst/>
          </c:spPr>
          <c:invertIfNegative val="0"/>
          <c:cat>
            <c:strRef>
              <c:f>Sheet1!$A$2:$A$5</c:f>
              <c:strCache>
                <c:ptCount val="4"/>
                <c:pt idx="0">
                  <c:v>High Activity (pre signal)</c:v>
                </c:pt>
                <c:pt idx="1">
                  <c:v>Low Activity (pre signal)</c:v>
                </c:pt>
                <c:pt idx="2">
                  <c:v>High Activity (post signal)</c:v>
                </c:pt>
                <c:pt idx="3">
                  <c:v>Low Activity (post signal)</c:v>
                </c:pt>
              </c:strCache>
            </c:strRef>
          </c:cat>
          <c:val>
            <c:numRef>
              <c:f>Sheet1!$B$2:$B$5</c:f>
              <c:numCache>
                <c:formatCode>General</c:formatCode>
                <c:ptCount val="4"/>
                <c:pt idx="0">
                  <c:v>1.02</c:v>
                </c:pt>
                <c:pt idx="1">
                  <c:v>0.73</c:v>
                </c:pt>
                <c:pt idx="2">
                  <c:v>0.76</c:v>
                </c:pt>
                <c:pt idx="3">
                  <c:v>0.66</c:v>
                </c:pt>
              </c:numCache>
            </c:numRef>
          </c:val>
        </c:ser>
        <c:dLbls>
          <c:showLegendKey val="0"/>
          <c:showVal val="0"/>
          <c:showCatName val="0"/>
          <c:showSerName val="0"/>
          <c:showPercent val="0"/>
          <c:showBubbleSize val="0"/>
        </c:dLbls>
        <c:gapWidth val="219"/>
        <c:overlap val="-27"/>
        <c:axId val="-2062516664"/>
        <c:axId val="-2086116680"/>
      </c:barChart>
      <c:catAx>
        <c:axId val="-2062516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116680"/>
        <c:crosses val="autoZero"/>
        <c:auto val="1"/>
        <c:lblAlgn val="ctr"/>
        <c:lblOffset val="100"/>
        <c:noMultiLvlLbl val="0"/>
      </c:catAx>
      <c:valAx>
        <c:axId val="-20861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516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High Activity</c:v>
                </c:pt>
              </c:strCache>
            </c:strRef>
          </c:tx>
          <c:spPr>
            <a:solidFill>
              <a:schemeClr val="accent2"/>
            </a:solidFill>
            <a:ln>
              <a:solidFill>
                <a:schemeClr val="accent2"/>
              </a:solidFill>
            </a:ln>
            <a:effectLst/>
          </c:spPr>
          <c:invertIfNegative val="0"/>
          <c:cat>
            <c:strRef>
              <c:f>Sheet1!$A$2:$A$17</c:f>
              <c:strCache>
                <c:ptCount val="16"/>
                <c:pt idx="0">
                  <c:v>Consumer Durables &amp; Apparel </c:v>
                </c:pt>
                <c:pt idx="1">
                  <c:v>Consumer Services</c:v>
                </c:pt>
                <c:pt idx="2">
                  <c:v>Pharmaceuticals, Biotechnology &amp; Life Sciences</c:v>
                </c:pt>
                <c:pt idx="3">
                  <c:v>Semiconductors &amp; Semiconductor Equipment</c:v>
                </c:pt>
                <c:pt idx="4">
                  <c:v>Health Care Equipment &amp; Services</c:v>
                </c:pt>
                <c:pt idx="5">
                  <c:v>Capital Goods</c:v>
                </c:pt>
                <c:pt idx="6">
                  <c:v>Energy</c:v>
                </c:pt>
                <c:pt idx="7">
                  <c:v>Materials</c:v>
                </c:pt>
                <c:pt idx="8">
                  <c:v>Software &amp; Services</c:v>
                </c:pt>
                <c:pt idx="9">
                  <c:v>Retailing</c:v>
                </c:pt>
                <c:pt idx="10">
                  <c:v>Real Estate</c:v>
                </c:pt>
                <c:pt idx="11">
                  <c:v>Diversified Financials</c:v>
                </c:pt>
                <c:pt idx="12">
                  <c:v>Media</c:v>
                </c:pt>
                <c:pt idx="13">
                  <c:v>Technology Hardware &amp; Equipment</c:v>
                </c:pt>
                <c:pt idx="14">
                  <c:v>Banks</c:v>
                </c:pt>
                <c:pt idx="15">
                  <c:v>Food, Beverage &amp; Tobacco</c:v>
                </c:pt>
              </c:strCache>
            </c:strRef>
          </c:cat>
          <c:val>
            <c:numRef>
              <c:f>Sheet1!$B$2:$B$17</c:f>
              <c:numCache>
                <c:formatCode>General</c:formatCode>
                <c:ptCount val="16"/>
                <c:pt idx="0">
                  <c:v>2.329999999999999</c:v>
                </c:pt>
                <c:pt idx="1">
                  <c:v>4.0</c:v>
                </c:pt>
                <c:pt idx="2">
                  <c:v>3.52</c:v>
                </c:pt>
                <c:pt idx="3">
                  <c:v>2.05</c:v>
                </c:pt>
                <c:pt idx="4">
                  <c:v>2.13</c:v>
                </c:pt>
                <c:pt idx="5">
                  <c:v>2.15</c:v>
                </c:pt>
                <c:pt idx="6">
                  <c:v>1.82</c:v>
                </c:pt>
                <c:pt idx="7">
                  <c:v>1.33</c:v>
                </c:pt>
                <c:pt idx="8">
                  <c:v>1.47</c:v>
                </c:pt>
                <c:pt idx="9">
                  <c:v>1.42</c:v>
                </c:pt>
                <c:pt idx="10">
                  <c:v>4.689999999999999</c:v>
                </c:pt>
                <c:pt idx="11">
                  <c:v>1.26</c:v>
                </c:pt>
                <c:pt idx="12">
                  <c:v>1.67</c:v>
                </c:pt>
                <c:pt idx="13">
                  <c:v>1.36</c:v>
                </c:pt>
                <c:pt idx="14">
                  <c:v>1.02</c:v>
                </c:pt>
                <c:pt idx="15">
                  <c:v>1.85</c:v>
                </c:pt>
              </c:numCache>
            </c:numRef>
          </c:val>
        </c:ser>
        <c:ser>
          <c:idx val="1"/>
          <c:order val="1"/>
          <c:tx>
            <c:strRef>
              <c:f>Sheet1!$C$1</c:f>
              <c:strCache>
                <c:ptCount val="1"/>
                <c:pt idx="0">
                  <c:v>Low Activity</c:v>
                </c:pt>
              </c:strCache>
            </c:strRef>
          </c:tx>
          <c:spPr>
            <a:solidFill>
              <a:schemeClr val="accent5"/>
            </a:solidFill>
            <a:ln>
              <a:solidFill>
                <a:schemeClr val="accent5"/>
              </a:solidFill>
            </a:ln>
            <a:effectLst/>
          </c:spPr>
          <c:invertIfNegative val="0"/>
          <c:cat>
            <c:strRef>
              <c:f>Sheet1!$A$2:$A$17</c:f>
              <c:strCache>
                <c:ptCount val="16"/>
                <c:pt idx="0">
                  <c:v>Consumer Durables &amp; Apparel </c:v>
                </c:pt>
                <c:pt idx="1">
                  <c:v>Consumer Services</c:v>
                </c:pt>
                <c:pt idx="2">
                  <c:v>Pharmaceuticals, Biotechnology &amp; Life Sciences</c:v>
                </c:pt>
                <c:pt idx="3">
                  <c:v>Semiconductors &amp; Semiconductor Equipment</c:v>
                </c:pt>
                <c:pt idx="4">
                  <c:v>Health Care Equipment &amp; Services</c:v>
                </c:pt>
                <c:pt idx="5">
                  <c:v>Capital Goods</c:v>
                </c:pt>
                <c:pt idx="6">
                  <c:v>Energy</c:v>
                </c:pt>
                <c:pt idx="7">
                  <c:v>Materials</c:v>
                </c:pt>
                <c:pt idx="8">
                  <c:v>Software &amp; Services</c:v>
                </c:pt>
                <c:pt idx="9">
                  <c:v>Retailing</c:v>
                </c:pt>
                <c:pt idx="10">
                  <c:v>Real Estate</c:v>
                </c:pt>
                <c:pt idx="11">
                  <c:v>Diversified Financials</c:v>
                </c:pt>
                <c:pt idx="12">
                  <c:v>Media</c:v>
                </c:pt>
                <c:pt idx="13">
                  <c:v>Technology Hardware &amp; Equipment</c:v>
                </c:pt>
                <c:pt idx="14">
                  <c:v>Banks</c:v>
                </c:pt>
                <c:pt idx="15">
                  <c:v>Food, Beverage &amp; Tobacco</c:v>
                </c:pt>
              </c:strCache>
            </c:strRef>
          </c:cat>
          <c:val>
            <c:numRef>
              <c:f>Sheet1!$C$2:$C$17</c:f>
              <c:numCache>
                <c:formatCode>General</c:formatCode>
                <c:ptCount val="16"/>
                <c:pt idx="0">
                  <c:v>0.9</c:v>
                </c:pt>
                <c:pt idx="1">
                  <c:v>0.96</c:v>
                </c:pt>
                <c:pt idx="2">
                  <c:v>1.44</c:v>
                </c:pt>
                <c:pt idx="3">
                  <c:v>1.23</c:v>
                </c:pt>
                <c:pt idx="4">
                  <c:v>0.99</c:v>
                </c:pt>
                <c:pt idx="5">
                  <c:v>0.91</c:v>
                </c:pt>
                <c:pt idx="6">
                  <c:v>0.95</c:v>
                </c:pt>
                <c:pt idx="7">
                  <c:v>0.89</c:v>
                </c:pt>
                <c:pt idx="8">
                  <c:v>1.09</c:v>
                </c:pt>
                <c:pt idx="9">
                  <c:v>0.96</c:v>
                </c:pt>
                <c:pt idx="10">
                  <c:v>0.56</c:v>
                </c:pt>
                <c:pt idx="11">
                  <c:v>0.76</c:v>
                </c:pt>
                <c:pt idx="12">
                  <c:v>0.78</c:v>
                </c:pt>
                <c:pt idx="13">
                  <c:v>1.0</c:v>
                </c:pt>
                <c:pt idx="14">
                  <c:v>0.73</c:v>
                </c:pt>
                <c:pt idx="15">
                  <c:v>0.63</c:v>
                </c:pt>
              </c:numCache>
            </c:numRef>
          </c:val>
        </c:ser>
        <c:dLbls>
          <c:showLegendKey val="0"/>
          <c:showVal val="0"/>
          <c:showCatName val="0"/>
          <c:showSerName val="0"/>
          <c:showPercent val="0"/>
          <c:showBubbleSize val="0"/>
        </c:dLbls>
        <c:gapWidth val="219"/>
        <c:overlap val="-27"/>
        <c:axId val="-2061786456"/>
        <c:axId val="-2061782904"/>
      </c:barChart>
      <c:catAx>
        <c:axId val="-206178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82904"/>
        <c:crosses val="autoZero"/>
        <c:auto val="1"/>
        <c:lblAlgn val="ctr"/>
        <c:lblOffset val="100"/>
        <c:noMultiLvlLbl val="0"/>
      </c:catAx>
      <c:valAx>
        <c:axId val="-206178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17864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High Activity</c:v>
                </c:pt>
              </c:strCache>
            </c:strRef>
          </c:tx>
          <c:spPr>
            <a:solidFill>
              <a:schemeClr val="accent2"/>
            </a:solidFill>
            <a:ln>
              <a:solidFill>
                <a:schemeClr val="accent2"/>
              </a:solidFill>
            </a:ln>
            <a:effectLst/>
          </c:spPr>
          <c:invertIfNegative val="0"/>
          <c:cat>
            <c:strRef>
              <c:f>Sheet1!$A$2:$A$17</c:f>
              <c:strCache>
                <c:ptCount val="16"/>
                <c:pt idx="0">
                  <c:v>Consumer Durables &amp; Apparel </c:v>
                </c:pt>
                <c:pt idx="1">
                  <c:v>Consumer Services</c:v>
                </c:pt>
                <c:pt idx="2">
                  <c:v>Pharmaceuticals, Biotechnology &amp; Life Sciences</c:v>
                </c:pt>
                <c:pt idx="3">
                  <c:v>Semiconductors &amp; Semiconductor Equipment</c:v>
                </c:pt>
                <c:pt idx="4">
                  <c:v>Health Care Equipment &amp; Services</c:v>
                </c:pt>
                <c:pt idx="5">
                  <c:v>Capital Goods</c:v>
                </c:pt>
                <c:pt idx="6">
                  <c:v>Energy</c:v>
                </c:pt>
                <c:pt idx="7">
                  <c:v>Materials</c:v>
                </c:pt>
                <c:pt idx="8">
                  <c:v>Software &amp; Services</c:v>
                </c:pt>
                <c:pt idx="9">
                  <c:v>Retailing</c:v>
                </c:pt>
                <c:pt idx="10">
                  <c:v>Real Estate</c:v>
                </c:pt>
                <c:pt idx="11">
                  <c:v>Diversified Financials</c:v>
                </c:pt>
                <c:pt idx="12">
                  <c:v>Media</c:v>
                </c:pt>
                <c:pt idx="13">
                  <c:v>Technology Hardware &amp; Equipment</c:v>
                </c:pt>
                <c:pt idx="14">
                  <c:v>Banks</c:v>
                </c:pt>
                <c:pt idx="15">
                  <c:v>Food, Beverage &amp; Tobacco</c:v>
                </c:pt>
              </c:strCache>
            </c:strRef>
          </c:cat>
          <c:val>
            <c:numRef>
              <c:f>Sheet1!$B$2:$B$17</c:f>
              <c:numCache>
                <c:formatCode>General</c:formatCode>
                <c:ptCount val="16"/>
                <c:pt idx="0">
                  <c:v>1.65</c:v>
                </c:pt>
                <c:pt idx="1">
                  <c:v>1.71</c:v>
                </c:pt>
                <c:pt idx="2">
                  <c:v>2.13</c:v>
                </c:pt>
                <c:pt idx="3">
                  <c:v>1.76</c:v>
                </c:pt>
                <c:pt idx="4">
                  <c:v>1.45</c:v>
                </c:pt>
                <c:pt idx="5">
                  <c:v>1.26</c:v>
                </c:pt>
                <c:pt idx="6">
                  <c:v>1.36</c:v>
                </c:pt>
                <c:pt idx="7">
                  <c:v>1.12</c:v>
                </c:pt>
                <c:pt idx="8">
                  <c:v>1.28</c:v>
                </c:pt>
                <c:pt idx="9">
                  <c:v>1.05</c:v>
                </c:pt>
                <c:pt idx="10">
                  <c:v>0.79</c:v>
                </c:pt>
                <c:pt idx="11">
                  <c:v>0.87</c:v>
                </c:pt>
                <c:pt idx="12">
                  <c:v>0.91</c:v>
                </c:pt>
                <c:pt idx="13">
                  <c:v>1.04</c:v>
                </c:pt>
                <c:pt idx="14">
                  <c:v>0.72</c:v>
                </c:pt>
                <c:pt idx="15">
                  <c:v>0.58</c:v>
                </c:pt>
              </c:numCache>
            </c:numRef>
          </c:val>
        </c:ser>
        <c:ser>
          <c:idx val="1"/>
          <c:order val="1"/>
          <c:tx>
            <c:strRef>
              <c:f>Sheet1!$C$1</c:f>
              <c:strCache>
                <c:ptCount val="1"/>
                <c:pt idx="0">
                  <c:v>Low Activity</c:v>
                </c:pt>
              </c:strCache>
            </c:strRef>
          </c:tx>
          <c:spPr>
            <a:solidFill>
              <a:schemeClr val="accent5"/>
            </a:solidFill>
            <a:ln>
              <a:solidFill>
                <a:schemeClr val="accent5"/>
              </a:solidFill>
            </a:ln>
            <a:effectLst/>
          </c:spPr>
          <c:invertIfNegative val="0"/>
          <c:cat>
            <c:strRef>
              <c:f>Sheet1!$A$2:$A$17</c:f>
              <c:strCache>
                <c:ptCount val="16"/>
                <c:pt idx="0">
                  <c:v>Consumer Durables &amp; Apparel </c:v>
                </c:pt>
                <c:pt idx="1">
                  <c:v>Consumer Services</c:v>
                </c:pt>
                <c:pt idx="2">
                  <c:v>Pharmaceuticals, Biotechnology &amp; Life Sciences</c:v>
                </c:pt>
                <c:pt idx="3">
                  <c:v>Semiconductors &amp; Semiconductor Equipment</c:v>
                </c:pt>
                <c:pt idx="4">
                  <c:v>Health Care Equipment &amp; Services</c:v>
                </c:pt>
                <c:pt idx="5">
                  <c:v>Capital Goods</c:v>
                </c:pt>
                <c:pt idx="6">
                  <c:v>Energy</c:v>
                </c:pt>
                <c:pt idx="7">
                  <c:v>Materials</c:v>
                </c:pt>
                <c:pt idx="8">
                  <c:v>Software &amp; Services</c:v>
                </c:pt>
                <c:pt idx="9">
                  <c:v>Retailing</c:v>
                </c:pt>
                <c:pt idx="10">
                  <c:v>Real Estate</c:v>
                </c:pt>
                <c:pt idx="11">
                  <c:v>Diversified Financials</c:v>
                </c:pt>
                <c:pt idx="12">
                  <c:v>Media</c:v>
                </c:pt>
                <c:pt idx="13">
                  <c:v>Technology Hardware &amp; Equipment</c:v>
                </c:pt>
                <c:pt idx="14">
                  <c:v>Banks</c:v>
                </c:pt>
                <c:pt idx="15">
                  <c:v>Food, Beverage &amp; Tobacco</c:v>
                </c:pt>
              </c:strCache>
            </c:strRef>
          </c:cat>
          <c:val>
            <c:numRef>
              <c:f>Sheet1!$C$2:$C$17</c:f>
              <c:numCache>
                <c:formatCode>General</c:formatCode>
                <c:ptCount val="16"/>
                <c:pt idx="0">
                  <c:v>0.84</c:v>
                </c:pt>
                <c:pt idx="1">
                  <c:v>0.96</c:v>
                </c:pt>
                <c:pt idx="2">
                  <c:v>1.49</c:v>
                </c:pt>
                <c:pt idx="3">
                  <c:v>1.139999999999999</c:v>
                </c:pt>
                <c:pt idx="4">
                  <c:v>0.95</c:v>
                </c:pt>
                <c:pt idx="5">
                  <c:v>0.85</c:v>
                </c:pt>
                <c:pt idx="6">
                  <c:v>0.99</c:v>
                </c:pt>
                <c:pt idx="7">
                  <c:v>0.87</c:v>
                </c:pt>
                <c:pt idx="8">
                  <c:v>1.07</c:v>
                </c:pt>
                <c:pt idx="9">
                  <c:v>0.87</c:v>
                </c:pt>
                <c:pt idx="10">
                  <c:v>0.63</c:v>
                </c:pt>
                <c:pt idx="11">
                  <c:v>0.73</c:v>
                </c:pt>
                <c:pt idx="12">
                  <c:v>0.79</c:v>
                </c:pt>
                <c:pt idx="13">
                  <c:v>0.95</c:v>
                </c:pt>
                <c:pt idx="14">
                  <c:v>0.63</c:v>
                </c:pt>
                <c:pt idx="15">
                  <c:v>0.61</c:v>
                </c:pt>
              </c:numCache>
            </c:numRef>
          </c:val>
        </c:ser>
        <c:dLbls>
          <c:showLegendKey val="0"/>
          <c:showVal val="0"/>
          <c:showCatName val="0"/>
          <c:showSerName val="0"/>
          <c:showPercent val="0"/>
          <c:showBubbleSize val="0"/>
        </c:dLbls>
        <c:gapWidth val="219"/>
        <c:overlap val="-27"/>
        <c:axId val="-2076766696"/>
        <c:axId val="-2076763416"/>
      </c:barChart>
      <c:catAx>
        <c:axId val="-207676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63416"/>
        <c:crosses val="autoZero"/>
        <c:auto val="1"/>
        <c:lblAlgn val="ctr"/>
        <c:lblOffset val="100"/>
        <c:noMultiLvlLbl val="0"/>
      </c:catAx>
      <c:valAx>
        <c:axId val="-207676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7666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Day 0</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Day 0</c:v>
                </c:pt>
                <c:pt idx="1">
                  <c:v>Day 1</c:v>
                </c:pt>
                <c:pt idx="2">
                  <c:v>Day 2</c:v>
                </c:pt>
                <c:pt idx="3">
                  <c:v>Day 3</c:v>
                </c:pt>
              </c:strCache>
            </c:strRef>
          </c:cat>
          <c:val>
            <c:numRef>
              <c:f>Sheet1!$B$2:$B$5</c:f>
              <c:numCache>
                <c:formatCode>General</c:formatCode>
                <c:ptCount val="4"/>
                <c:pt idx="0">
                  <c:v>3.6</c:v>
                </c:pt>
                <c:pt idx="1">
                  <c:v>2.2</c:v>
                </c:pt>
                <c:pt idx="2">
                  <c:v>2.1</c:v>
                </c:pt>
                <c:pt idx="3">
                  <c:v>1.9</c:v>
                </c:pt>
              </c:numCache>
            </c:numRef>
          </c:val>
          <c:smooth val="0"/>
        </c:ser>
        <c:ser>
          <c:idx val="1"/>
          <c:order val="1"/>
          <c:tx>
            <c:strRef>
              <c:f>Sheet1!$A$3</c:f>
              <c:strCache>
                <c:ptCount val="1"/>
                <c:pt idx="0">
                  <c:v>Day 1</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Day 0</c:v>
                </c:pt>
                <c:pt idx="1">
                  <c:v>Day 1</c:v>
                </c:pt>
                <c:pt idx="2">
                  <c:v>Day 2</c:v>
                </c:pt>
                <c:pt idx="3">
                  <c:v>Day 3</c:v>
                </c:pt>
              </c:strCache>
            </c:strRef>
          </c:cat>
          <c:val>
            <c:numRef>
              <c:f>Sheet1!$C$2:$C$5</c:f>
              <c:numCache>
                <c:formatCode>General</c:formatCode>
                <c:ptCount val="4"/>
                <c:pt idx="0">
                  <c:v>1.6</c:v>
                </c:pt>
                <c:pt idx="1">
                  <c:v>1.7</c:v>
                </c:pt>
                <c:pt idx="2">
                  <c:v>1.7</c:v>
                </c:pt>
                <c:pt idx="3">
                  <c:v>1.7</c:v>
                </c:pt>
              </c:numCache>
            </c:numRef>
          </c:val>
          <c:smooth val="0"/>
        </c:ser>
        <c:dLbls>
          <c:showLegendKey val="0"/>
          <c:showVal val="1"/>
          <c:showCatName val="0"/>
          <c:showSerName val="0"/>
          <c:showPercent val="0"/>
          <c:showBubbleSize val="0"/>
        </c:dLbls>
        <c:marker val="1"/>
        <c:smooth val="0"/>
        <c:axId val="-2106513992"/>
        <c:axId val="-2073918632"/>
      </c:lineChart>
      <c:catAx>
        <c:axId val="-21065139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Days</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73918632"/>
        <c:crosses val="autoZero"/>
        <c:auto val="1"/>
        <c:lblAlgn val="ctr"/>
        <c:lblOffset val="100"/>
        <c:noMultiLvlLbl val="0"/>
      </c:catAx>
      <c:valAx>
        <c:axId val="-20739186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Mean</a:t>
                </a:r>
                <a:r>
                  <a:rPr lang="en-US" baseline="0"/>
                  <a:t> Abs Return</a:t>
                </a:r>
                <a:endParaRPr lang="en-US"/>
              </a:p>
            </c:rich>
          </c:tx>
          <c:layout/>
          <c:overlay val="0"/>
          <c:spPr>
            <a:noFill/>
            <a:ln>
              <a:noFill/>
            </a:ln>
            <a:effectLst/>
          </c:spPr>
        </c:title>
        <c:numFmt formatCode="General" sourceLinked="1"/>
        <c:majorTickMark val="none"/>
        <c:minorTickMark val="none"/>
        <c:tickLblPos val="none"/>
        <c:crossAx val="-2106513992"/>
        <c:crosses val="autoZero"/>
        <c:crossBetween val="between"/>
      </c:valAx>
      <c:spPr>
        <a:noFill/>
        <a:ln>
          <a:noFill/>
        </a:ln>
        <a:effectLst/>
      </c:spPr>
    </c:plotArea>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Abs</a:t>
            </a:r>
            <a:r>
              <a:rPr lang="en-US" baseline="0"/>
              <a:t> Return by Sector</a:t>
            </a:r>
            <a:endParaRPr lang="en-US"/>
          </a:p>
        </c:rich>
      </c:tx>
      <c:layout>
        <c:manualLayout>
          <c:xMode val="edge"/>
          <c:yMode val="edge"/>
          <c:x val="0.401429352580927"/>
          <c:y val="0.0317460317460317"/>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High Activity</c:v>
                </c:pt>
              </c:strCache>
            </c:strRef>
          </c:tx>
          <c:spPr>
            <a:solidFill>
              <a:schemeClr val="accent2">
                <a:lumMod val="75000"/>
              </a:schemeClr>
            </a:solidFill>
            <a:ln>
              <a:noFill/>
            </a:ln>
            <a:effectLst/>
          </c:spPr>
          <c:invertIfNegative val="0"/>
          <c:cat>
            <c:strRef>
              <c:f>Sheet1!$A$2:$A$17</c:f>
              <c:strCache>
                <c:ptCount val="16"/>
                <c:pt idx="0">
                  <c:v>Pharmaceuticals</c:v>
                </c:pt>
                <c:pt idx="1">
                  <c:v>Consumer Services</c:v>
                </c:pt>
                <c:pt idx="2">
                  <c:v>Software &amp; Services</c:v>
                </c:pt>
                <c:pt idx="3">
                  <c:v>Consumer Durables &amp; Apparel</c:v>
                </c:pt>
                <c:pt idx="4">
                  <c:v>Health Care Equipment &amp; Services</c:v>
                </c:pt>
                <c:pt idx="5">
                  <c:v>Technology Hardware &amp; Equipment </c:v>
                </c:pt>
                <c:pt idx="6">
                  <c:v>Retailing</c:v>
                </c:pt>
                <c:pt idx="7">
                  <c:v>Semiconductors &amp; Semiconductor Equipment</c:v>
                </c:pt>
                <c:pt idx="8">
                  <c:v>Capital Goods</c:v>
                </c:pt>
                <c:pt idx="9">
                  <c:v>Materials</c:v>
                </c:pt>
                <c:pt idx="10">
                  <c:v>Real Estate</c:v>
                </c:pt>
                <c:pt idx="11">
                  <c:v>Food, Beverage &amp; Tobacco</c:v>
                </c:pt>
                <c:pt idx="12">
                  <c:v>Energy</c:v>
                </c:pt>
                <c:pt idx="13">
                  <c:v>Banks</c:v>
                </c:pt>
                <c:pt idx="14">
                  <c:v>Media</c:v>
                </c:pt>
                <c:pt idx="15">
                  <c:v>Diversified Financials</c:v>
                </c:pt>
              </c:strCache>
            </c:strRef>
          </c:cat>
          <c:val>
            <c:numRef>
              <c:f>Sheet1!$B$2:$B$17</c:f>
              <c:numCache>
                <c:formatCode>0.00%</c:formatCode>
                <c:ptCount val="16"/>
                <c:pt idx="0">
                  <c:v>0.057</c:v>
                </c:pt>
                <c:pt idx="1">
                  <c:v>0.035</c:v>
                </c:pt>
                <c:pt idx="2">
                  <c:v>0.037</c:v>
                </c:pt>
                <c:pt idx="3">
                  <c:v>0.034</c:v>
                </c:pt>
                <c:pt idx="4">
                  <c:v>0.034</c:v>
                </c:pt>
                <c:pt idx="5">
                  <c:v>0.036</c:v>
                </c:pt>
                <c:pt idx="6">
                  <c:v>0.032</c:v>
                </c:pt>
                <c:pt idx="7">
                  <c:v>0.032</c:v>
                </c:pt>
                <c:pt idx="8">
                  <c:v>0.029</c:v>
                </c:pt>
                <c:pt idx="9">
                  <c:v>0.026</c:v>
                </c:pt>
                <c:pt idx="10">
                  <c:v>0.019</c:v>
                </c:pt>
                <c:pt idx="11">
                  <c:v>0.019</c:v>
                </c:pt>
                <c:pt idx="12">
                  <c:v>0.026</c:v>
                </c:pt>
                <c:pt idx="13">
                  <c:v>0.019</c:v>
                </c:pt>
                <c:pt idx="14">
                  <c:v>0.02</c:v>
                </c:pt>
                <c:pt idx="15">
                  <c:v>0.018</c:v>
                </c:pt>
              </c:numCache>
            </c:numRef>
          </c:val>
        </c:ser>
        <c:ser>
          <c:idx val="1"/>
          <c:order val="1"/>
          <c:tx>
            <c:strRef>
              <c:f>Sheet1!$C$1</c:f>
              <c:strCache>
                <c:ptCount val="1"/>
                <c:pt idx="0">
                  <c:v>Low Activity</c:v>
                </c:pt>
              </c:strCache>
            </c:strRef>
          </c:tx>
          <c:spPr>
            <a:solidFill>
              <a:schemeClr val="accent1"/>
            </a:solidFill>
            <a:ln>
              <a:noFill/>
            </a:ln>
            <a:effectLst/>
          </c:spPr>
          <c:invertIfNegative val="0"/>
          <c:cat>
            <c:strRef>
              <c:f>Sheet1!$A$2:$A$17</c:f>
              <c:strCache>
                <c:ptCount val="16"/>
                <c:pt idx="0">
                  <c:v>Pharmaceuticals</c:v>
                </c:pt>
                <c:pt idx="1">
                  <c:v>Consumer Services</c:v>
                </c:pt>
                <c:pt idx="2">
                  <c:v>Software &amp; Services</c:v>
                </c:pt>
                <c:pt idx="3">
                  <c:v>Consumer Durables &amp; Apparel</c:v>
                </c:pt>
                <c:pt idx="4">
                  <c:v>Health Care Equipment &amp; Services</c:v>
                </c:pt>
                <c:pt idx="5">
                  <c:v>Technology Hardware &amp; Equipment </c:v>
                </c:pt>
                <c:pt idx="6">
                  <c:v>Retailing</c:v>
                </c:pt>
                <c:pt idx="7">
                  <c:v>Semiconductors &amp; Semiconductor Equipment</c:v>
                </c:pt>
                <c:pt idx="8">
                  <c:v>Capital Goods</c:v>
                </c:pt>
                <c:pt idx="9">
                  <c:v>Materials</c:v>
                </c:pt>
                <c:pt idx="10">
                  <c:v>Real Estate</c:v>
                </c:pt>
                <c:pt idx="11">
                  <c:v>Food, Beverage &amp; Tobacco</c:v>
                </c:pt>
                <c:pt idx="12">
                  <c:v>Energy</c:v>
                </c:pt>
                <c:pt idx="13">
                  <c:v>Banks</c:v>
                </c:pt>
                <c:pt idx="14">
                  <c:v>Media</c:v>
                </c:pt>
                <c:pt idx="15">
                  <c:v>Diversified Financials</c:v>
                </c:pt>
              </c:strCache>
            </c:strRef>
          </c:cat>
          <c:val>
            <c:numRef>
              <c:f>Sheet1!$C$2:$C$17</c:f>
              <c:numCache>
                <c:formatCode>0.00%</c:formatCode>
                <c:ptCount val="16"/>
                <c:pt idx="0">
                  <c:v>0.024</c:v>
                </c:pt>
                <c:pt idx="1">
                  <c:v>0.015</c:v>
                </c:pt>
                <c:pt idx="2">
                  <c:v>0.018</c:v>
                </c:pt>
                <c:pt idx="3">
                  <c:v>0.015</c:v>
                </c:pt>
                <c:pt idx="4">
                  <c:v>0.016</c:v>
                </c:pt>
                <c:pt idx="5">
                  <c:v>0.019</c:v>
                </c:pt>
                <c:pt idx="6">
                  <c:v>0.016</c:v>
                </c:pt>
                <c:pt idx="7">
                  <c:v>0.017</c:v>
                </c:pt>
                <c:pt idx="8">
                  <c:v>0.014</c:v>
                </c:pt>
                <c:pt idx="9">
                  <c:v>0.014</c:v>
                </c:pt>
                <c:pt idx="10">
                  <c:v>0.00800000000000001</c:v>
                </c:pt>
                <c:pt idx="11">
                  <c:v>0.01</c:v>
                </c:pt>
                <c:pt idx="12">
                  <c:v>0.018</c:v>
                </c:pt>
                <c:pt idx="13">
                  <c:v>0.011</c:v>
                </c:pt>
                <c:pt idx="14">
                  <c:v>0.013</c:v>
                </c:pt>
                <c:pt idx="15">
                  <c:v>0.012</c:v>
                </c:pt>
              </c:numCache>
            </c:numRef>
          </c:val>
        </c:ser>
        <c:dLbls>
          <c:showLegendKey val="0"/>
          <c:showVal val="0"/>
          <c:showCatName val="0"/>
          <c:showSerName val="0"/>
          <c:showPercent val="0"/>
          <c:showBubbleSize val="0"/>
        </c:dLbls>
        <c:gapWidth val="219"/>
        <c:overlap val="-27"/>
        <c:axId val="-2105691064"/>
        <c:axId val="-2073415656"/>
      </c:barChart>
      <c:catAx>
        <c:axId val="-210569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415656"/>
        <c:crosses val="autoZero"/>
        <c:auto val="1"/>
        <c:lblAlgn val="ctr"/>
        <c:lblOffset val="100"/>
        <c:noMultiLvlLbl val="0"/>
      </c:catAx>
      <c:valAx>
        <c:axId val="-2073415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691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High Volatility</c:v>
          </c:tx>
          <c:spPr>
            <a:solidFill>
              <a:schemeClr val="accent2"/>
            </a:solidFill>
            <a:ln>
              <a:noFill/>
            </a:ln>
            <a:effectLst/>
          </c:spPr>
          <c:invertIfNegative val="0"/>
          <c:cat>
            <c:strRef>
              <c:f>Sheet1!$A$2:$A$3</c:f>
              <c:strCache>
                <c:ptCount val="2"/>
                <c:pt idx="0">
                  <c:v>High Activity</c:v>
                </c:pt>
                <c:pt idx="1">
                  <c:v>Low Activity</c:v>
                </c:pt>
              </c:strCache>
            </c:strRef>
          </c:cat>
          <c:val>
            <c:numRef>
              <c:f>Sheet1!$C$2:$C$3</c:f>
              <c:numCache>
                <c:formatCode>General</c:formatCode>
                <c:ptCount val="2"/>
                <c:pt idx="0">
                  <c:v>5.7</c:v>
                </c:pt>
                <c:pt idx="1">
                  <c:v>2.3</c:v>
                </c:pt>
              </c:numCache>
            </c:numRef>
          </c:val>
        </c:ser>
        <c:ser>
          <c:idx val="1"/>
          <c:order val="1"/>
          <c:tx>
            <c:v>Low Volatility</c:v>
          </c:tx>
          <c:spPr>
            <a:solidFill>
              <a:srgbClr val="0070C0"/>
            </a:solidFill>
            <a:ln>
              <a:noFill/>
            </a:ln>
            <a:effectLst/>
          </c:spPr>
          <c:invertIfNegative val="0"/>
          <c:cat>
            <c:strRef>
              <c:f>Sheet1!$A$2:$A$3</c:f>
              <c:strCache>
                <c:ptCount val="2"/>
                <c:pt idx="0">
                  <c:v>High Activity</c:v>
                </c:pt>
                <c:pt idx="1">
                  <c:v>Low Activity</c:v>
                </c:pt>
              </c:strCache>
            </c:strRef>
          </c:cat>
          <c:val>
            <c:numRef>
              <c:f>Sheet1!$B$2:$B$3</c:f>
              <c:numCache>
                <c:formatCode>General</c:formatCode>
                <c:ptCount val="2"/>
                <c:pt idx="0">
                  <c:v>1.6</c:v>
                </c:pt>
                <c:pt idx="1">
                  <c:v>1.0</c:v>
                </c:pt>
              </c:numCache>
            </c:numRef>
          </c:val>
        </c:ser>
        <c:dLbls>
          <c:showLegendKey val="0"/>
          <c:showVal val="0"/>
          <c:showCatName val="0"/>
          <c:showSerName val="0"/>
          <c:showPercent val="0"/>
          <c:showBubbleSize val="0"/>
        </c:dLbls>
        <c:gapWidth val="219"/>
        <c:overlap val="-27"/>
        <c:axId val="-2062869608"/>
        <c:axId val="-2062866232"/>
      </c:barChart>
      <c:catAx>
        <c:axId val="-2062869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66232"/>
        <c:crosses val="autoZero"/>
        <c:auto val="1"/>
        <c:lblAlgn val="ctr"/>
        <c:lblOffset val="100"/>
        <c:noMultiLvlLbl val="0"/>
      </c:catAx>
      <c:valAx>
        <c:axId val="-2062866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696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Sheet1!#REF!</c:f>
              <c:strCache>
                <c:ptCount val="1"/>
                <c:pt idx="0">
                  <c:v>#REF!</c:v>
                </c:pt>
              </c:strCache>
            </c:strRef>
          </c:tx>
          <c:spPr>
            <a:ln w="31750" cap="rnd">
              <a:solidFill>
                <a:schemeClr val="accent2"/>
              </a:solidFill>
              <a:round/>
            </a:ln>
            <a:effectLst/>
          </c:spPr>
          <c:marker>
            <c:symbol val="circle"/>
            <c:size val="17"/>
            <c:spPr>
              <a:solidFill>
                <a:schemeClr val="accent2"/>
              </a:solidFill>
              <a:ln>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Sheet1!$B$2:$B$6</c:f>
              <c:numCache>
                <c:formatCode>General</c:formatCode>
                <c:ptCount val="5"/>
                <c:pt idx="0">
                  <c:v>2.2</c:v>
                </c:pt>
                <c:pt idx="1">
                  <c:v>3.6</c:v>
                </c:pt>
                <c:pt idx="2">
                  <c:v>2.2</c:v>
                </c:pt>
                <c:pt idx="3">
                  <c:v>2.1</c:v>
                </c:pt>
                <c:pt idx="4">
                  <c:v>1.9</c:v>
                </c:pt>
              </c:numCache>
            </c:numRef>
          </c:val>
          <c:smooth val="0"/>
        </c:ser>
        <c:ser>
          <c:idx val="1"/>
          <c:order val="1"/>
          <c:tx>
            <c:strRef>
              <c:f>Sheet1!#REF!</c:f>
              <c:strCache>
                <c:ptCount val="1"/>
                <c:pt idx="0">
                  <c:v>#REF!</c:v>
                </c:pt>
              </c:strCache>
            </c:strRef>
          </c:tx>
          <c:spPr>
            <a:ln w="31750" cap="rnd">
              <a:solidFill>
                <a:schemeClr val="accent1"/>
              </a:solidFill>
              <a:round/>
            </a:ln>
            <a:effectLst/>
          </c:spPr>
          <c:marker>
            <c:symbol val="circle"/>
            <c:size val="17"/>
            <c:spPr>
              <a:solidFill>
                <a:schemeClr val="accent2"/>
              </a:solidFill>
              <a:ln>
                <a:solidFill>
                  <a:schemeClr val="accent1"/>
                </a:solidFill>
              </a:ln>
              <a:effectLst/>
            </c:spPr>
          </c:marker>
          <c:dLbls>
            <c:spPr>
              <a:solidFill>
                <a:schemeClr val="accent1"/>
              </a:solidFill>
              <a:ln>
                <a:solidFill>
                  <a:schemeClr val="accent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Sheet1!$C$2:$C$6</c:f>
              <c:numCache>
                <c:formatCode>General</c:formatCode>
                <c:ptCount val="5"/>
                <c:pt idx="0">
                  <c:v>1.7</c:v>
                </c:pt>
                <c:pt idx="1">
                  <c:v>1.6</c:v>
                </c:pt>
                <c:pt idx="2">
                  <c:v>1.7</c:v>
                </c:pt>
                <c:pt idx="3">
                  <c:v>1.7</c:v>
                </c:pt>
                <c:pt idx="4">
                  <c:v>1.7</c:v>
                </c:pt>
              </c:numCache>
            </c:numRef>
          </c:val>
          <c:smooth val="0"/>
        </c:ser>
        <c:ser>
          <c:idx val="2"/>
          <c:order val="2"/>
          <c:tx>
            <c:strRef>
              <c:f>Sheet1!$D$1</c:f>
              <c:strCache>
                <c:ptCount val="1"/>
                <c:pt idx="0">
                  <c:v>Column1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Sheet1!$D$2:$D$6</c:f>
              <c:numCache>
                <c:formatCode>General</c:formatCode>
                <c:ptCount val="5"/>
              </c:numCache>
            </c:numRef>
          </c:val>
          <c:smooth val="0"/>
        </c:ser>
        <c:dLbls>
          <c:showLegendKey val="0"/>
          <c:showVal val="1"/>
          <c:showCatName val="0"/>
          <c:showSerName val="0"/>
          <c:showPercent val="0"/>
          <c:showBubbleSize val="0"/>
        </c:dLbls>
        <c:marker val="1"/>
        <c:smooth val="0"/>
        <c:axId val="-2116913976"/>
        <c:axId val="-2062855112"/>
      </c:lineChart>
      <c:catAx>
        <c:axId val="-21169139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Days Lagged</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62855112"/>
        <c:crosses val="autoZero"/>
        <c:auto val="1"/>
        <c:lblAlgn val="ctr"/>
        <c:lblOffset val="100"/>
        <c:noMultiLvlLbl val="0"/>
      </c:catAx>
      <c:valAx>
        <c:axId val="-20628551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Abs Returns</a:t>
                </a:r>
              </a:p>
            </c:rich>
          </c:tx>
          <c:layout/>
          <c:overlay val="0"/>
          <c:spPr>
            <a:noFill/>
            <a:ln>
              <a:noFill/>
            </a:ln>
            <a:effectLst/>
          </c:spPr>
        </c:title>
        <c:numFmt formatCode="General" sourceLinked="1"/>
        <c:majorTickMark val="none"/>
        <c:minorTickMark val="none"/>
        <c:tickLblPos val="none"/>
        <c:crossAx val="-2116913976"/>
        <c:crosses val="autoZero"/>
        <c:crossBetween val="between"/>
      </c:valAx>
      <c:spPr>
        <a:noFill/>
        <a:ln>
          <a:noFill/>
        </a:ln>
        <a:effectLst/>
      </c:spPr>
    </c:plotArea>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Sheet1!#REF!</c:f>
              <c:strCache>
                <c:ptCount val="1"/>
                <c:pt idx="0">
                  <c:v>#REF!</c:v>
                </c:pt>
              </c:strCache>
            </c:strRef>
          </c:tx>
          <c:spPr>
            <a:ln w="31750" cap="rnd">
              <a:solidFill>
                <a:schemeClr val="accent2"/>
              </a:solidFill>
              <a:round/>
            </a:ln>
            <a:effectLst/>
          </c:spPr>
          <c:marker>
            <c:symbol val="circle"/>
            <c:size val="17"/>
            <c:spPr>
              <a:solidFill>
                <a:schemeClr val="accent2"/>
              </a:solidFill>
              <a:ln>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Sheet1!$B$2:$B$6</c:f>
              <c:numCache>
                <c:formatCode>General</c:formatCode>
                <c:ptCount val="5"/>
                <c:pt idx="0">
                  <c:v>2.4</c:v>
                </c:pt>
                <c:pt idx="1">
                  <c:v>3.3</c:v>
                </c:pt>
                <c:pt idx="2">
                  <c:v>2.1</c:v>
                </c:pt>
                <c:pt idx="3">
                  <c:v>2.2</c:v>
                </c:pt>
                <c:pt idx="4">
                  <c:v>2.0</c:v>
                </c:pt>
              </c:numCache>
            </c:numRef>
          </c:val>
          <c:smooth val="0"/>
        </c:ser>
        <c:ser>
          <c:idx val="1"/>
          <c:order val="1"/>
          <c:tx>
            <c:strRef>
              <c:f>Sheet1!#REF!</c:f>
              <c:strCache>
                <c:ptCount val="1"/>
                <c:pt idx="0">
                  <c:v>#REF!</c:v>
                </c:pt>
              </c:strCache>
            </c:strRef>
          </c:tx>
          <c:spPr>
            <a:ln w="31750" cap="rnd">
              <a:solidFill>
                <a:schemeClr val="accent1"/>
              </a:solidFill>
              <a:round/>
            </a:ln>
            <a:effectLst/>
          </c:spPr>
          <c:marker>
            <c:symbol val="circle"/>
            <c:size val="17"/>
            <c:spPr>
              <a:solidFill>
                <a:schemeClr val="accent2"/>
              </a:solidFill>
              <a:ln>
                <a:solidFill>
                  <a:schemeClr val="accent1"/>
                </a:solidFill>
              </a:ln>
              <a:effectLst/>
            </c:spPr>
          </c:marker>
          <c:dLbls>
            <c:spPr>
              <a:solidFill>
                <a:schemeClr val="accent1"/>
              </a:solidFill>
              <a:ln>
                <a:solidFill>
                  <a:schemeClr val="accent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Sheet1!$C$2:$C$6</c:f>
              <c:numCache>
                <c:formatCode>General</c:formatCode>
                <c:ptCount val="5"/>
                <c:pt idx="0">
                  <c:v>1.7</c:v>
                </c:pt>
                <c:pt idx="1">
                  <c:v>1.7</c:v>
                </c:pt>
                <c:pt idx="2">
                  <c:v>1.7</c:v>
                </c:pt>
                <c:pt idx="3">
                  <c:v>1.7</c:v>
                </c:pt>
                <c:pt idx="4">
                  <c:v>1.7</c:v>
                </c:pt>
              </c:numCache>
            </c:numRef>
          </c:val>
          <c:smooth val="0"/>
        </c:ser>
        <c:ser>
          <c:idx val="2"/>
          <c:order val="2"/>
          <c:tx>
            <c:strRef>
              <c:f>Sheet1!$D$1</c:f>
              <c:strCache>
                <c:ptCount val="1"/>
                <c:pt idx="0">
                  <c:v>Column1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0.0</c:v>
                </c:pt>
                <c:pt idx="2">
                  <c:v>1.0</c:v>
                </c:pt>
                <c:pt idx="3">
                  <c:v>2.0</c:v>
                </c:pt>
                <c:pt idx="4">
                  <c:v>3.0</c:v>
                </c:pt>
              </c:numCache>
            </c:numRef>
          </c:cat>
          <c:val>
            <c:numRef>
              <c:f>Sheet1!$D$2:$D$6</c:f>
              <c:numCache>
                <c:formatCode>General</c:formatCode>
                <c:ptCount val="5"/>
              </c:numCache>
            </c:numRef>
          </c:val>
          <c:smooth val="0"/>
        </c:ser>
        <c:dLbls>
          <c:showLegendKey val="0"/>
          <c:showVal val="1"/>
          <c:showCatName val="0"/>
          <c:showSerName val="0"/>
          <c:showPercent val="0"/>
          <c:showBubbleSize val="0"/>
        </c:dLbls>
        <c:marker val="1"/>
        <c:smooth val="0"/>
        <c:axId val="-2073737448"/>
        <c:axId val="-2106107176"/>
      </c:lineChart>
      <c:catAx>
        <c:axId val="-20737374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Days Lagged</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06107176"/>
        <c:crosses val="autoZero"/>
        <c:auto val="1"/>
        <c:lblAlgn val="ctr"/>
        <c:lblOffset val="100"/>
        <c:noMultiLvlLbl val="0"/>
      </c:catAx>
      <c:valAx>
        <c:axId val="-21061071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Abs Returns</a:t>
                </a:r>
              </a:p>
            </c:rich>
          </c:tx>
          <c:layout/>
          <c:overlay val="0"/>
          <c:spPr>
            <a:noFill/>
            <a:ln>
              <a:noFill/>
            </a:ln>
            <a:effectLst/>
          </c:spPr>
        </c:title>
        <c:numFmt formatCode="General" sourceLinked="1"/>
        <c:majorTickMark val="none"/>
        <c:minorTickMark val="none"/>
        <c:tickLblPos val="none"/>
        <c:crossAx val="-2073737448"/>
        <c:crosses val="autoZero"/>
        <c:crossBetween val="between"/>
      </c:valAx>
      <c:spPr>
        <a:noFill/>
        <a:ln>
          <a:noFill/>
        </a:ln>
        <a:effectLst/>
      </c:spPr>
    </c:plotArea>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High Activity</c:v>
                </c:pt>
              </c:strCache>
            </c:strRef>
          </c:tx>
          <c:spPr>
            <a:solidFill>
              <a:schemeClr val="accent2"/>
            </a:solidFill>
            <a:ln>
              <a:solidFill>
                <a:schemeClr val="accent2"/>
              </a:solidFill>
            </a:ln>
            <a:effectLst/>
          </c:spPr>
          <c:invertIfNegative val="0"/>
          <c:cat>
            <c:strRef>
              <c:f>Sheet1!$A$2:$A$17</c:f>
              <c:strCache>
                <c:ptCount val="16"/>
                <c:pt idx="0">
                  <c:v>Pharmaceuticals, Biotechnology &amp; Life Sciences</c:v>
                </c:pt>
                <c:pt idx="1">
                  <c:v>Software &amp; Services</c:v>
                </c:pt>
                <c:pt idx="2">
                  <c:v>Energy</c:v>
                </c:pt>
                <c:pt idx="3">
                  <c:v>Capital Goods</c:v>
                </c:pt>
                <c:pt idx="4">
                  <c:v>Retailing</c:v>
                </c:pt>
                <c:pt idx="5">
                  <c:v>Health Care Equipment &amp; Services</c:v>
                </c:pt>
                <c:pt idx="6">
                  <c:v>Diversified Financials</c:v>
                </c:pt>
                <c:pt idx="7">
                  <c:v>Materials</c:v>
                </c:pt>
                <c:pt idx="8">
                  <c:v>Technology Hardware &amp; Equipment</c:v>
                </c:pt>
                <c:pt idx="9">
                  <c:v>Consumer Services</c:v>
                </c:pt>
                <c:pt idx="10">
                  <c:v>Consumer Durables &amp; Apparel</c:v>
                </c:pt>
                <c:pt idx="11">
                  <c:v>Semiconductors &amp; Semiconductor Equipment</c:v>
                </c:pt>
                <c:pt idx="12">
                  <c:v>Banks</c:v>
                </c:pt>
                <c:pt idx="13">
                  <c:v>Media</c:v>
                </c:pt>
                <c:pt idx="14">
                  <c:v>Real Estate</c:v>
                </c:pt>
                <c:pt idx="15">
                  <c:v>Food, Beverage &amp; Tobacco</c:v>
                </c:pt>
              </c:strCache>
            </c:strRef>
          </c:cat>
          <c:val>
            <c:numRef>
              <c:f>Sheet1!$B$2:$B$17</c:f>
              <c:numCache>
                <c:formatCode>0.00%</c:formatCode>
                <c:ptCount val="16"/>
                <c:pt idx="0">
                  <c:v>0.049</c:v>
                </c:pt>
                <c:pt idx="1">
                  <c:v>0.029</c:v>
                </c:pt>
                <c:pt idx="2">
                  <c:v>0.025</c:v>
                </c:pt>
                <c:pt idx="3">
                  <c:v>0.021</c:v>
                </c:pt>
                <c:pt idx="4">
                  <c:v>0.028</c:v>
                </c:pt>
                <c:pt idx="5">
                  <c:v>0.021</c:v>
                </c:pt>
                <c:pt idx="6" formatCode="0%">
                  <c:v>0.02</c:v>
                </c:pt>
                <c:pt idx="7">
                  <c:v>0.024</c:v>
                </c:pt>
                <c:pt idx="8">
                  <c:v>0.024</c:v>
                </c:pt>
                <c:pt idx="9">
                  <c:v>0.032</c:v>
                </c:pt>
                <c:pt idx="10">
                  <c:v>0.043</c:v>
                </c:pt>
                <c:pt idx="11">
                  <c:v>0.028</c:v>
                </c:pt>
                <c:pt idx="12">
                  <c:v>0.016</c:v>
                </c:pt>
                <c:pt idx="13">
                  <c:v>0.021</c:v>
                </c:pt>
                <c:pt idx="14">
                  <c:v>0.012</c:v>
                </c:pt>
                <c:pt idx="15">
                  <c:v>0.028</c:v>
                </c:pt>
              </c:numCache>
            </c:numRef>
          </c:val>
        </c:ser>
        <c:ser>
          <c:idx val="1"/>
          <c:order val="1"/>
          <c:tx>
            <c:strRef>
              <c:f>Sheet1!$C$1</c:f>
              <c:strCache>
                <c:ptCount val="1"/>
                <c:pt idx="0">
                  <c:v>Low Activity</c:v>
                </c:pt>
              </c:strCache>
            </c:strRef>
          </c:tx>
          <c:spPr>
            <a:solidFill>
              <a:schemeClr val="accent5"/>
            </a:solidFill>
            <a:ln>
              <a:solidFill>
                <a:schemeClr val="accent5"/>
              </a:solidFill>
            </a:ln>
            <a:effectLst/>
          </c:spPr>
          <c:invertIfNegative val="0"/>
          <c:cat>
            <c:strRef>
              <c:f>Sheet1!$A$2:$A$17</c:f>
              <c:strCache>
                <c:ptCount val="16"/>
                <c:pt idx="0">
                  <c:v>Pharmaceuticals, Biotechnology &amp; Life Sciences</c:v>
                </c:pt>
                <c:pt idx="1">
                  <c:v>Software &amp; Services</c:v>
                </c:pt>
                <c:pt idx="2">
                  <c:v>Energy</c:v>
                </c:pt>
                <c:pt idx="3">
                  <c:v>Capital Goods</c:v>
                </c:pt>
                <c:pt idx="4">
                  <c:v>Retailing</c:v>
                </c:pt>
                <c:pt idx="5">
                  <c:v>Health Care Equipment &amp; Services</c:v>
                </c:pt>
                <c:pt idx="6">
                  <c:v>Diversified Financials</c:v>
                </c:pt>
                <c:pt idx="7">
                  <c:v>Materials</c:v>
                </c:pt>
                <c:pt idx="8">
                  <c:v>Technology Hardware &amp; Equipment</c:v>
                </c:pt>
                <c:pt idx="9">
                  <c:v>Consumer Services</c:v>
                </c:pt>
                <c:pt idx="10">
                  <c:v>Consumer Durables &amp; Apparel</c:v>
                </c:pt>
                <c:pt idx="11">
                  <c:v>Semiconductors &amp; Semiconductor Equipment</c:v>
                </c:pt>
                <c:pt idx="12">
                  <c:v>Banks</c:v>
                </c:pt>
                <c:pt idx="13">
                  <c:v>Media</c:v>
                </c:pt>
                <c:pt idx="14">
                  <c:v>Real Estate</c:v>
                </c:pt>
                <c:pt idx="15">
                  <c:v>Food, Beverage &amp; Tobacco</c:v>
                </c:pt>
              </c:strCache>
            </c:strRef>
          </c:cat>
          <c:val>
            <c:numRef>
              <c:f>Sheet1!$C$2:$C$17</c:f>
              <c:numCache>
                <c:formatCode>0.00%</c:formatCode>
                <c:ptCount val="16"/>
                <c:pt idx="0">
                  <c:v>0.024</c:v>
                </c:pt>
                <c:pt idx="1">
                  <c:v>0.018</c:v>
                </c:pt>
                <c:pt idx="2">
                  <c:v>0.015</c:v>
                </c:pt>
                <c:pt idx="3">
                  <c:v>0.014</c:v>
                </c:pt>
                <c:pt idx="4">
                  <c:v>0.016</c:v>
                </c:pt>
                <c:pt idx="5">
                  <c:v>0.014</c:v>
                </c:pt>
                <c:pt idx="6">
                  <c:v>0.011</c:v>
                </c:pt>
                <c:pt idx="7">
                  <c:v>0.014</c:v>
                </c:pt>
                <c:pt idx="8">
                  <c:v>0.017</c:v>
                </c:pt>
                <c:pt idx="9">
                  <c:v>0.015</c:v>
                </c:pt>
                <c:pt idx="10">
                  <c:v>0.015</c:v>
                </c:pt>
                <c:pt idx="11" formatCode="0%">
                  <c:v>0.02</c:v>
                </c:pt>
                <c:pt idx="12">
                  <c:v>0.012</c:v>
                </c:pt>
                <c:pt idx="13">
                  <c:v>0.013</c:v>
                </c:pt>
                <c:pt idx="14">
                  <c:v>0.009</c:v>
                </c:pt>
                <c:pt idx="15" formatCode="0%">
                  <c:v>0.01</c:v>
                </c:pt>
              </c:numCache>
            </c:numRef>
          </c:val>
        </c:ser>
        <c:dLbls>
          <c:showLegendKey val="0"/>
          <c:showVal val="0"/>
          <c:showCatName val="0"/>
          <c:showSerName val="0"/>
          <c:showPercent val="0"/>
          <c:showBubbleSize val="0"/>
        </c:dLbls>
        <c:gapWidth val="219"/>
        <c:overlap val="-27"/>
        <c:axId val="-2076169544"/>
        <c:axId val="-2076109096"/>
      </c:barChart>
      <c:catAx>
        <c:axId val="-207616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vert="horz" wrap="square" anchor="ctr" anchorCtr="1"/>
          <a:lstStyle/>
          <a:p>
            <a:pPr>
              <a:defRPr sz="900" b="0" i="0" u="none" strike="noStrike" kern="1200" baseline="0">
                <a:solidFill>
                  <a:sysClr val="windowText" lastClr="000000">
                    <a:lumMod val="65000"/>
                    <a:lumOff val="35000"/>
                  </a:sysClr>
                </a:solidFill>
                <a:latin typeface="+mn-lt"/>
                <a:ea typeface="+mn-ea"/>
                <a:cs typeface="+mn-cs"/>
              </a:defRPr>
            </a:pPr>
            <a:endParaRPr lang="en-US"/>
          </a:p>
        </c:txPr>
        <c:crossAx val="-2076109096"/>
        <c:crosses val="autoZero"/>
        <c:auto val="1"/>
        <c:lblAlgn val="ctr"/>
        <c:lblOffset val="100"/>
        <c:noMultiLvlLbl val="0"/>
      </c:catAx>
      <c:valAx>
        <c:axId val="-2076109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1695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High Vol </c:v>
                </c:pt>
              </c:strCache>
            </c:strRef>
          </c:tx>
          <c:spPr>
            <a:solidFill>
              <a:schemeClr val="accent2"/>
            </a:solidFill>
            <a:ln>
              <a:noFill/>
            </a:ln>
            <a:effectLst/>
          </c:spPr>
          <c:invertIfNegative val="0"/>
          <c:dPt>
            <c:idx val="0"/>
            <c:invertIfNegative val="0"/>
            <c:bubble3D val="0"/>
            <c:spPr>
              <a:solidFill>
                <a:schemeClr val="accent2"/>
              </a:solidFill>
              <a:ln>
                <a:solidFill>
                  <a:schemeClr val="accent1"/>
                </a:solidFill>
              </a:ln>
              <a:effectLst/>
            </c:spPr>
          </c:dPt>
          <c:dPt>
            <c:idx val="1"/>
            <c:invertIfNegative val="0"/>
            <c:bubble3D val="0"/>
            <c:spPr>
              <a:solidFill>
                <a:schemeClr val="accent2"/>
              </a:solidFill>
              <a:ln>
                <a:solidFill>
                  <a:schemeClr val="accent2"/>
                </a:solidFill>
              </a:ln>
              <a:effectLst/>
            </c:spPr>
          </c:dPt>
          <c:cat>
            <c:strRef>
              <c:f>Sheet1!$A$2:$A$3</c:f>
              <c:strCache>
                <c:ptCount val="2"/>
                <c:pt idx="0">
                  <c:v>High Activity</c:v>
                </c:pt>
                <c:pt idx="1">
                  <c:v>Low Activity</c:v>
                </c:pt>
              </c:strCache>
            </c:strRef>
          </c:cat>
          <c:val>
            <c:numRef>
              <c:f>Sheet1!$B$2:$B$3</c:f>
              <c:numCache>
                <c:formatCode>General</c:formatCode>
                <c:ptCount val="2"/>
                <c:pt idx="0">
                  <c:v>5.1</c:v>
                </c:pt>
                <c:pt idx="1">
                  <c:v>1.6</c:v>
                </c:pt>
              </c:numCache>
            </c:numRef>
          </c:val>
        </c:ser>
        <c:ser>
          <c:idx val="1"/>
          <c:order val="1"/>
          <c:tx>
            <c:strRef>
              <c:f>Sheet1!$C$1</c:f>
              <c:strCache>
                <c:ptCount val="1"/>
                <c:pt idx="0">
                  <c:v>Low Vol</c:v>
                </c:pt>
              </c:strCache>
            </c:strRef>
          </c:tx>
          <c:spPr>
            <a:solidFill>
              <a:schemeClr val="accent1"/>
            </a:solidFill>
            <a:ln>
              <a:noFill/>
            </a:ln>
            <a:effectLst/>
          </c:spPr>
          <c:invertIfNegative val="0"/>
          <c:cat>
            <c:strRef>
              <c:f>Sheet1!$A$2:$A$3</c:f>
              <c:strCache>
                <c:ptCount val="2"/>
                <c:pt idx="0">
                  <c:v>High Activity</c:v>
                </c:pt>
                <c:pt idx="1">
                  <c:v>Low Activity</c:v>
                </c:pt>
              </c:strCache>
            </c:strRef>
          </c:cat>
          <c:val>
            <c:numRef>
              <c:f>Sheet1!$C$2:$C$3</c:f>
              <c:numCache>
                <c:formatCode>General</c:formatCode>
                <c:ptCount val="2"/>
                <c:pt idx="0">
                  <c:v>2.3</c:v>
                </c:pt>
                <c:pt idx="1">
                  <c:v>1.0</c:v>
                </c:pt>
              </c:numCache>
            </c:numRef>
          </c:val>
        </c:ser>
        <c:dLbls>
          <c:showLegendKey val="0"/>
          <c:showVal val="0"/>
          <c:showCatName val="0"/>
          <c:showSerName val="0"/>
          <c:showPercent val="0"/>
          <c:showBubbleSize val="0"/>
        </c:dLbls>
        <c:gapWidth val="219"/>
        <c:overlap val="-27"/>
        <c:axId val="-2072585240"/>
        <c:axId val="-2072970792"/>
      </c:barChart>
      <c:catAx>
        <c:axId val="-207258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970792"/>
        <c:crosses val="autoZero"/>
        <c:auto val="1"/>
        <c:lblAlgn val="ctr"/>
        <c:lblOffset val="100"/>
        <c:noMultiLvlLbl val="0"/>
      </c:catAx>
      <c:valAx>
        <c:axId val="-207297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58524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Sheet1!#REF!</c:f>
              <c:strCache>
                <c:ptCount val="1"/>
                <c:pt idx="0">
                  <c:v>#REF!</c:v>
                </c:pt>
              </c:strCache>
            </c:strRef>
          </c:tx>
          <c:spPr>
            <a:ln w="31750" cap="rnd">
              <a:solidFill>
                <a:schemeClr val="accent2"/>
              </a:solidFill>
              <a:round/>
            </a:ln>
            <a:effectLst/>
          </c:spPr>
          <c:marker>
            <c:symbol val="circle"/>
            <c:size val="17"/>
            <c:spPr>
              <a:solidFill>
                <a:schemeClr val="accent2"/>
              </a:solidFill>
              <a:ln>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Sheet1!$B$2:$B$6</c:f>
              <c:numCache>
                <c:formatCode>General</c:formatCode>
                <c:ptCount val="5"/>
                <c:pt idx="0">
                  <c:v>2.1</c:v>
                </c:pt>
                <c:pt idx="1">
                  <c:v>1.5</c:v>
                </c:pt>
                <c:pt idx="2">
                  <c:v>2.9</c:v>
                </c:pt>
                <c:pt idx="3">
                  <c:v>4.0</c:v>
                </c:pt>
              </c:numCache>
            </c:numRef>
          </c:val>
          <c:smooth val="0"/>
        </c:ser>
        <c:ser>
          <c:idx val="1"/>
          <c:order val="1"/>
          <c:tx>
            <c:strRef>
              <c:f>Sheet1!#REF!</c:f>
              <c:strCache>
                <c:ptCount val="1"/>
                <c:pt idx="0">
                  <c:v>#REF!</c:v>
                </c:pt>
              </c:strCache>
            </c:strRef>
          </c:tx>
          <c:spPr>
            <a:ln w="31750" cap="rnd">
              <a:solidFill>
                <a:schemeClr val="accent1"/>
              </a:solidFill>
              <a:round/>
            </a:ln>
            <a:effectLst/>
          </c:spPr>
          <c:marker>
            <c:symbol val="circle"/>
            <c:size val="17"/>
            <c:spPr>
              <a:solidFill>
                <a:schemeClr val="accent2"/>
              </a:solidFill>
              <a:ln>
                <a:solidFill>
                  <a:schemeClr val="accent1"/>
                </a:solidFill>
              </a:ln>
              <a:effectLst/>
            </c:spPr>
          </c:marker>
          <c:dLbls>
            <c:spPr>
              <a:solidFill>
                <a:schemeClr val="accent1"/>
              </a:solidFill>
              <a:ln>
                <a:solidFill>
                  <a:schemeClr val="accent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Sheet1!$C$2:$C$6</c:f>
              <c:numCache>
                <c:formatCode>General</c:formatCode>
                <c:ptCount val="5"/>
                <c:pt idx="0">
                  <c:v>1.0</c:v>
                </c:pt>
                <c:pt idx="1">
                  <c:v>1.0</c:v>
                </c:pt>
                <c:pt idx="2">
                  <c:v>2.2</c:v>
                </c:pt>
                <c:pt idx="3">
                  <c:v>3.0</c:v>
                </c:pt>
              </c:numCache>
            </c:numRef>
          </c:val>
          <c:smooth val="0"/>
        </c:ser>
        <c:ser>
          <c:idx val="2"/>
          <c:order val="2"/>
          <c:tx>
            <c:strRef>
              <c:f>Sheet1!$D$1</c:f>
              <c:strCache>
                <c:ptCount val="1"/>
                <c:pt idx="0">
                  <c:v>Column1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4"/>
                <c:pt idx="0">
                  <c:v>9.30-10.00</c:v>
                </c:pt>
                <c:pt idx="1">
                  <c:v>11.00-4.00</c:v>
                </c:pt>
                <c:pt idx="2">
                  <c:v>Day 2</c:v>
                </c:pt>
                <c:pt idx="3">
                  <c:v>Day 3</c:v>
                </c:pt>
              </c:strCache>
            </c:strRef>
          </c:cat>
          <c:val>
            <c:numRef>
              <c:f>Sheet1!$D$2:$D$6</c:f>
              <c:numCache>
                <c:formatCode>General</c:formatCode>
                <c:ptCount val="5"/>
              </c:numCache>
            </c:numRef>
          </c:val>
          <c:smooth val="0"/>
        </c:ser>
        <c:dLbls>
          <c:showLegendKey val="0"/>
          <c:showVal val="1"/>
          <c:showCatName val="0"/>
          <c:showSerName val="0"/>
          <c:showPercent val="0"/>
          <c:showBubbleSize val="0"/>
        </c:dLbls>
        <c:marker val="1"/>
        <c:smooth val="0"/>
        <c:axId val="-2072071480"/>
        <c:axId val="-2072065064"/>
      </c:lineChart>
      <c:catAx>
        <c:axId val="-2072071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Days Lagged</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72065064"/>
        <c:crosses val="autoZero"/>
        <c:auto val="1"/>
        <c:lblAlgn val="ctr"/>
        <c:lblOffset val="100"/>
        <c:noMultiLvlLbl val="0"/>
      </c:catAx>
      <c:valAx>
        <c:axId val="-20720650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Abs Returns</a:t>
                </a:r>
              </a:p>
            </c:rich>
          </c:tx>
          <c:layout/>
          <c:overlay val="0"/>
          <c:spPr>
            <a:noFill/>
            <a:ln>
              <a:noFill/>
            </a:ln>
            <a:effectLst/>
          </c:spPr>
        </c:title>
        <c:numFmt formatCode="General" sourceLinked="1"/>
        <c:majorTickMark val="none"/>
        <c:minorTickMark val="none"/>
        <c:tickLblPos val="none"/>
        <c:crossAx val="-2072071480"/>
        <c:crosses val="autoZero"/>
        <c:crossBetween val="between"/>
      </c:valAx>
      <c:spPr>
        <a:noFill/>
        <a:ln>
          <a:noFill/>
        </a:ln>
        <a:effectLst/>
      </c:spPr>
    </c:plotArea>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Calle Baile 33, 2-1
08010 Barcelona, Spain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whitepaper.dotx</Template>
  <TotalTime>8</TotalTime>
  <Pages>25</Pages>
  <Words>3418</Words>
  <Characters>19485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FNA Ltd.</Company>
  <LinksUpToDate>false</LinksUpToDate>
  <CharactersWithSpaces>22858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Soramaki</dc:creator>
  <cp:keywords/>
  <dc:description/>
  <cp:lastModifiedBy>Kimmo Soramaki</cp:lastModifiedBy>
  <cp:revision>1</cp:revision>
  <cp:lastPrinted>2014-05-12T20:56:00Z</cp:lastPrinted>
  <dcterms:created xsi:type="dcterms:W3CDTF">2015-03-04T15:03:00Z</dcterms:created>
  <dcterms:modified xsi:type="dcterms:W3CDTF">2015-03-04T15:12:00Z</dcterms:modified>
  <cp:category/>
</cp:coreProperties>
</file>