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2FCDE" w14:textId="77777777" w:rsidR="00EF03DF" w:rsidRDefault="00000000">
      <w:pPr>
        <w:numPr>
          <w:ilvl w:val="0"/>
          <w:numId w:val="2"/>
        </w:numPr>
        <w:rPr>
          <w:b/>
          <w:sz w:val="24"/>
          <w:szCs w:val="24"/>
        </w:rPr>
      </w:pPr>
      <w:r>
        <w:rPr>
          <w:b/>
          <w:sz w:val="24"/>
          <w:szCs w:val="24"/>
        </w:rPr>
        <w:t>Overview of variable, data frame and document names and meanings</w:t>
      </w:r>
    </w:p>
    <w:p w14:paraId="047BB43B" w14:textId="77777777" w:rsidR="00EF03DF" w:rsidRDefault="00EF03DF"/>
    <w:p w14:paraId="18BDFE46" w14:textId="77777777" w:rsidR="00EF03DF" w:rsidRDefault="00000000">
      <w:pPr>
        <w:numPr>
          <w:ilvl w:val="0"/>
          <w:numId w:val="1"/>
        </w:numPr>
      </w:pPr>
      <w:proofErr w:type="spellStart"/>
      <w:r>
        <w:rPr>
          <w:i/>
          <w:color w:val="0B5394"/>
        </w:rPr>
        <w:t>ASWell_index_</w:t>
      </w:r>
      <w:proofErr w:type="gramStart"/>
      <w:r>
        <w:rPr>
          <w:i/>
          <w:color w:val="0B5394"/>
        </w:rPr>
        <w:t>creator.Rmd</w:t>
      </w:r>
      <w:proofErr w:type="spellEnd"/>
      <w:proofErr w:type="gramEnd"/>
      <w:r>
        <w:rPr>
          <w:rFonts w:ascii="Arial Unicode MS" w:eastAsia="Arial Unicode MS" w:hAnsi="Arial Unicode MS" w:cs="Arial Unicode MS"/>
        </w:rPr>
        <w:t xml:space="preserve"> → R file containing the step-by-step explained code for constructing the </w:t>
      </w:r>
      <w:proofErr w:type="spellStart"/>
      <w:r>
        <w:rPr>
          <w:rFonts w:ascii="Arial Unicode MS" w:eastAsia="Arial Unicode MS" w:hAnsi="Arial Unicode MS" w:cs="Arial Unicode MS"/>
        </w:rPr>
        <w:t>ASWell</w:t>
      </w:r>
      <w:proofErr w:type="spellEnd"/>
      <w:r>
        <w:rPr>
          <w:rFonts w:ascii="Arial Unicode MS" w:eastAsia="Arial Unicode MS" w:hAnsi="Arial Unicode MS" w:cs="Arial Unicode MS"/>
        </w:rPr>
        <w:t xml:space="preserve"> (needed file to run the code: </w:t>
      </w:r>
      <w:r>
        <w:rPr>
          <w:i/>
          <w:color w:val="0B5394"/>
        </w:rPr>
        <w:t>Data_10_variables.csv)</w:t>
      </w:r>
    </w:p>
    <w:p w14:paraId="4BD077CE" w14:textId="77777777" w:rsidR="00EF03DF" w:rsidRDefault="00000000">
      <w:pPr>
        <w:numPr>
          <w:ilvl w:val="0"/>
          <w:numId w:val="1"/>
        </w:numPr>
      </w:pPr>
      <w:r>
        <w:rPr>
          <w:i/>
          <w:color w:val="0B5394"/>
        </w:rPr>
        <w:t>Data_10_variables (</w:t>
      </w:r>
      <w:proofErr w:type="spellStart"/>
      <w:r>
        <w:rPr>
          <w:i/>
          <w:color w:val="0B5394"/>
        </w:rPr>
        <w:t>df</w:t>
      </w:r>
      <w:proofErr w:type="spellEnd"/>
      <w:r>
        <w:rPr>
          <w:i/>
          <w:color w:val="0B5394"/>
        </w:rPr>
        <w:t>)</w:t>
      </w:r>
      <w:r>
        <w:rPr>
          <w:rFonts w:ascii="Arial Unicode MS" w:eastAsia="Arial Unicode MS" w:hAnsi="Arial Unicode MS" w:cs="Arial Unicode MS"/>
        </w:rPr>
        <w:t xml:space="preserve"> → Data frame. Contains data for the 10 variables that make up the </w:t>
      </w:r>
      <w:proofErr w:type="spellStart"/>
      <w:r>
        <w:rPr>
          <w:rFonts w:ascii="Arial Unicode MS" w:eastAsia="Arial Unicode MS" w:hAnsi="Arial Unicode MS" w:cs="Arial Unicode MS"/>
        </w:rPr>
        <w:t>ASWell</w:t>
      </w:r>
      <w:proofErr w:type="spellEnd"/>
      <w:r>
        <w:rPr>
          <w:rFonts w:ascii="Arial Unicode MS" w:eastAsia="Arial Unicode MS" w:hAnsi="Arial Unicode MS" w:cs="Arial Unicode MS"/>
        </w:rPr>
        <w:t xml:space="preserve"> for all countries and years</w:t>
      </w:r>
    </w:p>
    <w:p w14:paraId="1790F267" w14:textId="77777777" w:rsidR="00EF03DF" w:rsidRDefault="00000000">
      <w:pPr>
        <w:numPr>
          <w:ilvl w:val="0"/>
          <w:numId w:val="1"/>
        </w:numPr>
      </w:pPr>
      <w:proofErr w:type="spellStart"/>
      <w:r>
        <w:rPr>
          <w:i/>
          <w:color w:val="0B5394"/>
        </w:rPr>
        <w:t>df_imputed</w:t>
      </w:r>
      <w:proofErr w:type="spellEnd"/>
      <w:r>
        <w:rPr>
          <w:color w:val="0B5394"/>
        </w:rPr>
        <w:t xml:space="preserve"> </w:t>
      </w:r>
      <w:r>
        <w:rPr>
          <w:rFonts w:ascii="Arial Unicode MS" w:eastAsia="Arial Unicode MS" w:hAnsi="Arial Unicode MS" w:cs="Arial Unicode MS"/>
        </w:rPr>
        <w:t xml:space="preserve">→ Data frame. Contains data for the 10 variables that make up the </w:t>
      </w:r>
      <w:proofErr w:type="spellStart"/>
      <w:r>
        <w:rPr>
          <w:rFonts w:ascii="Arial Unicode MS" w:eastAsia="Arial Unicode MS" w:hAnsi="Arial Unicode MS" w:cs="Arial Unicode MS"/>
        </w:rPr>
        <w:t>ASWell</w:t>
      </w:r>
      <w:proofErr w:type="spellEnd"/>
      <w:r>
        <w:rPr>
          <w:rFonts w:ascii="Arial Unicode MS" w:eastAsia="Arial Unicode MS" w:hAnsi="Arial Unicode MS" w:cs="Arial Unicode MS"/>
        </w:rPr>
        <w:t xml:space="preserve"> for all countries and years with missing data imputed through random forest imputation</w:t>
      </w:r>
    </w:p>
    <w:p w14:paraId="36F09091" w14:textId="4EDDBDED" w:rsidR="00EF03DF" w:rsidRDefault="00000000">
      <w:pPr>
        <w:numPr>
          <w:ilvl w:val="0"/>
          <w:numId w:val="1"/>
        </w:numPr>
      </w:pPr>
      <w:proofErr w:type="spellStart"/>
      <w:r>
        <w:rPr>
          <w:i/>
          <w:color w:val="0B5394"/>
        </w:rPr>
        <w:t>min_max_scaled</w:t>
      </w:r>
      <w:proofErr w:type="spellEnd"/>
      <w:r>
        <w:rPr>
          <w:rFonts w:ascii="Arial Unicode MS" w:eastAsia="Arial Unicode MS" w:hAnsi="Arial Unicode MS" w:cs="Arial Unicode MS"/>
        </w:rPr>
        <w:t xml:space="preserve"> → Data frame. Contains data for the 10 imputed variables </w:t>
      </w:r>
      <w:proofErr w:type="spellStart"/>
      <w:r>
        <w:rPr>
          <w:rFonts w:ascii="Arial Unicode MS" w:eastAsia="Arial Unicode MS" w:hAnsi="Arial Unicode MS" w:cs="Arial Unicode MS"/>
        </w:rPr>
        <w:t>standardised</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standardised</w:t>
      </w:r>
      <w:proofErr w:type="spellEnd"/>
      <w:r>
        <w:rPr>
          <w:rFonts w:ascii="Arial Unicode MS" w:eastAsia="Arial Unicode MS" w:hAnsi="Arial Unicode MS" w:cs="Arial Unicode MS"/>
        </w:rPr>
        <w:t xml:space="preserve"> with minimum/maximum scaling</w:t>
      </w:r>
    </w:p>
    <w:p w14:paraId="45E6D288" w14:textId="77777777" w:rsidR="00EF03DF" w:rsidRDefault="00000000">
      <w:pPr>
        <w:numPr>
          <w:ilvl w:val="0"/>
          <w:numId w:val="1"/>
        </w:numPr>
      </w:pPr>
      <w:proofErr w:type="spellStart"/>
      <w:r>
        <w:rPr>
          <w:i/>
          <w:color w:val="0B5394"/>
        </w:rPr>
        <w:t>ASWell_topsis</w:t>
      </w:r>
      <w:proofErr w:type="spellEnd"/>
      <w:r>
        <w:rPr>
          <w:rFonts w:ascii="Arial Unicode MS" w:eastAsia="Arial Unicode MS" w:hAnsi="Arial Unicode MS" w:cs="Arial Unicode MS"/>
        </w:rPr>
        <w:t xml:space="preserve"> → Data frame. Contains data for the aggregated index scores, rankings, and alt rows. </w:t>
      </w:r>
    </w:p>
    <w:p w14:paraId="43278CAA" w14:textId="77777777" w:rsidR="00EF03DF" w:rsidRDefault="00000000">
      <w:pPr>
        <w:numPr>
          <w:ilvl w:val="0"/>
          <w:numId w:val="1"/>
        </w:numPr>
      </w:pPr>
      <w:proofErr w:type="spellStart"/>
      <w:r>
        <w:rPr>
          <w:i/>
          <w:color w:val="0B5394"/>
        </w:rPr>
        <w:t>All_data_ASWell</w:t>
      </w:r>
      <w:proofErr w:type="spellEnd"/>
      <w:r>
        <w:rPr>
          <w:rFonts w:ascii="Arial Unicode MS" w:eastAsia="Arial Unicode MS" w:hAnsi="Arial Unicode MS" w:cs="Arial Unicode MS"/>
        </w:rPr>
        <w:t xml:space="preserve"> → Data frame. Contains data for all 10 imputed variables for all countries and years and the data from </w:t>
      </w:r>
      <w:proofErr w:type="spellStart"/>
      <w:r>
        <w:rPr>
          <w:rFonts w:ascii="Arial Unicode MS" w:eastAsia="Arial Unicode MS" w:hAnsi="Arial Unicode MS" w:cs="Arial Unicode MS"/>
        </w:rPr>
        <w:t>ASWell_topsis</w:t>
      </w:r>
      <w:proofErr w:type="spellEnd"/>
      <w:r>
        <w:rPr>
          <w:rFonts w:ascii="Arial Unicode MS" w:eastAsia="Arial Unicode MS" w:hAnsi="Arial Unicode MS" w:cs="Arial Unicode MS"/>
        </w:rPr>
        <w:t xml:space="preserve">. This data frame is a merge of </w:t>
      </w:r>
      <w:proofErr w:type="spellStart"/>
      <w:r>
        <w:rPr>
          <w:i/>
        </w:rPr>
        <w:t>df_imputed</w:t>
      </w:r>
      <w:proofErr w:type="spellEnd"/>
      <w:r>
        <w:t xml:space="preserve"> and </w:t>
      </w:r>
      <w:proofErr w:type="spellStart"/>
      <w:r>
        <w:rPr>
          <w:i/>
        </w:rPr>
        <w:t>ASWell_topsis</w:t>
      </w:r>
      <w:proofErr w:type="spellEnd"/>
      <w:r>
        <w:rPr>
          <w:i/>
        </w:rPr>
        <w:t>.</w:t>
      </w:r>
    </w:p>
    <w:p w14:paraId="5F4C26C1" w14:textId="77777777" w:rsidR="00EF03DF" w:rsidRDefault="00000000">
      <w:pPr>
        <w:numPr>
          <w:ilvl w:val="0"/>
          <w:numId w:val="1"/>
        </w:numPr>
      </w:pPr>
      <w:r>
        <w:rPr>
          <w:i/>
          <w:color w:val="0B5394"/>
        </w:rPr>
        <w:t>GDP</w:t>
      </w:r>
      <w:r>
        <w:rPr>
          <w:rFonts w:ascii="Arial Unicode MS" w:eastAsia="Arial Unicode MS" w:hAnsi="Arial Unicode MS" w:cs="Arial Unicode MS"/>
        </w:rPr>
        <w:t xml:space="preserve"> → Data frame. Contains data on GDP/capita (PPP, international dollars) for all countries and years.</w:t>
      </w:r>
    </w:p>
    <w:p w14:paraId="0777A185" w14:textId="77777777" w:rsidR="00EF03DF" w:rsidRDefault="00000000">
      <w:pPr>
        <w:numPr>
          <w:ilvl w:val="0"/>
          <w:numId w:val="1"/>
        </w:numPr>
      </w:pPr>
      <w:proofErr w:type="spellStart"/>
      <w:r>
        <w:rPr>
          <w:i/>
          <w:color w:val="0B5394"/>
        </w:rPr>
        <w:t>imputed_GDP</w:t>
      </w:r>
      <w:proofErr w:type="spellEnd"/>
      <w:r>
        <w:rPr>
          <w:rFonts w:ascii="Arial Unicode MS" w:eastAsia="Arial Unicode MS" w:hAnsi="Arial Unicode MS" w:cs="Arial Unicode MS"/>
        </w:rPr>
        <w:t xml:space="preserve"> → Data frame. Contains data for GDP/capita for all countries and years with missing data imputed through random forest imputation</w:t>
      </w:r>
    </w:p>
    <w:p w14:paraId="137C11E8" w14:textId="77777777" w:rsidR="00EF03DF" w:rsidRDefault="00000000">
      <w:pPr>
        <w:numPr>
          <w:ilvl w:val="0"/>
          <w:numId w:val="1"/>
        </w:numPr>
      </w:pPr>
      <w:proofErr w:type="spellStart"/>
      <w:r>
        <w:rPr>
          <w:i/>
          <w:color w:val="0B5394"/>
        </w:rPr>
        <w:t>avg_index</w:t>
      </w:r>
      <w:proofErr w:type="spellEnd"/>
      <w:r>
        <w:rPr>
          <w:rFonts w:ascii="Arial Unicode MS" w:eastAsia="Arial Unicode MS" w:hAnsi="Arial Unicode MS" w:cs="Arial Unicode MS"/>
        </w:rPr>
        <w:t xml:space="preserve"> → Data frame. Contains data on the average index score across all years (2000-2022) for each of the 190 countries </w:t>
      </w:r>
    </w:p>
    <w:p w14:paraId="19C7B9AA" w14:textId="77777777" w:rsidR="00EF03DF" w:rsidRDefault="00000000">
      <w:pPr>
        <w:numPr>
          <w:ilvl w:val="0"/>
          <w:numId w:val="1"/>
        </w:numPr>
      </w:pPr>
      <w:proofErr w:type="spellStart"/>
      <w:r>
        <w:rPr>
          <w:i/>
          <w:color w:val="0B5394"/>
        </w:rPr>
        <w:t>ranked_index</w:t>
      </w:r>
      <w:proofErr w:type="spellEnd"/>
      <w:r>
        <w:rPr>
          <w:rFonts w:ascii="Arial Unicode MS" w:eastAsia="Arial Unicode MS" w:hAnsi="Arial Unicode MS" w:cs="Arial Unicode MS"/>
        </w:rPr>
        <w:t xml:space="preserve"> → Data frame. Contains data on the average index score across all years (2000-2022) for each of the 190 countries in descending order.</w:t>
      </w:r>
    </w:p>
    <w:p w14:paraId="1E2A7412" w14:textId="77777777" w:rsidR="00EF03DF" w:rsidRDefault="00000000">
      <w:pPr>
        <w:numPr>
          <w:ilvl w:val="0"/>
          <w:numId w:val="1"/>
        </w:numPr>
      </w:pPr>
      <w:proofErr w:type="spellStart"/>
      <w:r>
        <w:rPr>
          <w:i/>
          <w:color w:val="0B5394"/>
        </w:rPr>
        <w:t>avg_index_region</w:t>
      </w:r>
      <w:proofErr w:type="spellEnd"/>
      <w:r>
        <w:rPr>
          <w:rFonts w:ascii="Arial Unicode MS" w:eastAsia="Arial Unicode MS" w:hAnsi="Arial Unicode MS" w:cs="Arial Unicode MS"/>
        </w:rPr>
        <w:t xml:space="preserve"> → Data frame. Contains data on the average index score across all years (2000-2022) and countries for each of the seven world regions.</w:t>
      </w:r>
    </w:p>
    <w:p w14:paraId="5DB38AB0" w14:textId="77777777" w:rsidR="00EF03DF" w:rsidRDefault="00000000">
      <w:pPr>
        <w:numPr>
          <w:ilvl w:val="0"/>
          <w:numId w:val="1"/>
        </w:numPr>
      </w:pPr>
      <w:proofErr w:type="spellStart"/>
      <w:r>
        <w:rPr>
          <w:i/>
          <w:color w:val="0B5394"/>
        </w:rPr>
        <w:t>ranked_index_region</w:t>
      </w:r>
      <w:proofErr w:type="spellEnd"/>
      <w:r>
        <w:rPr>
          <w:rFonts w:ascii="Arial Unicode MS" w:eastAsia="Arial Unicode MS" w:hAnsi="Arial Unicode MS" w:cs="Arial Unicode MS"/>
        </w:rPr>
        <w:t xml:space="preserve"> → Data frame. Contains data on the average index score across all years (2000-2022) and countries for each of the seven world regions in descending order.</w:t>
      </w:r>
    </w:p>
    <w:p w14:paraId="4BDC6BF6" w14:textId="77777777" w:rsidR="00EF03DF" w:rsidRDefault="00000000">
      <w:pPr>
        <w:numPr>
          <w:ilvl w:val="0"/>
          <w:numId w:val="1"/>
        </w:numPr>
      </w:pPr>
      <w:proofErr w:type="spellStart"/>
      <w:r>
        <w:rPr>
          <w:i/>
          <w:color w:val="0B5394"/>
        </w:rPr>
        <w:t>avg_index_region_year</w:t>
      </w:r>
      <w:proofErr w:type="spellEnd"/>
      <w:r>
        <w:rPr>
          <w:rFonts w:ascii="Arial Unicode MS" w:eastAsia="Arial Unicode MS" w:hAnsi="Arial Unicode MS" w:cs="Arial Unicode MS"/>
        </w:rPr>
        <w:t xml:space="preserve"> → Data frame. Contains data on the average index score for every year (2000-2022) for each of the seven world regions.</w:t>
      </w:r>
    </w:p>
    <w:p w14:paraId="62269707" w14:textId="77777777" w:rsidR="00EF03DF" w:rsidRDefault="00000000">
      <w:pPr>
        <w:numPr>
          <w:ilvl w:val="0"/>
          <w:numId w:val="1"/>
        </w:numPr>
      </w:pPr>
      <w:proofErr w:type="spellStart"/>
      <w:r>
        <w:rPr>
          <w:i/>
          <w:color w:val="0B5394"/>
        </w:rPr>
        <w:t>Avg_index_table</w:t>
      </w:r>
      <w:proofErr w:type="spellEnd"/>
      <w:r>
        <w:rPr>
          <w:rFonts w:ascii="Arial Unicode MS" w:eastAsia="Arial Unicode MS" w:hAnsi="Arial Unicode MS" w:cs="Arial Unicode MS"/>
        </w:rPr>
        <w:t xml:space="preserve"> → Excel file. Contains data on the average index score across all years (2000-2022) for each of the 190 countries in table format with geographical information for each country. Also contains a table ranked by highest to lowest average index score. </w:t>
      </w:r>
    </w:p>
    <w:p w14:paraId="7D7CDF80" w14:textId="77777777" w:rsidR="00EF03DF" w:rsidRDefault="00EF03DF">
      <w:pPr>
        <w:ind w:left="720"/>
      </w:pPr>
    </w:p>
    <w:p w14:paraId="3A972A49" w14:textId="77777777" w:rsidR="00EF03DF" w:rsidRDefault="00EF03DF"/>
    <w:p w14:paraId="543E04DD" w14:textId="77777777" w:rsidR="00EF03DF" w:rsidRDefault="00EF03DF"/>
    <w:p w14:paraId="6A4D8406" w14:textId="77777777" w:rsidR="00EF03DF" w:rsidRDefault="00000000">
      <w:pPr>
        <w:rPr>
          <w:b/>
          <w:sz w:val="24"/>
          <w:szCs w:val="24"/>
        </w:rPr>
      </w:pPr>
      <w:r>
        <w:br w:type="page"/>
      </w:r>
    </w:p>
    <w:p w14:paraId="3ACED00B" w14:textId="77777777" w:rsidR="00EF03DF" w:rsidRDefault="00000000">
      <w:pPr>
        <w:numPr>
          <w:ilvl w:val="0"/>
          <w:numId w:val="2"/>
        </w:numPr>
        <w:rPr>
          <w:b/>
          <w:sz w:val="24"/>
          <w:szCs w:val="24"/>
        </w:rPr>
      </w:pPr>
      <w:r>
        <w:rPr>
          <w:b/>
          <w:sz w:val="24"/>
          <w:szCs w:val="24"/>
        </w:rPr>
        <w:lastRenderedPageBreak/>
        <w:t xml:space="preserve">Overview of ten variables used for the </w:t>
      </w:r>
      <w:proofErr w:type="spellStart"/>
      <w:r>
        <w:rPr>
          <w:b/>
          <w:sz w:val="24"/>
          <w:szCs w:val="24"/>
        </w:rPr>
        <w:t>ASWell</w:t>
      </w:r>
      <w:proofErr w:type="spellEnd"/>
      <w:r>
        <w:rPr>
          <w:b/>
          <w:sz w:val="24"/>
          <w:szCs w:val="24"/>
        </w:rPr>
        <w:t xml:space="preserve"> index and their sources</w:t>
      </w:r>
    </w:p>
    <w:p w14:paraId="2B10051F" w14:textId="77777777" w:rsidR="00EF03DF" w:rsidRDefault="00EF03DF">
      <w:pPr>
        <w:rPr>
          <w:b/>
          <w:sz w:val="24"/>
          <w:szCs w:val="24"/>
        </w:rPr>
      </w:pP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35"/>
        <w:gridCol w:w="3705"/>
        <w:gridCol w:w="3120"/>
      </w:tblGrid>
      <w:tr w:rsidR="00EF03DF" w14:paraId="00B808A6" w14:textId="77777777">
        <w:tc>
          <w:tcPr>
            <w:tcW w:w="2535" w:type="dxa"/>
            <w:tcMar>
              <w:top w:w="100" w:type="dxa"/>
              <w:left w:w="100" w:type="dxa"/>
              <w:bottom w:w="100" w:type="dxa"/>
              <w:right w:w="100" w:type="dxa"/>
            </w:tcMar>
          </w:tcPr>
          <w:p w14:paraId="20A148E9" w14:textId="77777777" w:rsidR="00EF03DF" w:rsidRDefault="00000000">
            <w:pPr>
              <w:widowControl w:val="0"/>
              <w:pBdr>
                <w:top w:val="nil"/>
                <w:left w:val="nil"/>
                <w:bottom w:val="nil"/>
                <w:right w:val="nil"/>
                <w:between w:val="nil"/>
              </w:pBdr>
              <w:spacing w:line="240" w:lineRule="auto"/>
              <w:rPr>
                <w:b/>
              </w:rPr>
            </w:pPr>
            <w:r>
              <w:rPr>
                <w:b/>
              </w:rPr>
              <w:t>Variable name</w:t>
            </w:r>
          </w:p>
        </w:tc>
        <w:tc>
          <w:tcPr>
            <w:tcW w:w="3705" w:type="dxa"/>
            <w:tcMar>
              <w:top w:w="100" w:type="dxa"/>
              <w:left w:w="100" w:type="dxa"/>
              <w:bottom w:w="100" w:type="dxa"/>
              <w:right w:w="100" w:type="dxa"/>
            </w:tcMar>
          </w:tcPr>
          <w:p w14:paraId="6676D388" w14:textId="77777777" w:rsidR="00EF03DF" w:rsidRDefault="00000000">
            <w:pPr>
              <w:widowControl w:val="0"/>
              <w:pBdr>
                <w:top w:val="nil"/>
                <w:left w:val="nil"/>
                <w:bottom w:val="nil"/>
                <w:right w:val="nil"/>
                <w:between w:val="nil"/>
              </w:pBdr>
              <w:spacing w:line="240" w:lineRule="auto"/>
              <w:rPr>
                <w:b/>
              </w:rPr>
            </w:pPr>
            <w:proofErr w:type="gramStart"/>
            <w:r>
              <w:rPr>
                <w:b/>
              </w:rPr>
              <w:t>What it</w:t>
            </w:r>
            <w:proofErr w:type="gramEnd"/>
            <w:r>
              <w:rPr>
                <w:b/>
              </w:rPr>
              <w:t xml:space="preserve"> measures and unit</w:t>
            </w:r>
          </w:p>
        </w:tc>
        <w:tc>
          <w:tcPr>
            <w:tcW w:w="3120" w:type="dxa"/>
            <w:tcMar>
              <w:top w:w="100" w:type="dxa"/>
              <w:left w:w="100" w:type="dxa"/>
              <w:bottom w:w="100" w:type="dxa"/>
              <w:right w:w="100" w:type="dxa"/>
            </w:tcMar>
          </w:tcPr>
          <w:p w14:paraId="779DEDC8" w14:textId="77777777" w:rsidR="00EF03DF" w:rsidRDefault="00000000">
            <w:pPr>
              <w:widowControl w:val="0"/>
              <w:pBdr>
                <w:top w:val="nil"/>
                <w:left w:val="nil"/>
                <w:bottom w:val="nil"/>
                <w:right w:val="nil"/>
                <w:between w:val="nil"/>
              </w:pBdr>
              <w:spacing w:line="240" w:lineRule="auto"/>
              <w:rPr>
                <w:b/>
              </w:rPr>
            </w:pPr>
            <w:r>
              <w:rPr>
                <w:b/>
              </w:rPr>
              <w:t>Link</w:t>
            </w:r>
          </w:p>
        </w:tc>
      </w:tr>
      <w:tr w:rsidR="00EF03DF" w14:paraId="61BC292E" w14:textId="77777777">
        <w:tc>
          <w:tcPr>
            <w:tcW w:w="2535" w:type="dxa"/>
            <w:tcMar>
              <w:top w:w="100" w:type="dxa"/>
              <w:left w:w="100" w:type="dxa"/>
              <w:bottom w:w="100" w:type="dxa"/>
              <w:right w:w="100" w:type="dxa"/>
            </w:tcMar>
          </w:tcPr>
          <w:p w14:paraId="2F306681" w14:textId="77777777" w:rsidR="00EF03DF" w:rsidRDefault="00000000">
            <w:pPr>
              <w:widowControl w:val="0"/>
              <w:pBdr>
                <w:top w:val="nil"/>
                <w:left w:val="nil"/>
                <w:bottom w:val="nil"/>
                <w:right w:val="nil"/>
                <w:between w:val="nil"/>
              </w:pBdr>
            </w:pPr>
            <w:r>
              <w:t>OOP</w:t>
            </w:r>
          </w:p>
        </w:tc>
        <w:tc>
          <w:tcPr>
            <w:tcW w:w="3705" w:type="dxa"/>
            <w:tcMar>
              <w:top w:w="100" w:type="dxa"/>
              <w:left w:w="100" w:type="dxa"/>
              <w:bottom w:w="100" w:type="dxa"/>
              <w:right w:w="100" w:type="dxa"/>
            </w:tcMar>
          </w:tcPr>
          <w:p w14:paraId="6ED91E0E" w14:textId="77777777" w:rsidR="00EF03DF" w:rsidRDefault="00000000">
            <w:r>
              <w:t>Accessibility of healthcare systems - in per cent (relative to current health expenditure)</w:t>
            </w:r>
          </w:p>
        </w:tc>
        <w:tc>
          <w:tcPr>
            <w:tcW w:w="3120" w:type="dxa"/>
            <w:tcMar>
              <w:top w:w="100" w:type="dxa"/>
              <w:left w:w="100" w:type="dxa"/>
              <w:bottom w:w="100" w:type="dxa"/>
              <w:right w:w="100" w:type="dxa"/>
            </w:tcMar>
          </w:tcPr>
          <w:p w14:paraId="1A62F776" w14:textId="77777777" w:rsidR="00EF03DF" w:rsidRDefault="00000000">
            <w:pPr>
              <w:widowControl w:val="0"/>
              <w:pBdr>
                <w:top w:val="nil"/>
                <w:left w:val="nil"/>
                <w:bottom w:val="nil"/>
                <w:right w:val="nil"/>
                <w:between w:val="nil"/>
              </w:pBdr>
            </w:pPr>
            <w:hyperlink r:id="rId5">
              <w:r>
                <w:t>https://www.who.int/data/gho/data/indicators/indicator-details/GHO/out-of-pocket-expenditure-as-percentage-of-current-health-expenditure-(che)-(-)</w:t>
              </w:r>
            </w:hyperlink>
          </w:p>
        </w:tc>
      </w:tr>
      <w:tr w:rsidR="00EF03DF" w14:paraId="48FB97D8" w14:textId="77777777">
        <w:tc>
          <w:tcPr>
            <w:tcW w:w="2535" w:type="dxa"/>
            <w:tcMar>
              <w:top w:w="100" w:type="dxa"/>
              <w:left w:w="100" w:type="dxa"/>
              <w:bottom w:w="100" w:type="dxa"/>
              <w:right w:w="100" w:type="dxa"/>
            </w:tcMar>
          </w:tcPr>
          <w:p w14:paraId="0A84B636" w14:textId="77777777" w:rsidR="00EF03DF" w:rsidRDefault="00000000">
            <w:pPr>
              <w:widowControl w:val="0"/>
              <w:pBdr>
                <w:top w:val="nil"/>
                <w:left w:val="nil"/>
                <w:bottom w:val="nil"/>
                <w:right w:val="nil"/>
                <w:between w:val="nil"/>
              </w:pBdr>
            </w:pPr>
            <w:r>
              <w:t>Water</w:t>
            </w:r>
          </w:p>
        </w:tc>
        <w:tc>
          <w:tcPr>
            <w:tcW w:w="3705" w:type="dxa"/>
            <w:tcMar>
              <w:top w:w="100" w:type="dxa"/>
              <w:left w:w="100" w:type="dxa"/>
              <w:bottom w:w="100" w:type="dxa"/>
              <w:right w:w="100" w:type="dxa"/>
            </w:tcMar>
          </w:tcPr>
          <w:p w14:paraId="204EE9B2" w14:textId="77777777" w:rsidR="00EF03DF" w:rsidRDefault="00000000">
            <w:r>
              <w:t>Accessibility of clean and safely managed drinking water - in per cent (relative to total population)</w:t>
            </w:r>
          </w:p>
        </w:tc>
        <w:tc>
          <w:tcPr>
            <w:tcW w:w="3120" w:type="dxa"/>
            <w:tcMar>
              <w:top w:w="100" w:type="dxa"/>
              <w:left w:w="100" w:type="dxa"/>
              <w:bottom w:w="100" w:type="dxa"/>
              <w:right w:w="100" w:type="dxa"/>
            </w:tcMar>
          </w:tcPr>
          <w:p w14:paraId="0E680E5C" w14:textId="77777777" w:rsidR="00EF03DF" w:rsidRDefault="00000000">
            <w:pPr>
              <w:widowControl w:val="0"/>
              <w:pBdr>
                <w:top w:val="nil"/>
                <w:left w:val="nil"/>
                <w:bottom w:val="nil"/>
                <w:right w:val="nil"/>
                <w:between w:val="nil"/>
              </w:pBdr>
            </w:pPr>
            <w:hyperlink r:id="rId6" w:anchor="!/dashboard/new">
              <w:r>
                <w:t>https://washdata.org/data/household#!/dashboard/new</w:t>
              </w:r>
            </w:hyperlink>
          </w:p>
        </w:tc>
      </w:tr>
      <w:tr w:rsidR="00EF03DF" w14:paraId="030C2CB3" w14:textId="77777777">
        <w:tc>
          <w:tcPr>
            <w:tcW w:w="2535" w:type="dxa"/>
            <w:tcMar>
              <w:top w:w="100" w:type="dxa"/>
              <w:left w:w="100" w:type="dxa"/>
              <w:bottom w:w="100" w:type="dxa"/>
              <w:right w:w="100" w:type="dxa"/>
            </w:tcMar>
          </w:tcPr>
          <w:p w14:paraId="76FD0AB0" w14:textId="77777777" w:rsidR="00EF03DF" w:rsidRDefault="00000000">
            <w:pPr>
              <w:widowControl w:val="0"/>
              <w:pBdr>
                <w:top w:val="nil"/>
                <w:left w:val="nil"/>
                <w:bottom w:val="nil"/>
                <w:right w:val="nil"/>
                <w:between w:val="nil"/>
              </w:pBdr>
            </w:pPr>
            <w:r>
              <w:t>CPI</w:t>
            </w:r>
          </w:p>
        </w:tc>
        <w:tc>
          <w:tcPr>
            <w:tcW w:w="3705" w:type="dxa"/>
            <w:tcMar>
              <w:top w:w="100" w:type="dxa"/>
              <w:left w:w="100" w:type="dxa"/>
              <w:bottom w:w="100" w:type="dxa"/>
              <w:right w:w="100" w:type="dxa"/>
            </w:tcMar>
          </w:tcPr>
          <w:p w14:paraId="648FFE3E" w14:textId="77777777" w:rsidR="00EF03DF" w:rsidRDefault="00000000">
            <w:r>
              <w:t>Corruption Perception in the public sector - index value between 0 and 100</w:t>
            </w:r>
          </w:p>
        </w:tc>
        <w:tc>
          <w:tcPr>
            <w:tcW w:w="3120" w:type="dxa"/>
            <w:tcMar>
              <w:top w:w="100" w:type="dxa"/>
              <w:left w:w="100" w:type="dxa"/>
              <w:bottom w:w="100" w:type="dxa"/>
              <w:right w:w="100" w:type="dxa"/>
            </w:tcMar>
          </w:tcPr>
          <w:p w14:paraId="0319778E" w14:textId="77777777" w:rsidR="00EF03DF" w:rsidRDefault="00000000">
            <w:pPr>
              <w:widowControl w:val="0"/>
              <w:pBdr>
                <w:top w:val="nil"/>
                <w:left w:val="nil"/>
                <w:bottom w:val="nil"/>
                <w:right w:val="nil"/>
                <w:between w:val="nil"/>
              </w:pBdr>
            </w:pPr>
            <w:hyperlink r:id="rId7">
              <w:r>
                <w:t>https://www.transparency.org/en/cpi/2022</w:t>
              </w:r>
            </w:hyperlink>
          </w:p>
        </w:tc>
      </w:tr>
      <w:tr w:rsidR="00EF03DF" w14:paraId="4C104E75" w14:textId="77777777">
        <w:tc>
          <w:tcPr>
            <w:tcW w:w="2535" w:type="dxa"/>
            <w:tcMar>
              <w:top w:w="100" w:type="dxa"/>
              <w:left w:w="100" w:type="dxa"/>
              <w:bottom w:w="100" w:type="dxa"/>
              <w:right w:w="100" w:type="dxa"/>
            </w:tcMar>
          </w:tcPr>
          <w:p w14:paraId="051B85A8" w14:textId="77777777" w:rsidR="00EF03DF" w:rsidRDefault="00000000">
            <w:pPr>
              <w:widowControl w:val="0"/>
              <w:pBdr>
                <w:top w:val="nil"/>
                <w:left w:val="nil"/>
                <w:bottom w:val="nil"/>
                <w:right w:val="nil"/>
                <w:between w:val="nil"/>
              </w:pBdr>
            </w:pPr>
            <w:proofErr w:type="spellStart"/>
            <w:r>
              <w:t>partidem</w:t>
            </w:r>
            <w:proofErr w:type="spellEnd"/>
          </w:p>
        </w:tc>
        <w:tc>
          <w:tcPr>
            <w:tcW w:w="3705" w:type="dxa"/>
            <w:tcMar>
              <w:top w:w="100" w:type="dxa"/>
              <w:left w:w="100" w:type="dxa"/>
              <w:bottom w:w="100" w:type="dxa"/>
              <w:right w:w="100" w:type="dxa"/>
            </w:tcMar>
          </w:tcPr>
          <w:p w14:paraId="0BE3321B" w14:textId="77777777" w:rsidR="00EF03DF" w:rsidRDefault="00000000">
            <w:r>
              <w:t>Opportunity for political participation - index value between 0 and 1</w:t>
            </w:r>
          </w:p>
        </w:tc>
        <w:tc>
          <w:tcPr>
            <w:tcW w:w="3120" w:type="dxa"/>
            <w:tcMar>
              <w:top w:w="100" w:type="dxa"/>
              <w:left w:w="100" w:type="dxa"/>
              <w:bottom w:w="100" w:type="dxa"/>
              <w:right w:w="100" w:type="dxa"/>
            </w:tcMar>
          </w:tcPr>
          <w:p w14:paraId="2605EAE0" w14:textId="77777777" w:rsidR="00EF03DF" w:rsidRDefault="00000000">
            <w:pPr>
              <w:widowControl w:val="0"/>
              <w:pBdr>
                <w:top w:val="nil"/>
                <w:left w:val="nil"/>
                <w:bottom w:val="nil"/>
                <w:right w:val="nil"/>
                <w:between w:val="nil"/>
              </w:pBdr>
            </w:pPr>
            <w:hyperlink r:id="rId8">
              <w:r>
                <w:t>https://www.v-dem.net/data/the-v-dem-dataset/</w:t>
              </w:r>
            </w:hyperlink>
          </w:p>
        </w:tc>
      </w:tr>
      <w:tr w:rsidR="00EF03DF" w14:paraId="68020BAE" w14:textId="77777777">
        <w:tc>
          <w:tcPr>
            <w:tcW w:w="2535" w:type="dxa"/>
            <w:tcMar>
              <w:top w:w="100" w:type="dxa"/>
              <w:left w:w="100" w:type="dxa"/>
              <w:bottom w:w="100" w:type="dxa"/>
              <w:right w:w="100" w:type="dxa"/>
            </w:tcMar>
          </w:tcPr>
          <w:p w14:paraId="289EADBE" w14:textId="77777777" w:rsidR="00EF03DF" w:rsidRDefault="00000000">
            <w:pPr>
              <w:widowControl w:val="0"/>
              <w:pBdr>
                <w:top w:val="nil"/>
                <w:left w:val="nil"/>
                <w:bottom w:val="nil"/>
                <w:right w:val="nil"/>
                <w:between w:val="nil"/>
              </w:pBdr>
            </w:pPr>
            <w:r>
              <w:t>unemployment</w:t>
            </w:r>
          </w:p>
        </w:tc>
        <w:tc>
          <w:tcPr>
            <w:tcW w:w="3705" w:type="dxa"/>
            <w:tcMar>
              <w:top w:w="100" w:type="dxa"/>
              <w:left w:w="100" w:type="dxa"/>
              <w:bottom w:w="100" w:type="dxa"/>
              <w:right w:w="100" w:type="dxa"/>
            </w:tcMar>
          </w:tcPr>
          <w:p w14:paraId="6A7C1BE7" w14:textId="77777777" w:rsidR="00EF03DF" w:rsidRDefault="00000000">
            <w:pPr>
              <w:pBdr>
                <w:top w:val="nil"/>
                <w:left w:val="nil"/>
                <w:bottom w:val="nil"/>
                <w:right w:val="nil"/>
                <w:between w:val="nil"/>
              </w:pBdr>
            </w:pPr>
            <w:hyperlink r:id="rId9">
              <w:r>
                <w:t xml:space="preserve">Unemployment, total (% of total </w:t>
              </w:r>
              <w:proofErr w:type="spellStart"/>
              <w:r>
                <w:t>labour</w:t>
              </w:r>
              <w:proofErr w:type="spellEnd"/>
              <w:r>
                <w:t xml:space="preserve"> force) (modeled ILO estimate)</w:t>
              </w:r>
            </w:hyperlink>
          </w:p>
        </w:tc>
        <w:tc>
          <w:tcPr>
            <w:tcW w:w="3120" w:type="dxa"/>
            <w:tcMar>
              <w:top w:w="100" w:type="dxa"/>
              <w:left w:w="100" w:type="dxa"/>
              <w:bottom w:w="100" w:type="dxa"/>
              <w:right w:w="100" w:type="dxa"/>
            </w:tcMar>
          </w:tcPr>
          <w:p w14:paraId="36474A81" w14:textId="77777777" w:rsidR="00EF03DF" w:rsidRDefault="00000000">
            <w:pPr>
              <w:widowControl w:val="0"/>
              <w:pBdr>
                <w:top w:val="nil"/>
                <w:left w:val="nil"/>
                <w:bottom w:val="nil"/>
                <w:right w:val="nil"/>
                <w:between w:val="nil"/>
              </w:pBdr>
            </w:pPr>
            <w:hyperlink r:id="rId10">
              <w:r>
                <w:t>https://data.worldbank.org/indicator/SL.UEM.TOTL.ZS</w:t>
              </w:r>
            </w:hyperlink>
          </w:p>
        </w:tc>
      </w:tr>
      <w:tr w:rsidR="00EF03DF" w14:paraId="7323FFED" w14:textId="77777777">
        <w:tc>
          <w:tcPr>
            <w:tcW w:w="2535" w:type="dxa"/>
            <w:tcMar>
              <w:top w:w="100" w:type="dxa"/>
              <w:left w:w="100" w:type="dxa"/>
              <w:bottom w:w="100" w:type="dxa"/>
              <w:right w:w="100" w:type="dxa"/>
            </w:tcMar>
          </w:tcPr>
          <w:p w14:paraId="318703BA" w14:textId="77777777" w:rsidR="00EF03DF" w:rsidRDefault="00000000">
            <w:pPr>
              <w:widowControl w:val="0"/>
              <w:pBdr>
                <w:top w:val="nil"/>
                <w:left w:val="nil"/>
                <w:bottom w:val="nil"/>
                <w:right w:val="nil"/>
                <w:between w:val="nil"/>
              </w:pBdr>
            </w:pPr>
            <w:r>
              <w:t>Gini</w:t>
            </w:r>
          </w:p>
        </w:tc>
        <w:tc>
          <w:tcPr>
            <w:tcW w:w="3705" w:type="dxa"/>
            <w:tcMar>
              <w:top w:w="100" w:type="dxa"/>
              <w:left w:w="100" w:type="dxa"/>
              <w:bottom w:w="100" w:type="dxa"/>
              <w:right w:w="100" w:type="dxa"/>
            </w:tcMar>
          </w:tcPr>
          <w:p w14:paraId="23A6D788" w14:textId="77777777" w:rsidR="00EF03DF" w:rsidRDefault="00000000">
            <w:r>
              <w:t>Income Inequality - Gini index ranging from 0 to 1</w:t>
            </w:r>
          </w:p>
        </w:tc>
        <w:tc>
          <w:tcPr>
            <w:tcW w:w="3120" w:type="dxa"/>
            <w:tcMar>
              <w:top w:w="100" w:type="dxa"/>
              <w:left w:w="100" w:type="dxa"/>
              <w:bottom w:w="100" w:type="dxa"/>
              <w:right w:w="100" w:type="dxa"/>
            </w:tcMar>
          </w:tcPr>
          <w:p w14:paraId="52A73188" w14:textId="77777777" w:rsidR="00EF03DF" w:rsidRDefault="00000000">
            <w:pPr>
              <w:widowControl w:val="0"/>
              <w:pBdr>
                <w:top w:val="nil"/>
                <w:left w:val="nil"/>
                <w:bottom w:val="nil"/>
                <w:right w:val="nil"/>
                <w:between w:val="nil"/>
              </w:pBdr>
            </w:pPr>
            <w:hyperlink r:id="rId11">
              <w:r>
                <w:t>https://wid.world/data/</w:t>
              </w:r>
            </w:hyperlink>
          </w:p>
        </w:tc>
      </w:tr>
      <w:tr w:rsidR="00EF03DF" w14:paraId="3DF96B10" w14:textId="77777777">
        <w:tc>
          <w:tcPr>
            <w:tcW w:w="2535" w:type="dxa"/>
            <w:tcMar>
              <w:top w:w="100" w:type="dxa"/>
              <w:left w:w="100" w:type="dxa"/>
              <w:bottom w:w="100" w:type="dxa"/>
              <w:right w:w="100" w:type="dxa"/>
            </w:tcMar>
          </w:tcPr>
          <w:p w14:paraId="471E18EA" w14:textId="77777777" w:rsidR="00EF03DF" w:rsidRDefault="00000000">
            <w:pPr>
              <w:widowControl w:val="0"/>
              <w:pBdr>
                <w:top w:val="nil"/>
                <w:left w:val="nil"/>
                <w:bottom w:val="nil"/>
                <w:right w:val="nil"/>
                <w:between w:val="nil"/>
              </w:pBdr>
            </w:pPr>
            <w:proofErr w:type="spellStart"/>
            <w:r>
              <w:t>female_is</w:t>
            </w:r>
            <w:proofErr w:type="spellEnd"/>
          </w:p>
        </w:tc>
        <w:tc>
          <w:tcPr>
            <w:tcW w:w="3705" w:type="dxa"/>
            <w:tcMar>
              <w:top w:w="100" w:type="dxa"/>
              <w:left w:w="100" w:type="dxa"/>
              <w:bottom w:w="100" w:type="dxa"/>
              <w:right w:w="100" w:type="dxa"/>
            </w:tcMar>
          </w:tcPr>
          <w:p w14:paraId="68AE9F8C" w14:textId="77777777" w:rsidR="00EF03DF" w:rsidRDefault="00000000">
            <w:r>
              <w:t xml:space="preserve">Gender inequality (female income share) - in per cent (relative to total </w:t>
            </w:r>
            <w:proofErr w:type="spellStart"/>
            <w:r>
              <w:t>labour</w:t>
            </w:r>
            <w:proofErr w:type="spellEnd"/>
            <w:r>
              <w:t xml:space="preserve"> income of both sexes)</w:t>
            </w:r>
          </w:p>
        </w:tc>
        <w:tc>
          <w:tcPr>
            <w:tcW w:w="3120" w:type="dxa"/>
            <w:tcMar>
              <w:top w:w="100" w:type="dxa"/>
              <w:left w:w="100" w:type="dxa"/>
              <w:bottom w:w="100" w:type="dxa"/>
              <w:right w:w="100" w:type="dxa"/>
            </w:tcMar>
          </w:tcPr>
          <w:p w14:paraId="0E2BB633" w14:textId="77777777" w:rsidR="00EF03DF" w:rsidRDefault="00000000">
            <w:pPr>
              <w:widowControl w:val="0"/>
              <w:pBdr>
                <w:top w:val="nil"/>
                <w:left w:val="nil"/>
                <w:bottom w:val="nil"/>
                <w:right w:val="nil"/>
                <w:between w:val="nil"/>
              </w:pBdr>
            </w:pPr>
            <w:hyperlink r:id="rId12">
              <w:r>
                <w:t>https://wid.world/data/</w:t>
              </w:r>
            </w:hyperlink>
          </w:p>
        </w:tc>
      </w:tr>
      <w:tr w:rsidR="00EF03DF" w14:paraId="285D38A5" w14:textId="77777777">
        <w:tc>
          <w:tcPr>
            <w:tcW w:w="2535" w:type="dxa"/>
            <w:tcMar>
              <w:top w:w="100" w:type="dxa"/>
              <w:left w:w="100" w:type="dxa"/>
              <w:bottom w:w="100" w:type="dxa"/>
              <w:right w:w="100" w:type="dxa"/>
            </w:tcMar>
          </w:tcPr>
          <w:p w14:paraId="248D28EB" w14:textId="77777777" w:rsidR="00EF03DF" w:rsidRDefault="00000000">
            <w:pPr>
              <w:widowControl w:val="0"/>
              <w:pBdr>
                <w:top w:val="nil"/>
                <w:left w:val="nil"/>
                <w:bottom w:val="nil"/>
                <w:right w:val="nil"/>
                <w:between w:val="nil"/>
              </w:pBdr>
            </w:pPr>
            <w:r>
              <w:t>education</w:t>
            </w:r>
          </w:p>
        </w:tc>
        <w:tc>
          <w:tcPr>
            <w:tcW w:w="3705" w:type="dxa"/>
            <w:tcMar>
              <w:top w:w="100" w:type="dxa"/>
              <w:left w:w="100" w:type="dxa"/>
              <w:bottom w:w="100" w:type="dxa"/>
              <w:right w:w="100" w:type="dxa"/>
            </w:tcMar>
          </w:tcPr>
          <w:p w14:paraId="56678C9F" w14:textId="77777777" w:rsidR="00EF03DF" w:rsidRDefault="00000000">
            <w:r>
              <w:t xml:space="preserve">Secondary school enrollment - in per cent (relative to the number of students </w:t>
            </w:r>
            <w:proofErr w:type="gramStart"/>
            <w:r>
              <w:t>in</w:t>
            </w:r>
            <w:proofErr w:type="gramEnd"/>
            <w:r>
              <w:t xml:space="preserve"> the age where they should obtain secondary school enrollment) </w:t>
            </w:r>
          </w:p>
        </w:tc>
        <w:tc>
          <w:tcPr>
            <w:tcW w:w="3120" w:type="dxa"/>
            <w:tcMar>
              <w:top w:w="100" w:type="dxa"/>
              <w:left w:w="100" w:type="dxa"/>
              <w:bottom w:w="100" w:type="dxa"/>
              <w:right w:w="100" w:type="dxa"/>
            </w:tcMar>
          </w:tcPr>
          <w:p w14:paraId="5D8A9404" w14:textId="77777777" w:rsidR="00EF03DF" w:rsidRDefault="00000000">
            <w:pPr>
              <w:widowControl w:val="0"/>
              <w:pBdr>
                <w:top w:val="nil"/>
                <w:left w:val="nil"/>
                <w:bottom w:val="nil"/>
                <w:right w:val="nil"/>
                <w:between w:val="nil"/>
              </w:pBdr>
            </w:pPr>
            <w:hyperlink r:id="rId13">
              <w:r>
                <w:t>https://data.worldbank.org/indicator/SE.SEC.ENRR</w:t>
              </w:r>
            </w:hyperlink>
          </w:p>
        </w:tc>
      </w:tr>
      <w:tr w:rsidR="00EF03DF" w14:paraId="23DCC492" w14:textId="77777777">
        <w:tc>
          <w:tcPr>
            <w:tcW w:w="2535" w:type="dxa"/>
            <w:tcMar>
              <w:top w:w="100" w:type="dxa"/>
              <w:left w:w="100" w:type="dxa"/>
              <w:bottom w:w="100" w:type="dxa"/>
              <w:right w:w="100" w:type="dxa"/>
            </w:tcMar>
          </w:tcPr>
          <w:p w14:paraId="1B52C798" w14:textId="77777777" w:rsidR="00EF03DF" w:rsidRDefault="00000000">
            <w:pPr>
              <w:widowControl w:val="0"/>
              <w:pBdr>
                <w:top w:val="nil"/>
                <w:left w:val="nil"/>
                <w:bottom w:val="nil"/>
                <w:right w:val="nil"/>
                <w:between w:val="nil"/>
              </w:pBdr>
            </w:pPr>
            <w:r>
              <w:t>Carbon_T10</w:t>
            </w:r>
          </w:p>
        </w:tc>
        <w:tc>
          <w:tcPr>
            <w:tcW w:w="3705" w:type="dxa"/>
            <w:tcMar>
              <w:top w:w="100" w:type="dxa"/>
              <w:left w:w="100" w:type="dxa"/>
              <w:bottom w:w="100" w:type="dxa"/>
              <w:right w:w="100" w:type="dxa"/>
            </w:tcMar>
          </w:tcPr>
          <w:p w14:paraId="51BFC7CB" w14:textId="77777777" w:rsidR="00EF03DF" w:rsidRDefault="00000000">
            <w:r>
              <w:t xml:space="preserve">Carbon Inequality - total CO2 emissions in </w:t>
            </w:r>
            <w:proofErr w:type="spellStart"/>
            <w:r>
              <w:t>tonnes</w:t>
            </w:r>
            <w:proofErr w:type="spellEnd"/>
            <w:r>
              <w:t xml:space="preserve"> of the top 10% richest of society</w:t>
            </w:r>
          </w:p>
        </w:tc>
        <w:tc>
          <w:tcPr>
            <w:tcW w:w="3120" w:type="dxa"/>
            <w:tcMar>
              <w:top w:w="100" w:type="dxa"/>
              <w:left w:w="100" w:type="dxa"/>
              <w:bottom w:w="100" w:type="dxa"/>
              <w:right w:w="100" w:type="dxa"/>
            </w:tcMar>
          </w:tcPr>
          <w:p w14:paraId="45608BB7" w14:textId="77777777" w:rsidR="00EF03DF" w:rsidRDefault="00000000">
            <w:pPr>
              <w:widowControl w:val="0"/>
              <w:pBdr>
                <w:top w:val="nil"/>
                <w:left w:val="nil"/>
                <w:bottom w:val="nil"/>
                <w:right w:val="nil"/>
                <w:between w:val="nil"/>
              </w:pBdr>
            </w:pPr>
            <w:hyperlink r:id="rId14">
              <w:r>
                <w:t>https://wid.world/data/</w:t>
              </w:r>
            </w:hyperlink>
          </w:p>
        </w:tc>
      </w:tr>
      <w:tr w:rsidR="00EF03DF" w14:paraId="7BECFB1A" w14:textId="77777777">
        <w:tc>
          <w:tcPr>
            <w:tcW w:w="2535" w:type="dxa"/>
            <w:tcMar>
              <w:top w:w="100" w:type="dxa"/>
              <w:left w:w="100" w:type="dxa"/>
              <w:bottom w:w="100" w:type="dxa"/>
              <w:right w:w="100" w:type="dxa"/>
            </w:tcMar>
          </w:tcPr>
          <w:p w14:paraId="676DEDC1" w14:textId="77777777" w:rsidR="00EF03DF" w:rsidRDefault="00000000">
            <w:pPr>
              <w:widowControl w:val="0"/>
              <w:pBdr>
                <w:top w:val="nil"/>
                <w:left w:val="nil"/>
                <w:bottom w:val="nil"/>
                <w:right w:val="nil"/>
                <w:between w:val="nil"/>
              </w:pBdr>
            </w:pPr>
            <w:proofErr w:type="spellStart"/>
            <w:r>
              <w:t>Temp_change</w:t>
            </w:r>
            <w:proofErr w:type="spellEnd"/>
          </w:p>
        </w:tc>
        <w:tc>
          <w:tcPr>
            <w:tcW w:w="3705" w:type="dxa"/>
            <w:tcMar>
              <w:top w:w="100" w:type="dxa"/>
              <w:left w:w="100" w:type="dxa"/>
              <w:bottom w:w="100" w:type="dxa"/>
              <w:right w:w="100" w:type="dxa"/>
            </w:tcMar>
          </w:tcPr>
          <w:p w14:paraId="7F46E159" w14:textId="77777777" w:rsidR="00EF03DF" w:rsidRDefault="00000000">
            <w:r>
              <w:t>Annual mean temperature change - in degrees Celsius</w:t>
            </w:r>
          </w:p>
        </w:tc>
        <w:tc>
          <w:tcPr>
            <w:tcW w:w="3120" w:type="dxa"/>
            <w:tcMar>
              <w:top w:w="100" w:type="dxa"/>
              <w:left w:w="100" w:type="dxa"/>
              <w:bottom w:w="100" w:type="dxa"/>
              <w:right w:w="100" w:type="dxa"/>
            </w:tcMar>
          </w:tcPr>
          <w:p w14:paraId="5D40042C" w14:textId="77777777" w:rsidR="00EF03DF" w:rsidRDefault="00000000">
            <w:pPr>
              <w:widowControl w:val="0"/>
              <w:pBdr>
                <w:top w:val="nil"/>
                <w:left w:val="nil"/>
                <w:bottom w:val="nil"/>
                <w:right w:val="nil"/>
                <w:between w:val="nil"/>
              </w:pBdr>
            </w:pPr>
            <w:hyperlink r:id="rId15" w:anchor="data/ET">
              <w:r>
                <w:t>https://www.fao.org/faostat/en/#data/ET</w:t>
              </w:r>
            </w:hyperlink>
          </w:p>
        </w:tc>
      </w:tr>
    </w:tbl>
    <w:p w14:paraId="4D69FC98" w14:textId="77777777" w:rsidR="00EF03DF" w:rsidRDefault="00EF03DF">
      <w:pPr>
        <w:rPr>
          <w:b/>
          <w:sz w:val="24"/>
          <w:szCs w:val="24"/>
        </w:rPr>
      </w:pPr>
    </w:p>
    <w:p w14:paraId="760C3FA3" w14:textId="77777777" w:rsidR="00EF03DF" w:rsidRDefault="00000000">
      <w:pPr>
        <w:numPr>
          <w:ilvl w:val="0"/>
          <w:numId w:val="2"/>
        </w:numPr>
        <w:spacing w:line="480" w:lineRule="auto"/>
        <w:rPr>
          <w:b/>
        </w:rPr>
      </w:pPr>
      <w:r>
        <w:rPr>
          <w:b/>
        </w:rPr>
        <w:t>Elaboration on data collection</w:t>
      </w:r>
    </w:p>
    <w:p w14:paraId="4EF24A0C" w14:textId="77777777" w:rsidR="00EF03DF" w:rsidRDefault="00000000">
      <w:pPr>
        <w:spacing w:line="480" w:lineRule="auto"/>
        <w:ind w:firstLine="720"/>
      </w:pPr>
      <w:r>
        <w:t xml:space="preserve">Firstly, data for the variable of accessibility of healthcare systems within a country has been collected from the WHO measured in out-of-pocket (OOP) expenditure as a percentage of total health expenditure. Data is given in percentages ranging from a scale of 0 to 100, with 100 being the worst possible scenario of people in </w:t>
      </w:r>
      <w:proofErr w:type="gramStart"/>
      <w:r>
        <w:t>a society</w:t>
      </w:r>
      <w:proofErr w:type="gramEnd"/>
      <w:r>
        <w:t>, on average, having to pay all health expenditures out of their own pockets.</w:t>
      </w:r>
    </w:p>
    <w:p w14:paraId="400F95B0" w14:textId="77777777" w:rsidR="00EF03DF" w:rsidRDefault="00000000">
      <w:pPr>
        <w:spacing w:line="480" w:lineRule="auto"/>
        <w:ind w:firstLine="720"/>
      </w:pPr>
      <w:r>
        <w:t xml:space="preserve">Data for the variable accessibility of clean water has been obtained from water, sanitation and hygiene (WASH) data from the Joint Monitoring </w:t>
      </w:r>
      <w:proofErr w:type="spellStart"/>
      <w:r>
        <w:t>Programme</w:t>
      </w:r>
      <w:proofErr w:type="spellEnd"/>
      <w:r>
        <w:t xml:space="preserve"> (JPM) of the WHO and the United Nations Children’s Fund (UNICEF). This variable is measured in the share of total drinking water coverage, which is accessible to a country’s population as safely managed clean drinking water. This data is given in percentages on a scale from 0 to 100, with 100 being the best possible scenario in terms of well-being, with safely managed clean drinking water being 100% accessible to a country’s population.</w:t>
      </w:r>
    </w:p>
    <w:p w14:paraId="30EE46EC" w14:textId="77777777" w:rsidR="00EF03DF" w:rsidRDefault="00000000">
      <w:pPr>
        <w:spacing w:line="480" w:lineRule="auto"/>
        <w:ind w:firstLine="720"/>
      </w:pPr>
      <w:r>
        <w:t xml:space="preserve">Perception of Corruption data has been gathered from the WID using their corruption perception index (CPI), which ranks countries and territories by their perceived levels of corruption in the public sector by scoring them on a scale of 0 (highly corrupt) to 100 (very clean). A score of 100 is considered the best possible outcome for well-being. Before the year 2012, the CPI was ranked on a scale from 0 to 10. Therefore, the </w:t>
      </w:r>
      <w:proofErr w:type="spellStart"/>
      <w:r>
        <w:t>ASWell</w:t>
      </w:r>
      <w:proofErr w:type="spellEnd"/>
      <w:r>
        <w:t xml:space="preserve"> CPI data from before 2012 has been rescaled to match the scores from after 2012, ranging from 0 to 100. In short, the CPI is calculated using country experts' and </w:t>
      </w:r>
      <w:proofErr w:type="gramStart"/>
      <w:r>
        <w:t>business people’s</w:t>
      </w:r>
      <w:proofErr w:type="gramEnd"/>
      <w:r>
        <w:t xml:space="preserve"> opinions on corruption in the public sector based on 13 different data sources. For further details on the methodology behind the CPI, the methodology papers on the index provided by </w:t>
      </w:r>
      <w:proofErr w:type="gramStart"/>
      <w:r>
        <w:t>transparency international</w:t>
      </w:r>
      <w:proofErr w:type="gramEnd"/>
      <w:r>
        <w:t xml:space="preserve"> can be consulted following this </w:t>
      </w:r>
      <w:hyperlink r:id="rId16">
        <w:r>
          <w:rPr>
            <w:color w:val="1155CC"/>
            <w:u w:val="single"/>
          </w:rPr>
          <w:t>download link</w:t>
        </w:r>
      </w:hyperlink>
      <w:r>
        <w:t>.</w:t>
      </w:r>
    </w:p>
    <w:p w14:paraId="4023983D" w14:textId="77777777" w:rsidR="00EF03DF" w:rsidRDefault="00000000">
      <w:pPr>
        <w:spacing w:line="480" w:lineRule="auto"/>
        <w:ind w:firstLine="720"/>
      </w:pPr>
      <w:r>
        <w:t>The variable of opportunity for political participation has been captured with scores on the variable of participatory democracy (</w:t>
      </w:r>
      <w:proofErr w:type="spellStart"/>
      <w:r>
        <w:t>partidem</w:t>
      </w:r>
      <w:proofErr w:type="spellEnd"/>
      <w:r>
        <w:t xml:space="preserve">) stemming from the Varieties of Democracy </w:t>
      </w:r>
      <w:r>
        <w:lastRenderedPageBreak/>
        <w:t xml:space="preserve">(V-Dem) dataset from the V-Dem institute, which ranks the degree to which a country exerts participatory democracy on a scale from 0 to 1 with 1 being the highest and most desirable score for a country to obtain. Data for the V-Dem dataset has predominantly been gathered from country surveys, but more in-depth information on the construction of the dataset can be found in their methodology papers accessible via this </w:t>
      </w:r>
      <w:hyperlink r:id="rId17">
        <w:r>
          <w:rPr>
            <w:color w:val="1155CC"/>
            <w:u w:val="single"/>
          </w:rPr>
          <w:t>link</w:t>
        </w:r>
      </w:hyperlink>
      <w:r>
        <w:t>.</w:t>
      </w:r>
    </w:p>
    <w:p w14:paraId="30942118" w14:textId="77777777" w:rsidR="00EF03DF" w:rsidRDefault="00000000">
      <w:pPr>
        <w:spacing w:line="480" w:lineRule="auto"/>
        <w:ind w:firstLine="720"/>
      </w:pPr>
      <w:r>
        <w:t xml:space="preserve">Unemployment data has been obtained from WB data as the percentage of unemployed </w:t>
      </w:r>
      <w:proofErr w:type="gramStart"/>
      <w:r>
        <w:t>persons</w:t>
      </w:r>
      <w:proofErr w:type="gramEnd"/>
      <w:r>
        <w:t xml:space="preserve"> in the total </w:t>
      </w:r>
      <w:proofErr w:type="spellStart"/>
      <w:r>
        <w:t>labour</w:t>
      </w:r>
      <w:proofErr w:type="spellEnd"/>
      <w:r>
        <w:t xml:space="preserve"> force. The data is given in percentages on a scale from 0 to 100, with 100 being the worst possible well-being outcome meaning that 100% of the country’s population would be unemployed. </w:t>
      </w:r>
    </w:p>
    <w:p w14:paraId="3DC673C1" w14:textId="77777777" w:rsidR="00EF03DF" w:rsidRDefault="00000000">
      <w:pPr>
        <w:spacing w:line="480" w:lineRule="auto"/>
        <w:ind w:firstLine="720"/>
      </w:pPr>
      <w:r>
        <w:t>Income Inequality was captured using the Gini values obtained from the WID. The WID captures income Gini values on a scale from 0 to 1, with 1 representing total and 0 representing no income inequality within a population. Hence, a Gini score of 0 is the desired value for optimal well-being.</w:t>
      </w:r>
    </w:p>
    <w:p w14:paraId="01538B62" w14:textId="77777777" w:rsidR="00EF03DF" w:rsidRDefault="00000000">
      <w:pPr>
        <w:spacing w:line="480" w:lineRule="auto"/>
        <w:ind w:firstLine="720"/>
      </w:pPr>
      <w:r>
        <w:t xml:space="preserve">Female income share as a proxy for gender inequality has been obtained through the WID and is given in percentages as the share of total income, ranging from a scale of 0 to 100. The higher the female income share, the better it </w:t>
      </w:r>
      <w:proofErr w:type="gramStart"/>
      <w:r>
        <w:t>is considered to be</w:t>
      </w:r>
      <w:proofErr w:type="gramEnd"/>
      <w:r>
        <w:t xml:space="preserve"> for well-being.</w:t>
      </w:r>
    </w:p>
    <w:p w14:paraId="7D16E106" w14:textId="77777777" w:rsidR="00EF03DF" w:rsidRDefault="00000000">
      <w:pPr>
        <w:spacing w:line="480" w:lineRule="auto"/>
        <w:ind w:firstLine="720"/>
      </w:pPr>
      <w:r>
        <w:t xml:space="preserve">The accessibility and capacity of the education system have been assessed using data on secondary school enrollment as a percentage of gross enrolment obtained through the WB database. The values are given as </w:t>
      </w:r>
      <w:proofErr w:type="gramStart"/>
      <w:r>
        <w:t>a secondary</w:t>
      </w:r>
      <w:proofErr w:type="gramEnd"/>
      <w:r>
        <w:t xml:space="preserve"> to gross school enrolment ratio and can therefore exceed 100. Conventionally, however, values range between 0 and 200. For the simplicity of </w:t>
      </w:r>
      <w:proofErr w:type="gramStart"/>
      <w:r>
        <w:t>the index</w:t>
      </w:r>
      <w:proofErr w:type="gramEnd"/>
      <w:r>
        <w:t xml:space="preserve"> creation, a higher ratio is associated with factoring positively to well-being.</w:t>
      </w:r>
    </w:p>
    <w:p w14:paraId="71C3ACBF" w14:textId="77777777" w:rsidR="00EF03DF" w:rsidRDefault="00000000">
      <w:pPr>
        <w:spacing w:line="480" w:lineRule="auto"/>
        <w:ind w:firstLine="720"/>
      </w:pPr>
      <w:r>
        <w:t xml:space="preserve">The WID has also been </w:t>
      </w:r>
      <w:proofErr w:type="spellStart"/>
      <w:r>
        <w:t>utilised</w:t>
      </w:r>
      <w:proofErr w:type="spellEnd"/>
      <w:r>
        <w:t xml:space="preserve"> to gather data on carbon inequality, measured in total numbers of </w:t>
      </w:r>
      <w:proofErr w:type="spellStart"/>
      <w:r>
        <w:t>tonnes</w:t>
      </w:r>
      <w:proofErr w:type="spellEnd"/>
      <w:r>
        <w:t xml:space="preserve"> of carbon emissions emitted by the 10 richest per cent of society. The higher the value, the worse this is regarded </w:t>
      </w:r>
      <w:proofErr w:type="gramStart"/>
      <w:r>
        <w:t>for</w:t>
      </w:r>
      <w:proofErr w:type="gramEnd"/>
      <w:r>
        <w:t xml:space="preserve"> sustainable holistic well-being.</w:t>
      </w:r>
    </w:p>
    <w:p w14:paraId="7AC713A5" w14:textId="77777777" w:rsidR="00EF03DF" w:rsidRDefault="00000000">
      <w:pPr>
        <w:spacing w:line="480" w:lineRule="auto"/>
        <w:ind w:firstLine="720"/>
      </w:pPr>
      <w:r>
        <w:t xml:space="preserve">Lastly, data on annual temperature change on land in degrees Celsius compared to baseline temperatures from 1951 to 1980 has been obtained from FAOSTAT. For simplicity in </w:t>
      </w:r>
      <w:r>
        <w:lastRenderedPageBreak/>
        <w:t>constructing the index, a higher temperature change will be associated with factoring negatively to well-being.</w:t>
      </w:r>
    </w:p>
    <w:p w14:paraId="42498F50" w14:textId="77777777" w:rsidR="00EF03DF" w:rsidRDefault="00000000">
      <w:pPr>
        <w:spacing w:line="480" w:lineRule="auto"/>
        <w:ind w:firstLine="720"/>
      </w:pPr>
      <w:r>
        <w:t>The following list shows each variable and its corresponding abbreviation code:</w:t>
      </w:r>
    </w:p>
    <w:p w14:paraId="1B0BB8F8" w14:textId="77777777" w:rsidR="00EF03DF" w:rsidRDefault="00000000">
      <w:pPr>
        <w:numPr>
          <w:ilvl w:val="0"/>
          <w:numId w:val="3"/>
        </w:numPr>
        <w:spacing w:line="480" w:lineRule="auto"/>
      </w:pPr>
      <w:r>
        <w:t>Accessibility of healthcare systems - OOP</w:t>
      </w:r>
    </w:p>
    <w:p w14:paraId="2BC3D1D2" w14:textId="77777777" w:rsidR="00EF03DF" w:rsidRDefault="00000000">
      <w:pPr>
        <w:numPr>
          <w:ilvl w:val="0"/>
          <w:numId w:val="3"/>
        </w:numPr>
        <w:spacing w:line="480" w:lineRule="auto"/>
      </w:pPr>
      <w:r>
        <w:t>Accessibility of clean and safely managed drinking water - Water</w:t>
      </w:r>
    </w:p>
    <w:p w14:paraId="125522F5" w14:textId="77777777" w:rsidR="00EF03DF" w:rsidRDefault="00000000">
      <w:pPr>
        <w:numPr>
          <w:ilvl w:val="0"/>
          <w:numId w:val="3"/>
        </w:numPr>
        <w:spacing w:line="480" w:lineRule="auto"/>
      </w:pPr>
      <w:r>
        <w:t>Corruption Perception in the public sector - CPI</w:t>
      </w:r>
    </w:p>
    <w:p w14:paraId="672AD749" w14:textId="77777777" w:rsidR="00EF03DF" w:rsidRDefault="00000000">
      <w:pPr>
        <w:numPr>
          <w:ilvl w:val="0"/>
          <w:numId w:val="3"/>
        </w:numPr>
        <w:spacing w:line="480" w:lineRule="auto"/>
      </w:pPr>
      <w:r>
        <w:t xml:space="preserve">Opportunity for political participation - </w:t>
      </w:r>
      <w:proofErr w:type="spellStart"/>
      <w:r>
        <w:t>partidem</w:t>
      </w:r>
      <w:proofErr w:type="spellEnd"/>
    </w:p>
    <w:p w14:paraId="7191F3E4" w14:textId="77777777" w:rsidR="00EF03DF" w:rsidRDefault="00000000">
      <w:pPr>
        <w:numPr>
          <w:ilvl w:val="0"/>
          <w:numId w:val="3"/>
        </w:numPr>
        <w:spacing w:line="480" w:lineRule="auto"/>
      </w:pPr>
      <w:r>
        <w:t>Unemployment - Unemployment</w:t>
      </w:r>
    </w:p>
    <w:p w14:paraId="07467302" w14:textId="77777777" w:rsidR="00EF03DF" w:rsidRDefault="00000000">
      <w:pPr>
        <w:numPr>
          <w:ilvl w:val="0"/>
          <w:numId w:val="3"/>
        </w:numPr>
        <w:spacing w:line="480" w:lineRule="auto"/>
      </w:pPr>
      <w:r>
        <w:t>Income Inequality - Gini</w:t>
      </w:r>
    </w:p>
    <w:p w14:paraId="34B6CCE6" w14:textId="77777777" w:rsidR="00EF03DF" w:rsidRDefault="00000000">
      <w:pPr>
        <w:numPr>
          <w:ilvl w:val="0"/>
          <w:numId w:val="3"/>
        </w:numPr>
        <w:spacing w:line="480" w:lineRule="auto"/>
      </w:pPr>
      <w:r>
        <w:t xml:space="preserve">Gender inequality (female income share) - </w:t>
      </w:r>
      <w:proofErr w:type="spellStart"/>
      <w:r>
        <w:t>female_is</w:t>
      </w:r>
      <w:proofErr w:type="spellEnd"/>
    </w:p>
    <w:p w14:paraId="63DF5DBB" w14:textId="77777777" w:rsidR="00EF03DF" w:rsidRDefault="00000000">
      <w:pPr>
        <w:numPr>
          <w:ilvl w:val="0"/>
          <w:numId w:val="3"/>
        </w:numPr>
        <w:spacing w:line="480" w:lineRule="auto"/>
      </w:pPr>
      <w:r>
        <w:t>Secondary school enrollment - education</w:t>
      </w:r>
    </w:p>
    <w:p w14:paraId="0B1BC865" w14:textId="77777777" w:rsidR="00EF03DF" w:rsidRDefault="00000000">
      <w:pPr>
        <w:numPr>
          <w:ilvl w:val="0"/>
          <w:numId w:val="3"/>
        </w:numPr>
        <w:spacing w:line="480" w:lineRule="auto"/>
      </w:pPr>
      <w:r>
        <w:t>Carbon Inequality - Carbon_T10</w:t>
      </w:r>
    </w:p>
    <w:p w14:paraId="43E38F07" w14:textId="77777777" w:rsidR="00EF03DF" w:rsidRDefault="00000000">
      <w:pPr>
        <w:numPr>
          <w:ilvl w:val="0"/>
          <w:numId w:val="3"/>
        </w:numPr>
        <w:spacing w:line="480" w:lineRule="auto"/>
      </w:pPr>
      <w:r>
        <w:t xml:space="preserve">Annual mean temperature change - </w:t>
      </w:r>
      <w:proofErr w:type="spellStart"/>
      <w:r>
        <w:t>Temp_change</w:t>
      </w:r>
      <w:proofErr w:type="spellEnd"/>
    </w:p>
    <w:p w14:paraId="0BF2CC33" w14:textId="77777777" w:rsidR="00EF03DF" w:rsidRDefault="00000000">
      <w:pPr>
        <w:spacing w:line="480" w:lineRule="auto"/>
      </w:pPr>
      <w:r>
        <w:t xml:space="preserve">Next to the ten variables collected for the composition of the </w:t>
      </w:r>
      <w:proofErr w:type="spellStart"/>
      <w:r>
        <w:t>ASWell</w:t>
      </w:r>
      <w:proofErr w:type="spellEnd"/>
      <w:r>
        <w:t xml:space="preserve"> index, for data analysis and investigation of the research question, data on GDP per capita measured in PPP-adjusted current international dollars has been collected from the </w:t>
      </w:r>
      <w:hyperlink r:id="rId18">
        <w:r>
          <w:rPr>
            <w:color w:val="1155CC"/>
            <w:u w:val="single"/>
          </w:rPr>
          <w:t xml:space="preserve">international monetary fund (IMF) </w:t>
        </w:r>
      </w:hyperlink>
      <w:r>
        <w:t xml:space="preserve">at the country-level for the years 2000 to 2022. On regional and world levels for the years 2000 to 2021, the GDP/capita data has been collected from the </w:t>
      </w:r>
      <w:hyperlink r:id="rId19">
        <w:r>
          <w:rPr>
            <w:color w:val="1155CC"/>
            <w:u w:val="single"/>
          </w:rPr>
          <w:t>world bank</w:t>
        </w:r>
      </w:hyperlink>
      <w:r>
        <w:t xml:space="preserve"> since the IMF did not provide data for the same regional groupings that the </w:t>
      </w:r>
      <w:proofErr w:type="spellStart"/>
      <w:r>
        <w:t>ASWell</w:t>
      </w:r>
      <w:proofErr w:type="spellEnd"/>
      <w:r>
        <w:t xml:space="preserve"> index follows. </w:t>
      </w:r>
    </w:p>
    <w:p w14:paraId="7C906D08" w14:textId="77777777" w:rsidR="00EF03DF" w:rsidRDefault="00EF03DF">
      <w:pPr>
        <w:rPr>
          <w:b/>
          <w:sz w:val="24"/>
          <w:szCs w:val="24"/>
        </w:rPr>
      </w:pPr>
    </w:p>
    <w:sectPr w:rsidR="00EF03D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00A82"/>
    <w:multiLevelType w:val="multilevel"/>
    <w:tmpl w:val="A7B2EF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F26111A"/>
    <w:multiLevelType w:val="multilevel"/>
    <w:tmpl w:val="AF88A9F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6A9E6E89"/>
    <w:multiLevelType w:val="multilevel"/>
    <w:tmpl w:val="A5DC88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50550338">
    <w:abstractNumId w:val="2"/>
  </w:num>
  <w:num w:numId="2" w16cid:durableId="1492989481">
    <w:abstractNumId w:val="0"/>
  </w:num>
  <w:num w:numId="3" w16cid:durableId="3641334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03DF"/>
    <w:rsid w:val="00224CAC"/>
    <w:rsid w:val="009612B9"/>
    <w:rsid w:val="00EF03D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B355A"/>
  <w15:docId w15:val="{BD48AD98-D6B7-436C-80F2-5B2B07D47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v-dem.net/data/the-v-dem-dataset/" TargetMode="External"/><Relationship Id="rId13" Type="http://schemas.openxmlformats.org/officeDocument/2006/relationships/hyperlink" Target="https://data.worldbank.org/indicator/SE.SEC.ENRR?view=chart" TargetMode="External"/><Relationship Id="rId18" Type="http://schemas.openxmlformats.org/officeDocument/2006/relationships/hyperlink" Target="https://www.imf.org/external/datamapper/PPPPC@WEO/OEMDC/ADVEC/WEOWORLD"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transparency.org/en/cpi/2022" TargetMode="External"/><Relationship Id="rId12" Type="http://schemas.openxmlformats.org/officeDocument/2006/relationships/hyperlink" Target="https://wid.world/data/" TargetMode="External"/><Relationship Id="rId17" Type="http://schemas.openxmlformats.org/officeDocument/2006/relationships/hyperlink" Target="https://www.v-dem.net/documents/26/methodology_v13.pdf" TargetMode="External"/><Relationship Id="rId2" Type="http://schemas.openxmlformats.org/officeDocument/2006/relationships/styles" Target="styles.xml"/><Relationship Id="rId16" Type="http://schemas.openxmlformats.org/officeDocument/2006/relationships/hyperlink" Target="https://images.transparencycdn.org/images/CPI_2022_Methodology.zip"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ashdata.org/data/household" TargetMode="External"/><Relationship Id="rId11" Type="http://schemas.openxmlformats.org/officeDocument/2006/relationships/hyperlink" Target="https://wid.world/data/" TargetMode="External"/><Relationship Id="rId5" Type="http://schemas.openxmlformats.org/officeDocument/2006/relationships/hyperlink" Target="https://www.who.int/data/gho/data/indicators/indicator-details/GHO/out-of-pocket-expenditure-as-percentage-of-current-health-expenditure-(che)-(-)" TargetMode="External"/><Relationship Id="rId15" Type="http://schemas.openxmlformats.org/officeDocument/2006/relationships/hyperlink" Target="https://www.fao.org/faostat/en/" TargetMode="External"/><Relationship Id="rId10" Type="http://schemas.openxmlformats.org/officeDocument/2006/relationships/hyperlink" Target="https://data.worldbank.org/indicator/SL.UEM.TOTL.ZS" TargetMode="External"/><Relationship Id="rId19" Type="http://schemas.openxmlformats.org/officeDocument/2006/relationships/hyperlink" Target="https://data.worldbank.org/indicator/NY.GDP.PCAP.PP.CD" TargetMode="External"/><Relationship Id="rId4" Type="http://schemas.openxmlformats.org/officeDocument/2006/relationships/webSettings" Target="webSettings.xml"/><Relationship Id="rId9" Type="http://schemas.openxmlformats.org/officeDocument/2006/relationships/hyperlink" Target="https://data.worldbank.org/indicator/SL.UEM.TOTL.ZS" TargetMode="External"/><Relationship Id="rId14" Type="http://schemas.openxmlformats.org/officeDocument/2006/relationships/hyperlink" Target="https://wid.world/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1530</Words>
  <Characters>8726</Characters>
  <Application>Microsoft Office Word</Application>
  <DocSecurity>0</DocSecurity>
  <Lines>72</Lines>
  <Paragraphs>20</Paragraphs>
  <ScaleCrop>false</ScaleCrop>
  <Company/>
  <LinksUpToDate>false</LinksUpToDate>
  <CharactersWithSpaces>10236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Julia Gorny</cp:lastModifiedBy>
  <cp:revision>2</cp:revision>
  <dcterms:created xsi:type="dcterms:W3CDTF">2026-10-07T12:43:00Z</dcterms:created>
  <dcterms:modified xsi:type="dcterms:W3CDTF">2026-10-07T12:43:00Z</dcterms:modified>
</cp:coreProperties>
</file>