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48" w:rsidRDefault="00DC7D93" w:rsidP="00BD6298">
      <w:pPr>
        <w:pStyle w:val="TitrePrincipal"/>
      </w:pPr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530D48" w:rsidRDefault="00DC7D93" w:rsidP="00BD6298">
      <w:r>
        <w:t>Pour répondre au sujet nous avons opté pour une solution visant la</w:t>
      </w:r>
      <w:r w:rsidR="00A12318">
        <w:t xml:space="preserve"> réutilisabilité</w:t>
      </w:r>
      <w:r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</w:p>
    <w:p w:rsidR="00530D48" w:rsidRDefault="00DC7D93" w:rsidP="00BD6298">
      <w:r>
        <w:t xml:space="preserve">Pour autant, nous avons tenté d'optimiser au mieux le stockage des données pour répondre efficacement aux attentes du sujet. </w:t>
      </w:r>
    </w:p>
    <w:p w:rsidR="00530D48" w:rsidRDefault="00530D48"/>
    <w:p w:rsidR="00530D48" w:rsidRDefault="00DC7D93" w:rsidP="00BD6298">
      <w:pPr>
        <w:pStyle w:val="Titre2"/>
      </w:pPr>
      <w:r>
        <w:t>SCHEMA DES DONNÉES</w:t>
      </w:r>
    </w:p>
    <w:p w:rsidR="00177C0D" w:rsidRDefault="009B318C" w:rsidP="00DA1BFA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pt;margin-top:18.1pt;width:89.05pt;height:23.2pt;z-index:251660288;mso-height-percent:200;mso-height-percent:200;mso-width-relative:margin;mso-height-relative:margin" strokecolor="white [3212]">
            <v:textbox style="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6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/>
    <w:p w:rsidR="0036102D" w:rsidRDefault="009B318C" w:rsidP="00DA1BF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.9pt;margin-top:-22.05pt;width:89.05pt;height:23.2pt;z-index:251661312;mso-height-percent:200;mso-height-percent:200;mso-width-relative:margin;mso-height-relative:margin" filled="f" stroked="f" strokecolor="white [3212]">
            <v:textbox style="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7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8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9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/>
    <w:p w:rsidR="00CF3B8C" w:rsidRDefault="00273895">
      <w:r>
        <w:t>Les données sont organisées de la façon suivante :</w:t>
      </w:r>
    </w:p>
    <w:p w:rsidR="003B4FDE" w:rsidRDefault="003B4FDE"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E70B37"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BD6298">
      <w:pPr>
        <w:pStyle w:val="Titre2"/>
      </w:pPr>
      <w:r>
        <w:lastRenderedPageBreak/>
        <w:t>CLASSES</w:t>
      </w:r>
    </w:p>
    <w:p w:rsidR="00427F51" w:rsidRPr="00427F51" w:rsidRDefault="00427F51" w:rsidP="00427F51"/>
    <w:p w:rsidR="00427F51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BA2485"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>
      <w:proofErr w:type="gramStart"/>
      <w:r>
        <w:t>user</w:t>
      </w:r>
      <w:proofErr w:type="gramEnd"/>
      <w:r>
        <w:t> : le nom d'utilisateur authentifié</w:t>
      </w:r>
    </w:p>
    <w:p w:rsidR="00530D48" w:rsidRDefault="00DC7D93"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>
      <w:proofErr w:type="gramStart"/>
      <w:r>
        <w:t>navigateur</w:t>
      </w:r>
      <w:proofErr w:type="gramEnd"/>
      <w:r>
        <w:t> : infos navigateur</w:t>
      </w:r>
    </w:p>
    <w:p w:rsidR="00530D48" w:rsidRDefault="00DC7D93" w:rsidP="00BD6298">
      <w:pPr>
        <w:pStyle w:val="Lgendex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>
      <w:r>
        <w:t xml:space="preserve">Tracé si option de compilation MAP. </w:t>
      </w:r>
    </w:p>
    <w:p w:rsidR="00530D48" w:rsidRDefault="00530D48"/>
    <w:p w:rsidR="00530D48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>
      <w:r>
        <w:tab/>
      </w:r>
      <w:r w:rsidR="00DC7D93">
        <w:t>Il s'agit de la classe stockant l'ensemble des logs relatifs à une adresse cible. Les données sont organisées par heure</w:t>
      </w:r>
      <w:r w:rsidR="00DC7D93" w:rsidRPr="007E3804">
        <w:t xml:space="preserve"> de Greenwich </w:t>
      </w:r>
      <w:r w:rsidR="00DC7D93">
        <w:t>et type de requête, pour accélérer les traitements.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DC7D93"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5F27E2">
      <w:pPr>
        <w:pStyle w:val="Lgendex"/>
      </w:pPr>
      <w:r>
        <w:t>Méthodes publiques :</w:t>
      </w:r>
    </w:p>
    <w:p w:rsidR="00530D48" w:rsidRDefault="00DC7D93" w:rsidP="00160F28"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160F28">
      <w:r>
        <w:t xml:space="preserve">Destructeur () : </w:t>
      </w:r>
      <w:r w:rsidR="00160F28">
        <w:t>libère le tableau dynamique.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7E3804" w:rsidP="004540FC"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</w:t>
      </w:r>
      <w:r w:rsidR="00DC7D93">
        <w:t>jouter(</w:t>
      </w:r>
      <w:proofErr w:type="gramEnd"/>
      <w:r w:rsidR="00DC7D93">
        <w:t xml:space="preserve">string </w:t>
      </w:r>
      <w:r w:rsidR="004540FC">
        <w:t xml:space="preserve">&amp; </w:t>
      </w:r>
      <w:r w:rsidR="00DC7D93">
        <w:t xml:space="preserve">log) : Crée un Log à partir de la </w:t>
      </w:r>
      <w:r w:rsidR="00CD265E">
        <w:t>chaine de caractères</w:t>
      </w:r>
      <w:r w:rsidR="00DC7D93"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 w:rsidR="00DC7D93"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 w:rsidR="00DC7D93">
        <w:t>).</w:t>
      </w:r>
    </w:p>
    <w:p w:rsidR="00530D48" w:rsidRDefault="007E3804">
      <w:proofErr w:type="spellStart"/>
      <w:r>
        <w:t>int</w:t>
      </w:r>
      <w:proofErr w:type="spellEnd"/>
      <w:r>
        <w:t xml:space="preserve"> C</w:t>
      </w:r>
      <w:r w:rsidR="00DC7D93">
        <w:t>ompte(</w:t>
      </w:r>
      <w:proofErr w:type="spellStart"/>
      <w:r w:rsidR="00DC7D93">
        <w:t>const</w:t>
      </w:r>
      <w:proofErr w:type="spellEnd"/>
      <w:r w:rsidR="00DC7D93">
        <w:t xml:space="preserve"> string &amp;</w:t>
      </w:r>
      <w:proofErr w:type="spellStart"/>
      <w:r w:rsidR="00DC7D93">
        <w:t>requete</w:t>
      </w:r>
      <w:proofErr w:type="spellEnd"/>
      <w:r w:rsidR="00DC7D93">
        <w:t xml:space="preserve">, </w:t>
      </w:r>
      <w:proofErr w:type="spellStart"/>
      <w:r w:rsidR="00DC7D93">
        <w:t>const</w:t>
      </w:r>
      <w:proofErr w:type="spellEnd"/>
      <w:r w:rsidR="00DC7D93">
        <w:t xml:space="preserve"> </w:t>
      </w:r>
      <w:proofErr w:type="spellStart"/>
      <w:r w:rsidR="00DC7D93">
        <w:t>bool</w:t>
      </w:r>
      <w:proofErr w:type="spellEnd"/>
      <w:r w:rsidR="00DC7D93">
        <w:t xml:space="preserve"> e =false </w:t>
      </w:r>
      <w:bookmarkStart w:id="0" w:name="_GoBack"/>
      <w:bookmarkEnd w:id="0"/>
      <w:r w:rsidR="00DC7D93">
        <w:t xml:space="preserve">, </w:t>
      </w:r>
      <w:proofErr w:type="spellStart"/>
      <w:r w:rsidR="00DC7D93"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C7D93"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/>
    <w:p w:rsidR="00427F51" w:rsidRDefault="00427F51"/>
    <w:p w:rsidR="00427F51" w:rsidRDefault="00427F51"/>
    <w:p w:rsidR="00427F51" w:rsidRDefault="00427F51"/>
    <w:p w:rsidR="00E54EA1" w:rsidRPr="00427F51" w:rsidRDefault="00E54EA1" w:rsidP="00E54EA1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Collection :</w:t>
      </w:r>
    </w:p>
    <w:p w:rsidR="00E3149A" w:rsidRDefault="00427F51" w:rsidP="00E3149A"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E3149A"/>
    <w:p w:rsidR="00E3149A" w:rsidRDefault="00E3149A" w:rsidP="00C76D74">
      <w:pPr>
        <w:pStyle w:val="Lgendex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E3149A"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5F27E2">
      <w:pPr>
        <w:pStyle w:val="Lgendex"/>
      </w:pPr>
      <w:r>
        <w:t>Méthodes publiques :</w:t>
      </w:r>
    </w:p>
    <w:p w:rsidR="00E3149A" w:rsidRDefault="00DB6539" w:rsidP="00E3149A"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E3149A">
      <w:r>
        <w:t>Tracé si opt</w:t>
      </w:r>
      <w:r w:rsidR="00CD265E">
        <w:t xml:space="preserve">ion de compilation MAP. </w:t>
      </w:r>
    </w:p>
    <w:p w:rsidR="00DB6539" w:rsidRDefault="009A3311" w:rsidP="00E3149A"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0D3C06"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0D3C06">
      <w:r>
        <w:t>Destructeur : n’effectue aucune opération, pas d’allocation dynamique.</w:t>
      </w:r>
    </w:p>
    <w:p w:rsidR="004C124A" w:rsidRDefault="004C124A" w:rsidP="000D3C06">
      <w:r>
        <w:t>Tracé si opt</w:t>
      </w:r>
      <w:r w:rsidR="0075538A">
        <w:t xml:space="preserve">ion de compilation MAP. </w:t>
      </w:r>
    </w:p>
    <w:p w:rsidR="000D3C06" w:rsidRDefault="000D3C06" w:rsidP="000D3C06"/>
    <w:p w:rsidR="000E0539" w:rsidRDefault="000E0539" w:rsidP="008838D3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8838D3">
      <w:pPr>
        <w:pStyle w:val="Paragraphedeliste"/>
        <w:ind w:left="0"/>
        <w:rPr>
          <w:sz w:val="26"/>
          <w:szCs w:val="26"/>
          <w:u w:val="single"/>
        </w:rPr>
      </w:pPr>
    </w:p>
    <w:p w:rsidR="000E0539" w:rsidRDefault="00427F51" w:rsidP="000E0539"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0E0539"/>
    <w:p w:rsidR="000E0539" w:rsidRPr="00E32154" w:rsidRDefault="000E0539" w:rsidP="008838D3">
      <w:pPr>
        <w:pStyle w:val="Lgendex"/>
      </w:pPr>
      <w:r w:rsidRPr="00E32154">
        <w:t>Attributs :</w:t>
      </w:r>
    </w:p>
    <w:p w:rsidR="000E0539" w:rsidRDefault="000E0539" w:rsidP="000E0539"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0E0539"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0E0539"/>
    <w:p w:rsidR="005C2D45" w:rsidRDefault="005C2D45" w:rsidP="005C2D45">
      <w:pPr>
        <w:pStyle w:val="Lgendex"/>
      </w:pPr>
      <w:r>
        <w:t>Méthodes publiques :</w:t>
      </w:r>
    </w:p>
    <w:p w:rsidR="000E0539" w:rsidRDefault="00D45DDB" w:rsidP="000E053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AB5B64"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AB5B64" w:rsidRDefault="00AB5B64" w:rsidP="00AB5B64">
      <w:r>
        <w:t>Destructeur : n’effectue aucun traitement, pas d’allocation dynamique.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1D4214" w:rsidRPr="000E0539" w:rsidRDefault="001D4214" w:rsidP="000E0539"/>
    <w:sectPr w:rsidR="001D4214" w:rsidRPr="000E0539" w:rsidSect="005F47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4214"/>
    <w:rsid w:val="001F6239"/>
    <w:rsid w:val="00273895"/>
    <w:rsid w:val="002A7CCD"/>
    <w:rsid w:val="0033484D"/>
    <w:rsid w:val="0036102D"/>
    <w:rsid w:val="003B4FDE"/>
    <w:rsid w:val="003C5F20"/>
    <w:rsid w:val="003D37A6"/>
    <w:rsid w:val="003F71D3"/>
    <w:rsid w:val="00427F51"/>
    <w:rsid w:val="004540FC"/>
    <w:rsid w:val="004C124A"/>
    <w:rsid w:val="004D0CCF"/>
    <w:rsid w:val="00530D48"/>
    <w:rsid w:val="00560FC3"/>
    <w:rsid w:val="005C2D45"/>
    <w:rsid w:val="005F27E2"/>
    <w:rsid w:val="005F478E"/>
    <w:rsid w:val="0061379C"/>
    <w:rsid w:val="00656DF1"/>
    <w:rsid w:val="006B1D2E"/>
    <w:rsid w:val="0075538A"/>
    <w:rsid w:val="007E3804"/>
    <w:rsid w:val="00864132"/>
    <w:rsid w:val="00875465"/>
    <w:rsid w:val="008838D3"/>
    <w:rsid w:val="00966736"/>
    <w:rsid w:val="009700B0"/>
    <w:rsid w:val="009A3311"/>
    <w:rsid w:val="009B318C"/>
    <w:rsid w:val="009D6A7E"/>
    <w:rsid w:val="00A12318"/>
    <w:rsid w:val="00AB5B64"/>
    <w:rsid w:val="00B13BC1"/>
    <w:rsid w:val="00BA2485"/>
    <w:rsid w:val="00BD6298"/>
    <w:rsid w:val="00C76D74"/>
    <w:rsid w:val="00CD265E"/>
    <w:rsid w:val="00CF3B8C"/>
    <w:rsid w:val="00D45DDB"/>
    <w:rsid w:val="00D94D68"/>
    <w:rsid w:val="00DA1BFA"/>
    <w:rsid w:val="00DB6539"/>
    <w:rsid w:val="00DC7D93"/>
    <w:rsid w:val="00E3149A"/>
    <w:rsid w:val="00E32154"/>
    <w:rsid w:val="00E54EA1"/>
    <w:rsid w:val="00E70B37"/>
    <w:rsid w:val="00E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FALLOUH</cp:lastModifiedBy>
  <cp:revision>61</cp:revision>
  <dcterms:created xsi:type="dcterms:W3CDTF">2015-11-23T17:16:00Z</dcterms:created>
  <dcterms:modified xsi:type="dcterms:W3CDTF">2015-12-13T14:52:00Z</dcterms:modified>
  <dc:language>fr-FR</dc:language>
</cp:coreProperties>
</file>